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F5E52" w14:textId="549B1018" w:rsidR="00E20526" w:rsidRDefault="00E20526" w:rsidP="00E20526">
      <w:pPr>
        <w:pStyle w:val="BodyText"/>
        <w:spacing w:before="3" w:line="256" w:lineRule="auto"/>
        <w:ind w:left="-1"/>
        <w:rPr>
          <w:spacing w:val="40"/>
        </w:rPr>
      </w:pPr>
      <w:r w:rsidRPr="005A5E11">
        <w:rPr>
          <w:color w:val="000000" w:themeColor="text1"/>
          <w:u w:val="single"/>
        </w:rPr>
        <w:t xml:space="preserve">Gerstein lab experience with </w:t>
      </w:r>
      <w:r w:rsidRPr="005A5E11">
        <w:rPr>
          <w:u w:val="single"/>
        </w:rPr>
        <w:t>molecular mechanisms underlying diseases using</w:t>
      </w:r>
      <w:r w:rsidR="00043871" w:rsidRPr="005A5E11">
        <w:rPr>
          <w:u w:val="single"/>
        </w:rPr>
        <w:t xml:space="preserve"> large language models</w:t>
      </w:r>
      <w:r w:rsidR="003801D1" w:rsidRPr="005A5E11">
        <w:rPr>
          <w:u w:val="single"/>
        </w:rPr>
        <w:t xml:space="preserve"> (LLM</w:t>
      </w:r>
      <w:r w:rsidR="00A177A9">
        <w:rPr>
          <w:u w:val="single"/>
        </w:rPr>
        <w:t>s</w:t>
      </w:r>
      <w:r w:rsidR="003801D1" w:rsidRPr="005A5E11">
        <w:rPr>
          <w:u w:val="single"/>
        </w:rPr>
        <w:t>)</w:t>
      </w:r>
      <w:r w:rsidRPr="005A5E11">
        <w:rPr>
          <w:u w:val="single"/>
        </w:rPr>
        <w:t>:</w:t>
      </w:r>
      <w:r w:rsidRPr="00653D47">
        <w:rPr>
          <w:spacing w:val="40"/>
        </w:rPr>
        <w:t xml:space="preserve"> </w:t>
      </w:r>
      <w:r w:rsidR="005928FF">
        <w:t>W</w:t>
      </w:r>
      <w:r w:rsidRPr="00653D47">
        <w:t>e demonstrated that the attention</w:t>
      </w:r>
      <w:r w:rsidRPr="00653D47">
        <w:rPr>
          <w:spacing w:val="-4"/>
        </w:rPr>
        <w:t xml:space="preserve"> </w:t>
      </w:r>
      <w:r w:rsidRPr="00653D47">
        <w:t>mechanism</w:t>
      </w:r>
      <w:r w:rsidRPr="00653D47">
        <w:rPr>
          <w:spacing w:val="-4"/>
        </w:rPr>
        <w:t xml:space="preserve"> </w:t>
      </w:r>
      <w:r w:rsidRPr="00653D47">
        <w:t>of</w:t>
      </w:r>
      <w:r w:rsidRPr="00653D47">
        <w:rPr>
          <w:spacing w:val="-4"/>
        </w:rPr>
        <w:t xml:space="preserve"> </w:t>
      </w:r>
      <w:r w:rsidRPr="00653D47">
        <w:t>the</w:t>
      </w:r>
      <w:r w:rsidRPr="00653D47">
        <w:rPr>
          <w:spacing w:val="-4"/>
        </w:rPr>
        <w:t xml:space="preserve"> </w:t>
      </w:r>
      <w:r w:rsidR="003801D1">
        <w:rPr>
          <w:spacing w:val="-4"/>
        </w:rPr>
        <w:t>ESM2-</w:t>
      </w:r>
      <w:r w:rsidRPr="00653D47">
        <w:t>LLM</w:t>
      </w:r>
      <w:r w:rsidRPr="00653D47">
        <w:rPr>
          <w:spacing w:val="-4"/>
        </w:rPr>
        <w:t xml:space="preserve"> </w:t>
      </w:r>
      <w:r w:rsidRPr="00653D47">
        <w:t>effectively</w:t>
      </w:r>
      <w:r w:rsidRPr="00653D47">
        <w:rPr>
          <w:spacing w:val="-4"/>
        </w:rPr>
        <w:t xml:space="preserve"> </w:t>
      </w:r>
      <w:r w:rsidRPr="00653D47">
        <w:t>captures biologically meaningful signals related to underlying</w:t>
      </w:r>
      <w:r w:rsidRPr="00653D47">
        <w:rPr>
          <w:spacing w:val="-1"/>
        </w:rPr>
        <w:t xml:space="preserve"> </w:t>
      </w:r>
      <w:r w:rsidR="00F171CC">
        <w:rPr>
          <w:spacing w:val="-1"/>
        </w:rPr>
        <w:t xml:space="preserve">disease </w:t>
      </w:r>
      <w:r w:rsidRPr="00653D47">
        <w:t>mechanism</w:t>
      </w:r>
      <w:r w:rsidR="00F171CC">
        <w:t>s</w:t>
      </w:r>
      <w:r w:rsidRPr="00653D47">
        <w:rPr>
          <w:spacing w:val="-1"/>
        </w:rPr>
        <w:t xml:space="preserve"> </w:t>
      </w:r>
      <w:r w:rsidRPr="00653D47">
        <w:t>by</w:t>
      </w:r>
      <w:r w:rsidRPr="00653D47">
        <w:rPr>
          <w:spacing w:val="-1"/>
        </w:rPr>
        <w:t xml:space="preserve"> </w:t>
      </w:r>
      <w:r w:rsidRPr="00653D47">
        <w:t>highlighting regions</w:t>
      </w:r>
      <w:r w:rsidRPr="00653D47">
        <w:rPr>
          <w:spacing w:val="-16"/>
        </w:rPr>
        <w:t xml:space="preserve"> </w:t>
      </w:r>
      <w:r w:rsidRPr="00653D47">
        <w:t>associated</w:t>
      </w:r>
      <w:r w:rsidRPr="00653D47">
        <w:rPr>
          <w:spacing w:val="-15"/>
        </w:rPr>
        <w:t xml:space="preserve"> </w:t>
      </w:r>
      <w:r w:rsidRPr="00653D47">
        <w:t>with</w:t>
      </w:r>
      <w:r w:rsidRPr="00653D47">
        <w:rPr>
          <w:spacing w:val="-15"/>
        </w:rPr>
        <w:t xml:space="preserve"> </w:t>
      </w:r>
      <w:r w:rsidRPr="00653D47">
        <w:t>protein</w:t>
      </w:r>
      <w:r w:rsidRPr="00653D47">
        <w:rPr>
          <w:spacing w:val="-16"/>
        </w:rPr>
        <w:t xml:space="preserve"> </w:t>
      </w:r>
      <w:r w:rsidRPr="00653D47">
        <w:t>aggregation</w:t>
      </w:r>
      <w:r w:rsidR="00F171CC">
        <w:t xml:space="preserve"> – a key mechanism in Alzheimer’s disease[</w:t>
      </w:r>
      <w:r w:rsidR="008E3BE3">
        <w:t>1]</w:t>
      </w:r>
      <w:r w:rsidR="006A66DE">
        <w:t>.</w:t>
      </w:r>
      <w:r w:rsidR="00CF07DD">
        <w:t xml:space="preserve"> </w:t>
      </w:r>
      <w:r w:rsidR="006A66DE">
        <w:t>Specifically, e</w:t>
      </w:r>
      <w:r w:rsidRPr="00653D47">
        <w:t>levated</w:t>
      </w:r>
      <w:r w:rsidRPr="00653D47">
        <w:rPr>
          <w:spacing w:val="-15"/>
        </w:rPr>
        <w:t xml:space="preserve"> </w:t>
      </w:r>
      <w:r w:rsidRPr="00653D47">
        <w:t>attention</w:t>
      </w:r>
      <w:r w:rsidR="00CF07DD">
        <w:t xml:space="preserve"> was observed</w:t>
      </w:r>
      <w:r w:rsidRPr="00653D47">
        <w:rPr>
          <w:spacing w:val="-15"/>
        </w:rPr>
        <w:t xml:space="preserve"> </w:t>
      </w:r>
      <w:r w:rsidRPr="00653D47">
        <w:t>in</w:t>
      </w:r>
      <w:r w:rsidRPr="00653D47">
        <w:rPr>
          <w:spacing w:val="-16"/>
        </w:rPr>
        <w:t xml:space="preserve"> </w:t>
      </w:r>
      <w:r w:rsidRPr="00653D47">
        <w:t>the</w:t>
      </w:r>
      <w:r w:rsidRPr="00653D47">
        <w:rPr>
          <w:spacing w:val="-15"/>
        </w:rPr>
        <w:t xml:space="preserve"> </w:t>
      </w:r>
      <w:r w:rsidRPr="00653D47">
        <w:t>APP</w:t>
      </w:r>
      <w:r w:rsidRPr="00653D47">
        <w:rPr>
          <w:spacing w:val="-15"/>
        </w:rPr>
        <w:t xml:space="preserve"> </w:t>
      </w:r>
      <w:r w:rsidRPr="00653D47">
        <w:t>region</w:t>
      </w:r>
      <w:r w:rsidRPr="00653D47">
        <w:rPr>
          <w:spacing w:val="-15"/>
        </w:rPr>
        <w:t xml:space="preserve"> </w:t>
      </w:r>
      <w:r w:rsidR="00D164A1">
        <w:t>(corresponding to the Aβ42 peptide, residues 701–713), suggesting it as a potential drug-target site</w:t>
      </w:r>
      <w:r w:rsidRPr="00653D47">
        <w:t>.</w:t>
      </w:r>
      <w:r w:rsidR="00D96B2A">
        <w:rPr>
          <w:spacing w:val="40"/>
        </w:rPr>
        <w:t xml:space="preserve"> </w:t>
      </w:r>
      <w:r w:rsidRPr="00653D47">
        <w:t>The</w:t>
      </w:r>
      <w:r w:rsidRPr="00653D47">
        <w:rPr>
          <w:spacing w:val="-14"/>
        </w:rPr>
        <w:t xml:space="preserve"> </w:t>
      </w:r>
      <w:r w:rsidRPr="00653D47">
        <w:t>attention</w:t>
      </w:r>
      <w:r w:rsidRPr="00653D47">
        <w:rPr>
          <w:spacing w:val="-14"/>
        </w:rPr>
        <w:t xml:space="preserve"> </w:t>
      </w:r>
      <w:r w:rsidRPr="00653D47">
        <w:t>patterns</w:t>
      </w:r>
      <w:r w:rsidRPr="00653D47">
        <w:rPr>
          <w:spacing w:val="-14"/>
        </w:rPr>
        <w:t xml:space="preserve"> </w:t>
      </w:r>
      <w:r w:rsidRPr="00653D47">
        <w:t>align</w:t>
      </w:r>
      <w:r w:rsidRPr="00653D47">
        <w:rPr>
          <w:spacing w:val="-14"/>
        </w:rPr>
        <w:t xml:space="preserve"> </w:t>
      </w:r>
      <w:r w:rsidRPr="00653D47">
        <w:t>with</w:t>
      </w:r>
      <w:r w:rsidRPr="00653D47">
        <w:rPr>
          <w:spacing w:val="-14"/>
        </w:rPr>
        <w:t xml:space="preserve"> </w:t>
      </w:r>
      <w:r w:rsidRPr="00653D47">
        <w:t xml:space="preserve">disease-relevant </w:t>
      </w:r>
      <w:r w:rsidRPr="00653D47">
        <w:rPr>
          <w:spacing w:val="-2"/>
        </w:rPr>
        <w:t>features</w:t>
      </w:r>
      <w:r w:rsidRPr="00653D47">
        <w:rPr>
          <w:spacing w:val="-3"/>
        </w:rPr>
        <w:t xml:space="preserve"> </w:t>
      </w:r>
      <w:r w:rsidRPr="00653D47">
        <w:rPr>
          <w:spacing w:val="-2"/>
        </w:rPr>
        <w:t>embedded</w:t>
      </w:r>
      <w:r w:rsidRPr="00653D47">
        <w:rPr>
          <w:spacing w:val="-3"/>
        </w:rPr>
        <w:t xml:space="preserve"> </w:t>
      </w:r>
      <w:r w:rsidRPr="00653D47">
        <w:rPr>
          <w:spacing w:val="-2"/>
        </w:rPr>
        <w:t>within</w:t>
      </w:r>
      <w:r w:rsidRPr="00653D47">
        <w:rPr>
          <w:spacing w:val="-3"/>
        </w:rPr>
        <w:t xml:space="preserve"> </w:t>
      </w:r>
      <w:r w:rsidRPr="00653D47">
        <w:rPr>
          <w:spacing w:val="-2"/>
        </w:rPr>
        <w:t>the</w:t>
      </w:r>
      <w:r w:rsidRPr="00653D47">
        <w:rPr>
          <w:spacing w:val="-3"/>
        </w:rPr>
        <w:t xml:space="preserve"> </w:t>
      </w:r>
      <w:r w:rsidRPr="00653D47">
        <w:rPr>
          <w:spacing w:val="-2"/>
        </w:rPr>
        <w:t>protein</w:t>
      </w:r>
      <w:r w:rsidRPr="00653D47">
        <w:rPr>
          <w:spacing w:val="-3"/>
        </w:rPr>
        <w:t xml:space="preserve"> </w:t>
      </w:r>
      <w:r w:rsidRPr="00653D47">
        <w:rPr>
          <w:spacing w:val="-2"/>
        </w:rPr>
        <w:t>sequence—such</w:t>
      </w:r>
      <w:r w:rsidRPr="00653D47">
        <w:rPr>
          <w:spacing w:val="-3"/>
        </w:rPr>
        <w:t xml:space="preserve"> </w:t>
      </w:r>
      <w:r w:rsidRPr="00653D47">
        <w:rPr>
          <w:spacing w:val="-2"/>
        </w:rPr>
        <w:t>as</w:t>
      </w:r>
      <w:r w:rsidRPr="00653D47">
        <w:rPr>
          <w:spacing w:val="-3"/>
        </w:rPr>
        <w:t xml:space="preserve"> </w:t>
      </w:r>
      <w:r w:rsidRPr="00653D47">
        <w:rPr>
          <w:spacing w:val="-2"/>
        </w:rPr>
        <w:t>intrinsically</w:t>
      </w:r>
      <w:r w:rsidRPr="00653D47">
        <w:rPr>
          <w:spacing w:val="-3"/>
        </w:rPr>
        <w:t xml:space="preserve"> </w:t>
      </w:r>
      <w:r w:rsidRPr="00653D47">
        <w:rPr>
          <w:spacing w:val="-2"/>
        </w:rPr>
        <w:t>disordered</w:t>
      </w:r>
      <w:r w:rsidRPr="00653D47">
        <w:rPr>
          <w:spacing w:val="-3"/>
        </w:rPr>
        <w:t xml:space="preserve"> </w:t>
      </w:r>
      <w:r w:rsidRPr="00653D47">
        <w:rPr>
          <w:spacing w:val="-2"/>
        </w:rPr>
        <w:t>regions, mutation</w:t>
      </w:r>
      <w:r w:rsidRPr="00653D47">
        <w:rPr>
          <w:spacing w:val="-3"/>
        </w:rPr>
        <w:t xml:space="preserve"> </w:t>
      </w:r>
      <w:r w:rsidRPr="00653D47">
        <w:rPr>
          <w:spacing w:val="-2"/>
        </w:rPr>
        <w:t xml:space="preserve">hotspots, and </w:t>
      </w:r>
      <w:r w:rsidRPr="00653D47">
        <w:t>proteolytic cleavage sites—that are known to influence protein function and can serve as actionable drug targets.</w:t>
      </w:r>
      <w:r w:rsidRPr="00653D47">
        <w:rPr>
          <w:spacing w:val="40"/>
        </w:rPr>
        <w:t xml:space="preserve"> </w:t>
      </w:r>
    </w:p>
    <w:p w14:paraId="594B19AC" w14:textId="77777777" w:rsidR="00383E26" w:rsidRDefault="00383E26" w:rsidP="00E20526">
      <w:pPr>
        <w:pStyle w:val="BodyText"/>
        <w:spacing w:before="3" w:line="256" w:lineRule="auto"/>
        <w:ind w:left="-1"/>
      </w:pPr>
    </w:p>
    <w:p w14:paraId="70977C8E" w14:textId="02D92D6C" w:rsidR="00030A94" w:rsidRDefault="00030A94" w:rsidP="00383E26">
      <w:pPr>
        <w:pStyle w:val="BodyText"/>
        <w:spacing w:before="3" w:line="256" w:lineRule="auto"/>
        <w:ind w:left="-1"/>
        <w:jc w:val="center"/>
      </w:pPr>
      <w:r>
        <w:rPr>
          <w:noProof/>
          <w14:ligatures w14:val="standardContextual"/>
        </w:rPr>
        <w:drawing>
          <wp:inline distT="0" distB="0" distL="0" distR="0" wp14:anchorId="60B0357D" wp14:editId="357096C7">
            <wp:extent cx="5295900" cy="1615928"/>
            <wp:effectExtent l="0" t="0" r="0" b="0"/>
            <wp:docPr id="1472820191" name="Picture 2" descr="A diagram of a tas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820191" name="Picture 2" descr="A diagram of a task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0306" cy="1626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96A82" w14:textId="77777777" w:rsidR="00383E26" w:rsidRDefault="00383E26" w:rsidP="00DB59F1">
      <w:pPr>
        <w:pStyle w:val="BodyText"/>
        <w:spacing w:before="3" w:line="256" w:lineRule="auto"/>
        <w:ind w:left="-1"/>
      </w:pPr>
    </w:p>
    <w:p w14:paraId="389C0FBB" w14:textId="1FAD867A" w:rsidR="00DB59F1" w:rsidRDefault="003D628D" w:rsidP="00DB59F1">
      <w:pPr>
        <w:pStyle w:val="BodyText"/>
        <w:spacing w:before="3" w:line="256" w:lineRule="auto"/>
        <w:ind w:left="-1"/>
      </w:pPr>
      <w:r w:rsidRPr="00A40E5C">
        <w:rPr>
          <w:color w:val="000000" w:themeColor="text1"/>
          <w:u w:val="single"/>
        </w:rPr>
        <w:t>Gerstein lab experience with gene regulatory networks (GRNs) construction:</w:t>
      </w:r>
      <w:r w:rsidRPr="005B323D">
        <w:t xml:space="preserve"> </w:t>
      </w:r>
      <w:r w:rsidR="00DB59F1" w:rsidRPr="00653D47">
        <w:t>In parallel, our GRNs illuminate gene-associated pathways that are directly implicated in the disease mechanism, facilitating the prioritization of the most critical</w:t>
      </w:r>
      <w:r w:rsidR="00DB59F1">
        <w:t xml:space="preserve"> </w:t>
      </w:r>
      <w:r w:rsidR="00DB59F1" w:rsidRPr="00653D47">
        <w:t>targets for therapeutic intervention</w:t>
      </w:r>
      <w:r w:rsidR="00CA53C4">
        <w:t xml:space="preserve">. </w:t>
      </w:r>
    </w:p>
    <w:p w14:paraId="1905E746" w14:textId="652FC7F1" w:rsidR="00030A94" w:rsidRDefault="00030A94" w:rsidP="00E20526">
      <w:pPr>
        <w:pStyle w:val="BodyText"/>
        <w:spacing w:before="3" w:line="256" w:lineRule="auto"/>
        <w:ind w:left="-1"/>
      </w:pPr>
    </w:p>
    <w:p w14:paraId="28E21D62" w14:textId="5F0CADC4" w:rsidR="00030A94" w:rsidRDefault="00365B6E" w:rsidP="00E20526">
      <w:pPr>
        <w:pStyle w:val="BodyText"/>
        <w:spacing w:before="3" w:line="256" w:lineRule="auto"/>
        <w:ind w:left="-1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8B73BAF" wp14:editId="57DB1C8B">
            <wp:simplePos x="0" y="0"/>
            <wp:positionH relativeFrom="page">
              <wp:posOffset>2413000</wp:posOffset>
            </wp:positionH>
            <wp:positionV relativeFrom="paragraph">
              <wp:posOffset>52705</wp:posOffset>
            </wp:positionV>
            <wp:extent cx="3041650" cy="1435100"/>
            <wp:effectExtent l="0" t="0" r="6350" b="0"/>
            <wp:wrapNone/>
            <wp:docPr id="31" name="Image 31" descr="A diagram of a diagram of a diagram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A diagram of a diagram of a diagram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165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4065C8" w14:textId="06854877" w:rsidR="009C0F1B" w:rsidRDefault="009C0F1B"/>
    <w:p w14:paraId="04044EED" w14:textId="77777777" w:rsidR="005B323D" w:rsidRDefault="005B323D"/>
    <w:p w14:paraId="73344DEF" w14:textId="77777777" w:rsidR="005B323D" w:rsidRDefault="005B323D"/>
    <w:p w14:paraId="3D38119F" w14:textId="77777777" w:rsidR="005B323D" w:rsidRDefault="005B323D"/>
    <w:p w14:paraId="0B361476" w14:textId="77777777" w:rsidR="005B323D" w:rsidRDefault="005B323D"/>
    <w:p w14:paraId="78320E6D" w14:textId="4CE5108D" w:rsidR="00BB28AA" w:rsidRDefault="005B323D" w:rsidP="00BB28AA">
      <w:pPr>
        <w:pStyle w:val="BodyText"/>
        <w:spacing w:before="73"/>
        <w:ind w:left="0" w:right="0"/>
        <w:jc w:val="left"/>
      </w:pPr>
      <w:r w:rsidRPr="005B323D">
        <w:t xml:space="preserve">Additionally, </w:t>
      </w:r>
      <w:r w:rsidR="00BB28AA">
        <w:t>by</w:t>
      </w:r>
      <w:r w:rsidR="00BB28AA">
        <w:rPr>
          <w:spacing w:val="-13"/>
        </w:rPr>
        <w:t xml:space="preserve"> </w:t>
      </w:r>
      <w:r w:rsidR="00BB28AA">
        <w:t>integrating multiple</w:t>
      </w:r>
      <w:r w:rsidR="00BB28AA">
        <w:rPr>
          <w:spacing w:val="-16"/>
        </w:rPr>
        <w:t xml:space="preserve"> </w:t>
      </w:r>
      <w:r w:rsidR="00BB28AA">
        <w:t>data</w:t>
      </w:r>
      <w:r w:rsidR="00BB28AA">
        <w:rPr>
          <w:spacing w:val="-15"/>
        </w:rPr>
        <w:t xml:space="preserve"> </w:t>
      </w:r>
      <w:r w:rsidR="00BB28AA">
        <w:t>modalities,</w:t>
      </w:r>
      <w:r w:rsidR="00BB28AA">
        <w:rPr>
          <w:spacing w:val="-15"/>
        </w:rPr>
        <w:t xml:space="preserve"> </w:t>
      </w:r>
      <w:r w:rsidR="00BB28AA">
        <w:t>including</w:t>
      </w:r>
      <w:r w:rsidR="00BB28AA">
        <w:rPr>
          <w:spacing w:val="-15"/>
        </w:rPr>
        <w:t xml:space="preserve"> </w:t>
      </w:r>
      <w:proofErr w:type="spellStart"/>
      <w:r w:rsidR="00BB28AA">
        <w:t>snATAC</w:t>
      </w:r>
      <w:proofErr w:type="spellEnd"/>
      <w:r w:rsidR="00BB28AA">
        <w:t>-seq,</w:t>
      </w:r>
      <w:r w:rsidR="00BB28AA">
        <w:rPr>
          <w:spacing w:val="-16"/>
        </w:rPr>
        <w:t xml:space="preserve"> </w:t>
      </w:r>
      <w:r w:rsidR="00BB28AA">
        <w:t>TF-binding</w:t>
      </w:r>
      <w:r w:rsidR="00BB28AA">
        <w:rPr>
          <w:spacing w:val="-15"/>
        </w:rPr>
        <w:t xml:space="preserve"> </w:t>
      </w:r>
      <w:r w:rsidR="00BB28AA">
        <w:t>sites,</w:t>
      </w:r>
      <w:r w:rsidR="00BB28AA">
        <w:rPr>
          <w:spacing w:val="-15"/>
        </w:rPr>
        <w:t xml:space="preserve"> </w:t>
      </w:r>
      <w:r w:rsidR="00BB28AA">
        <w:t>and</w:t>
      </w:r>
      <w:r w:rsidR="00BB28AA">
        <w:rPr>
          <w:spacing w:val="-15"/>
        </w:rPr>
        <w:t xml:space="preserve"> </w:t>
      </w:r>
      <w:r w:rsidR="00BB28AA">
        <w:t>gene</w:t>
      </w:r>
      <w:r w:rsidR="00BB28AA">
        <w:rPr>
          <w:spacing w:val="-16"/>
        </w:rPr>
        <w:t xml:space="preserve"> </w:t>
      </w:r>
      <w:proofErr w:type="spellStart"/>
      <w:r w:rsidR="00BB28AA">
        <w:t>coexpression</w:t>
      </w:r>
      <w:proofErr w:type="spellEnd"/>
      <w:r w:rsidR="00BB28AA">
        <w:t>,</w:t>
      </w:r>
      <w:r w:rsidR="00BB28AA">
        <w:rPr>
          <w:spacing w:val="-15"/>
        </w:rPr>
        <w:t xml:space="preserve"> </w:t>
      </w:r>
      <w:r w:rsidR="00BB28AA">
        <w:t>we</w:t>
      </w:r>
      <w:r w:rsidR="00BB28AA">
        <w:rPr>
          <w:spacing w:val="-15"/>
        </w:rPr>
        <w:t xml:space="preserve"> </w:t>
      </w:r>
      <w:r w:rsidR="00BB28AA">
        <w:t>constructed</w:t>
      </w:r>
      <w:r w:rsidR="00BB28AA">
        <w:rPr>
          <w:spacing w:val="-15"/>
        </w:rPr>
        <w:t xml:space="preserve"> </w:t>
      </w:r>
      <w:r w:rsidR="00BB28AA">
        <w:t xml:space="preserve">GRNs </w:t>
      </w:r>
      <w:r w:rsidR="00BB28AA">
        <w:rPr>
          <w:spacing w:val="-2"/>
        </w:rPr>
        <w:t>for</w:t>
      </w:r>
      <w:r w:rsidR="00BB28AA">
        <w:rPr>
          <w:spacing w:val="-8"/>
        </w:rPr>
        <w:t xml:space="preserve"> </w:t>
      </w:r>
      <w:r w:rsidR="00BB28AA">
        <w:rPr>
          <w:spacing w:val="-2"/>
        </w:rPr>
        <w:t>PFC</w:t>
      </w:r>
      <w:r w:rsidR="00BB28AA">
        <w:rPr>
          <w:spacing w:val="-8"/>
        </w:rPr>
        <w:t xml:space="preserve"> </w:t>
      </w:r>
      <w:r w:rsidR="00BB28AA">
        <w:rPr>
          <w:spacing w:val="-2"/>
        </w:rPr>
        <w:t>cell</w:t>
      </w:r>
      <w:r w:rsidR="00BB28AA">
        <w:rPr>
          <w:spacing w:val="-8"/>
        </w:rPr>
        <w:t xml:space="preserve"> </w:t>
      </w:r>
      <w:r w:rsidR="00BB28AA">
        <w:rPr>
          <w:spacing w:val="-2"/>
        </w:rPr>
        <w:t>types</w:t>
      </w:r>
      <w:r w:rsidR="00BB28AA">
        <w:rPr>
          <w:spacing w:val="-8"/>
        </w:rPr>
        <w:t xml:space="preserve"> </w:t>
      </w:r>
      <w:r w:rsidR="00BB28AA">
        <w:rPr>
          <w:spacing w:val="-2"/>
        </w:rPr>
        <w:t>and</w:t>
      </w:r>
      <w:r w:rsidR="00BB28AA">
        <w:rPr>
          <w:spacing w:val="-8"/>
        </w:rPr>
        <w:t xml:space="preserve"> </w:t>
      </w:r>
      <w:r w:rsidR="00BB28AA">
        <w:rPr>
          <w:spacing w:val="-2"/>
        </w:rPr>
        <w:t>linked</w:t>
      </w:r>
      <w:r w:rsidR="00BB28AA">
        <w:rPr>
          <w:spacing w:val="-8"/>
        </w:rPr>
        <w:t xml:space="preserve"> </w:t>
      </w:r>
      <w:r w:rsidR="00BB28AA">
        <w:rPr>
          <w:spacing w:val="-2"/>
        </w:rPr>
        <w:t>TFs</w:t>
      </w:r>
      <w:r w:rsidR="00BB28AA">
        <w:rPr>
          <w:spacing w:val="-8"/>
        </w:rPr>
        <w:t xml:space="preserve"> </w:t>
      </w:r>
      <w:r w:rsidR="00BB28AA">
        <w:rPr>
          <w:spacing w:val="-2"/>
        </w:rPr>
        <w:t>to</w:t>
      </w:r>
      <w:r w:rsidR="00BB28AA">
        <w:rPr>
          <w:spacing w:val="-8"/>
        </w:rPr>
        <w:t xml:space="preserve"> </w:t>
      </w:r>
      <w:r w:rsidR="00BB28AA">
        <w:rPr>
          <w:spacing w:val="-2"/>
        </w:rPr>
        <w:t>potential</w:t>
      </w:r>
      <w:r w:rsidR="00BB28AA">
        <w:rPr>
          <w:spacing w:val="-8"/>
        </w:rPr>
        <w:t xml:space="preserve"> </w:t>
      </w:r>
      <w:r w:rsidR="00BB28AA">
        <w:rPr>
          <w:spacing w:val="-2"/>
        </w:rPr>
        <w:t>target</w:t>
      </w:r>
      <w:r w:rsidR="00BB28AA">
        <w:rPr>
          <w:spacing w:val="-9"/>
        </w:rPr>
        <w:t xml:space="preserve"> </w:t>
      </w:r>
      <w:r w:rsidR="00BB28AA">
        <w:rPr>
          <w:spacing w:val="-2"/>
        </w:rPr>
        <w:t>genes</w:t>
      </w:r>
      <w:r w:rsidR="00BB28AA">
        <w:rPr>
          <w:spacing w:val="-8"/>
        </w:rPr>
        <w:t xml:space="preserve"> </w:t>
      </w:r>
      <w:r w:rsidR="00BB28AA">
        <w:rPr>
          <w:spacing w:val="-2"/>
        </w:rPr>
        <w:t>based</w:t>
      </w:r>
      <w:r w:rsidR="00BB28AA">
        <w:rPr>
          <w:spacing w:val="-8"/>
        </w:rPr>
        <w:t xml:space="preserve"> </w:t>
      </w:r>
      <w:r w:rsidR="00BB28AA">
        <w:rPr>
          <w:spacing w:val="-2"/>
        </w:rPr>
        <w:t>on</w:t>
      </w:r>
      <w:r w:rsidR="00BB28AA">
        <w:rPr>
          <w:spacing w:val="-8"/>
        </w:rPr>
        <w:t xml:space="preserve"> </w:t>
      </w:r>
      <w:r w:rsidR="00BB28AA">
        <w:rPr>
          <w:spacing w:val="-2"/>
        </w:rPr>
        <w:t>their</w:t>
      </w:r>
      <w:r w:rsidR="00BB28AA">
        <w:rPr>
          <w:spacing w:val="-8"/>
        </w:rPr>
        <w:t xml:space="preserve"> </w:t>
      </w:r>
      <w:proofErr w:type="spellStart"/>
      <w:r w:rsidR="00BB28AA">
        <w:rPr>
          <w:spacing w:val="-2"/>
        </w:rPr>
        <w:t>coexpression</w:t>
      </w:r>
      <w:proofErr w:type="spellEnd"/>
      <w:r w:rsidR="00BB28AA">
        <w:rPr>
          <w:spacing w:val="-8"/>
        </w:rPr>
        <w:t xml:space="preserve"> </w:t>
      </w:r>
      <w:r w:rsidR="00BB28AA">
        <w:rPr>
          <w:spacing w:val="-2"/>
        </w:rPr>
        <w:t>relationships</w:t>
      </w:r>
      <w:r w:rsidR="00BB28AA">
        <w:rPr>
          <w:spacing w:val="-8"/>
        </w:rPr>
        <w:t xml:space="preserve"> </w:t>
      </w:r>
      <w:r w:rsidR="00BB28AA">
        <w:rPr>
          <w:spacing w:val="-2"/>
        </w:rPr>
        <w:t>from</w:t>
      </w:r>
      <w:r w:rsidR="00BB28AA">
        <w:rPr>
          <w:spacing w:val="-8"/>
        </w:rPr>
        <w:t xml:space="preserve"> </w:t>
      </w:r>
      <w:r w:rsidR="00BB28AA">
        <w:rPr>
          <w:spacing w:val="-2"/>
        </w:rPr>
        <w:t>snRNA-</w:t>
      </w:r>
      <w:r w:rsidR="00BB28AA" w:rsidRPr="00BB28AA">
        <w:t xml:space="preserve"> </w:t>
      </w:r>
      <w:r w:rsidR="00BB28AA">
        <w:t>seq</w:t>
      </w:r>
      <w:r w:rsidR="00BB28AA">
        <w:rPr>
          <w:spacing w:val="-7"/>
        </w:rPr>
        <w:t xml:space="preserve"> </w:t>
      </w:r>
      <w:r w:rsidR="00BB28AA">
        <w:t>data</w:t>
      </w:r>
      <w:r w:rsidR="00BB28AA">
        <w:rPr>
          <w:spacing w:val="-7"/>
        </w:rPr>
        <w:t xml:space="preserve"> </w:t>
      </w:r>
      <w:r w:rsidR="00BB28AA">
        <w:t>and</w:t>
      </w:r>
      <w:r w:rsidR="00BB28AA">
        <w:rPr>
          <w:spacing w:val="-6"/>
        </w:rPr>
        <w:t xml:space="preserve"> </w:t>
      </w:r>
      <w:r w:rsidR="00BB28AA">
        <w:t>mapped</w:t>
      </w:r>
      <w:r w:rsidR="00BB28AA">
        <w:rPr>
          <w:spacing w:val="-7"/>
        </w:rPr>
        <w:t xml:space="preserve"> </w:t>
      </w:r>
      <w:proofErr w:type="spellStart"/>
      <w:r w:rsidR="00BB28AA">
        <w:t>scQTLs</w:t>
      </w:r>
      <w:proofErr w:type="spellEnd"/>
      <w:r w:rsidR="00BB28AA">
        <w:rPr>
          <w:spacing w:val="-6"/>
        </w:rPr>
        <w:t xml:space="preserve"> </w:t>
      </w:r>
      <w:r w:rsidR="00BB28AA">
        <w:t>to</w:t>
      </w:r>
      <w:r w:rsidR="00BB28AA">
        <w:rPr>
          <w:spacing w:val="-7"/>
        </w:rPr>
        <w:t xml:space="preserve"> </w:t>
      </w:r>
      <w:r w:rsidR="00BB28AA">
        <w:t>connect</w:t>
      </w:r>
      <w:r w:rsidR="00BB28AA">
        <w:rPr>
          <w:spacing w:val="-6"/>
        </w:rPr>
        <w:t xml:space="preserve"> </w:t>
      </w:r>
      <w:r w:rsidR="00BB28AA">
        <w:t>promoters</w:t>
      </w:r>
      <w:r w:rsidR="00BB28AA">
        <w:rPr>
          <w:spacing w:val="-7"/>
        </w:rPr>
        <w:t xml:space="preserve"> </w:t>
      </w:r>
      <w:r w:rsidR="00BB28AA">
        <w:t>and</w:t>
      </w:r>
      <w:r w:rsidR="00BB28AA">
        <w:rPr>
          <w:spacing w:val="-7"/>
        </w:rPr>
        <w:t xml:space="preserve"> </w:t>
      </w:r>
      <w:r w:rsidR="00BB28AA">
        <w:rPr>
          <w:spacing w:val="-2"/>
        </w:rPr>
        <w:t>enhancers.</w:t>
      </w:r>
      <w:r w:rsidR="00BC050F">
        <w:t xml:space="preserve"> </w:t>
      </w:r>
      <w:r w:rsidR="00BB28AA">
        <w:t>Our</w:t>
      </w:r>
      <w:r w:rsidR="00BB28AA">
        <w:rPr>
          <w:spacing w:val="-7"/>
        </w:rPr>
        <w:t xml:space="preserve"> </w:t>
      </w:r>
      <w:r w:rsidR="00BB28AA">
        <w:t>findings</w:t>
      </w:r>
      <w:r w:rsidR="00BB28AA">
        <w:rPr>
          <w:spacing w:val="-7"/>
        </w:rPr>
        <w:t xml:space="preserve"> </w:t>
      </w:r>
      <w:r w:rsidR="00BB28AA">
        <w:t>showed</w:t>
      </w:r>
      <w:r w:rsidR="00BB28AA">
        <w:rPr>
          <w:spacing w:val="-7"/>
        </w:rPr>
        <w:t xml:space="preserve"> </w:t>
      </w:r>
      <w:r w:rsidR="00BB28AA">
        <w:t>that</w:t>
      </w:r>
      <w:r w:rsidR="00BB28AA">
        <w:rPr>
          <w:spacing w:val="-7"/>
        </w:rPr>
        <w:t xml:space="preserve"> </w:t>
      </w:r>
      <w:r w:rsidR="00BB28AA">
        <w:t>TF</w:t>
      </w:r>
      <w:r w:rsidR="00BB28AA">
        <w:rPr>
          <w:spacing w:val="-7"/>
        </w:rPr>
        <w:t xml:space="preserve"> </w:t>
      </w:r>
      <w:r w:rsidR="00BB28AA">
        <w:t>expression</w:t>
      </w:r>
      <w:r w:rsidR="00BB28AA">
        <w:rPr>
          <w:spacing w:val="-7"/>
        </w:rPr>
        <w:t xml:space="preserve"> </w:t>
      </w:r>
      <w:r w:rsidR="00BB28AA">
        <w:t>in</w:t>
      </w:r>
      <w:r w:rsidR="00BB28AA">
        <w:rPr>
          <w:spacing w:val="-7"/>
        </w:rPr>
        <w:t xml:space="preserve"> </w:t>
      </w:r>
      <w:r w:rsidR="00BB28AA">
        <w:t>the</w:t>
      </w:r>
      <w:r w:rsidR="00BB28AA">
        <w:rPr>
          <w:spacing w:val="-7"/>
        </w:rPr>
        <w:t xml:space="preserve"> </w:t>
      </w:r>
      <w:r w:rsidR="00BB28AA">
        <w:t>GRNs</w:t>
      </w:r>
      <w:r w:rsidR="00BB28AA">
        <w:rPr>
          <w:spacing w:val="-7"/>
        </w:rPr>
        <w:t xml:space="preserve"> </w:t>
      </w:r>
      <w:r w:rsidR="00BB28AA">
        <w:t>explains</w:t>
      </w:r>
      <w:r w:rsidR="00BB28AA">
        <w:rPr>
          <w:spacing w:val="-7"/>
        </w:rPr>
        <w:t xml:space="preserve"> </w:t>
      </w:r>
      <w:r w:rsidR="00BB28AA">
        <w:t>an</w:t>
      </w:r>
      <w:r w:rsidR="00BB28AA">
        <w:rPr>
          <w:spacing w:val="-7"/>
        </w:rPr>
        <w:t xml:space="preserve"> </w:t>
      </w:r>
      <w:r w:rsidR="00BB28AA">
        <w:t xml:space="preserve">average of 52% of the variation in target gene </w:t>
      </w:r>
      <w:proofErr w:type="gramStart"/>
      <w:r w:rsidR="00BB28AA">
        <w:t>expression</w:t>
      </w:r>
      <w:r w:rsidR="00070815">
        <w:t>[</w:t>
      </w:r>
      <w:proofErr w:type="gramEnd"/>
      <w:r w:rsidR="004315A2">
        <w:t>2</w:t>
      </w:r>
      <w:r w:rsidR="00070815">
        <w:t>]</w:t>
      </w:r>
      <w:r w:rsidR="00BB28AA">
        <w:t>.</w:t>
      </w:r>
    </w:p>
    <w:p w14:paraId="3386FEDE" w14:textId="77777777" w:rsidR="00BB28AA" w:rsidRDefault="00BB28AA" w:rsidP="00BB28AA">
      <w:pPr>
        <w:pStyle w:val="BodyText"/>
        <w:spacing w:before="73"/>
        <w:ind w:left="0" w:right="0"/>
        <w:jc w:val="left"/>
      </w:pPr>
    </w:p>
    <w:p w14:paraId="2CA234D1" w14:textId="7E4F6682" w:rsidR="00BB28AA" w:rsidRDefault="00A80E32" w:rsidP="00BB28AA">
      <w:pPr>
        <w:pStyle w:val="BodyText"/>
        <w:spacing w:before="73"/>
        <w:ind w:left="0" w:right="0"/>
        <w:jc w:val="left"/>
        <w:rPr>
          <w:color w:val="222222"/>
          <w:shd w:val="clear" w:color="auto" w:fill="FFFFFF"/>
        </w:rPr>
      </w:pPr>
      <w:r w:rsidRPr="00A80E32">
        <w:rPr>
          <w:u w:val="single"/>
        </w:rPr>
        <w:t xml:space="preserve">Gerstein lab experience with </w:t>
      </w:r>
      <w:r w:rsidR="00A85D63">
        <w:rPr>
          <w:u w:val="single"/>
        </w:rPr>
        <w:t>p</w:t>
      </w:r>
      <w:r w:rsidRPr="00A80E32">
        <w:rPr>
          <w:u w:val="single"/>
        </w:rPr>
        <w:t xml:space="preserve">rediction of </w:t>
      </w:r>
      <w:r w:rsidR="00A85D63">
        <w:rPr>
          <w:u w:val="single"/>
        </w:rPr>
        <w:t>l</w:t>
      </w:r>
      <w:r w:rsidRPr="00A80E32">
        <w:rPr>
          <w:u w:val="single"/>
        </w:rPr>
        <w:t>igand–</w:t>
      </w:r>
      <w:r w:rsidR="00A85D63">
        <w:rPr>
          <w:u w:val="single"/>
        </w:rPr>
        <w:t>p</w:t>
      </w:r>
      <w:r w:rsidRPr="00A80E32">
        <w:rPr>
          <w:u w:val="single"/>
        </w:rPr>
        <w:t xml:space="preserve">rotein </w:t>
      </w:r>
      <w:r w:rsidR="00A85D63">
        <w:rPr>
          <w:u w:val="single"/>
        </w:rPr>
        <w:t>b</w:t>
      </w:r>
      <w:r w:rsidRPr="00A80E32">
        <w:rPr>
          <w:u w:val="single"/>
        </w:rPr>
        <w:t xml:space="preserve">inding </w:t>
      </w:r>
      <w:r w:rsidR="00A85D63">
        <w:rPr>
          <w:u w:val="single"/>
        </w:rPr>
        <w:t>a</w:t>
      </w:r>
      <w:r w:rsidRPr="00A80E32">
        <w:rPr>
          <w:u w:val="single"/>
        </w:rPr>
        <w:t>ffinities:</w:t>
      </w:r>
      <w:r>
        <w:t xml:space="preserve"> </w:t>
      </w:r>
      <w:r w:rsidR="00F57FE9">
        <w:t xml:space="preserve">To </w:t>
      </w:r>
      <w:r w:rsidR="00E8605D">
        <w:t>rank</w:t>
      </w:r>
      <w:r w:rsidR="00F57FE9">
        <w:t xml:space="preserve"> </w:t>
      </w:r>
      <w:r w:rsidR="00A02755">
        <w:t>molecular</w:t>
      </w:r>
      <w:r w:rsidR="00F57FE9">
        <w:t xml:space="preserve"> compounds</w:t>
      </w:r>
      <w:r w:rsidR="00E8605D">
        <w:t xml:space="preserve"> based on protein-ligand affinity</w:t>
      </w:r>
      <w:r w:rsidR="00F57FE9">
        <w:t xml:space="preserve">, we developed a meta modeling </w:t>
      </w:r>
      <w:proofErr w:type="gramStart"/>
      <w:r w:rsidR="00F57FE9">
        <w:t>approach</w:t>
      </w:r>
      <w:r w:rsidR="004F5F28">
        <w:t>[</w:t>
      </w:r>
      <w:proofErr w:type="gramEnd"/>
      <w:r w:rsidR="00522625">
        <w:t>3</w:t>
      </w:r>
      <w:r w:rsidR="004F5F28">
        <w:t>]</w:t>
      </w:r>
      <w:r w:rsidR="00E8605D">
        <w:rPr>
          <w:spacing w:val="-2"/>
        </w:rPr>
        <w:t xml:space="preserve"> </w:t>
      </w:r>
      <w:r w:rsidR="00E8605D">
        <w:t>showing</w:t>
      </w:r>
      <w:r w:rsidR="00E8605D">
        <w:rPr>
          <w:spacing w:val="-2"/>
        </w:rPr>
        <w:t xml:space="preserve"> </w:t>
      </w:r>
      <w:r w:rsidR="00E8605D">
        <w:t>that</w:t>
      </w:r>
      <w:r w:rsidR="00E8605D">
        <w:rPr>
          <w:spacing w:val="-2"/>
        </w:rPr>
        <w:t xml:space="preserve"> </w:t>
      </w:r>
      <w:r w:rsidR="00E8605D">
        <w:t>integrating</w:t>
      </w:r>
      <w:r w:rsidR="00E8605D">
        <w:rPr>
          <w:spacing w:val="-2"/>
        </w:rPr>
        <w:t xml:space="preserve"> </w:t>
      </w:r>
      <w:r w:rsidR="00E8605D">
        <w:t>outputs</w:t>
      </w:r>
      <w:r w:rsidR="00E8605D">
        <w:rPr>
          <w:spacing w:val="-2"/>
        </w:rPr>
        <w:t xml:space="preserve"> </w:t>
      </w:r>
      <w:r w:rsidR="00E8605D">
        <w:t>from</w:t>
      </w:r>
      <w:r w:rsidR="00E8605D">
        <w:rPr>
          <w:spacing w:val="-2"/>
        </w:rPr>
        <w:t xml:space="preserve"> </w:t>
      </w:r>
      <w:r w:rsidR="00E8605D">
        <w:t>multiple</w:t>
      </w:r>
      <w:r w:rsidR="00E8605D">
        <w:rPr>
          <w:spacing w:val="-2"/>
        </w:rPr>
        <w:t xml:space="preserve"> </w:t>
      </w:r>
      <w:r w:rsidR="00E8605D">
        <w:t>complementary</w:t>
      </w:r>
      <w:r w:rsidR="00E8605D">
        <w:rPr>
          <w:spacing w:val="-8"/>
        </w:rPr>
        <w:t xml:space="preserve"> </w:t>
      </w:r>
      <w:r w:rsidR="00E8605D">
        <w:t>models</w:t>
      </w:r>
      <w:r w:rsidR="00E8605D">
        <w:rPr>
          <w:spacing w:val="-8"/>
        </w:rPr>
        <w:t xml:space="preserve"> </w:t>
      </w:r>
      <w:r w:rsidR="00E8605D">
        <w:t>outperforms</w:t>
      </w:r>
      <w:r w:rsidR="00E8605D">
        <w:rPr>
          <w:spacing w:val="-8"/>
        </w:rPr>
        <w:t xml:space="preserve"> </w:t>
      </w:r>
      <w:r w:rsidR="00E8605D">
        <w:t>traditional</w:t>
      </w:r>
      <w:r w:rsidR="00E8605D">
        <w:rPr>
          <w:spacing w:val="-8"/>
        </w:rPr>
        <w:t xml:space="preserve"> </w:t>
      </w:r>
      <w:r w:rsidR="00E8605D">
        <w:t>method</w:t>
      </w:r>
      <w:r w:rsidR="00877FB7">
        <w:t xml:space="preserve">s </w:t>
      </w:r>
      <w:r w:rsidR="00E8605D">
        <w:t>in</w:t>
      </w:r>
      <w:r w:rsidR="00E8605D">
        <w:rPr>
          <w:spacing w:val="-8"/>
        </w:rPr>
        <w:t xml:space="preserve"> </w:t>
      </w:r>
      <w:r w:rsidR="00E8605D">
        <w:t>both</w:t>
      </w:r>
      <w:r w:rsidR="00E8605D">
        <w:rPr>
          <w:spacing w:val="-8"/>
        </w:rPr>
        <w:t xml:space="preserve"> </w:t>
      </w:r>
      <w:r w:rsidR="00E8605D">
        <w:t>accuracy</w:t>
      </w:r>
      <w:r w:rsidR="00E8605D">
        <w:rPr>
          <w:spacing w:val="-8"/>
        </w:rPr>
        <w:t xml:space="preserve"> </w:t>
      </w:r>
      <w:r w:rsidR="00E8605D">
        <w:t>and</w:t>
      </w:r>
      <w:r w:rsidR="00E8605D">
        <w:rPr>
          <w:spacing w:val="-8"/>
        </w:rPr>
        <w:t xml:space="preserve"> </w:t>
      </w:r>
      <w:r w:rsidR="0062706D">
        <w:t>robustness.</w:t>
      </w:r>
      <w:r w:rsidR="00511DDB">
        <w:t xml:space="preserve"> </w:t>
      </w:r>
      <w:r w:rsidR="00511DDB" w:rsidRPr="00511DDB">
        <w:t xml:space="preserve">In the process we </w:t>
      </w:r>
      <w:r w:rsidR="00511DDB" w:rsidRPr="00511DDB">
        <w:rPr>
          <w:color w:val="222222"/>
          <w:shd w:val="clear" w:color="auto" w:fill="FFFFFF"/>
        </w:rPr>
        <w:t>evaluate many combinations of individual base models, training databases, and several meta-modeling approaches</w:t>
      </w:r>
      <w:r w:rsidR="005C22DA">
        <w:rPr>
          <w:color w:val="222222"/>
          <w:shd w:val="clear" w:color="auto" w:fill="FFFFFF"/>
        </w:rPr>
        <w:t>.</w:t>
      </w:r>
    </w:p>
    <w:p w14:paraId="7A78E0E4" w14:textId="77777777" w:rsidR="00F86447" w:rsidRDefault="00F86447" w:rsidP="00BB28AA">
      <w:pPr>
        <w:pStyle w:val="BodyText"/>
        <w:spacing w:before="73"/>
        <w:ind w:left="0" w:right="0"/>
        <w:jc w:val="left"/>
        <w:rPr>
          <w:color w:val="222222"/>
          <w:shd w:val="clear" w:color="auto" w:fill="FFFFFF"/>
        </w:rPr>
      </w:pPr>
    </w:p>
    <w:p w14:paraId="1947D71C" w14:textId="3467501B" w:rsidR="00A02755" w:rsidRPr="00A67594" w:rsidRDefault="00DF1DF6" w:rsidP="00BB28AA">
      <w:pPr>
        <w:pStyle w:val="BodyText"/>
        <w:spacing w:before="73"/>
        <w:ind w:left="0" w:right="0"/>
        <w:jc w:val="left"/>
        <w:rPr>
          <w:u w:val="single"/>
        </w:rPr>
      </w:pPr>
      <w:r w:rsidRPr="00A67594">
        <w:rPr>
          <w:u w:val="single"/>
        </w:rPr>
        <w:lastRenderedPageBreak/>
        <w:t>References:</w:t>
      </w:r>
    </w:p>
    <w:p w14:paraId="41608FD6" w14:textId="77777777" w:rsidR="00DF1DF6" w:rsidRDefault="00DF1DF6" w:rsidP="00BB28AA">
      <w:pPr>
        <w:pStyle w:val="BodyText"/>
        <w:spacing w:before="73"/>
        <w:ind w:left="0" w:right="0"/>
        <w:jc w:val="left"/>
      </w:pPr>
    </w:p>
    <w:p w14:paraId="2468603A" w14:textId="68FF762F" w:rsidR="00DF1DF6" w:rsidRDefault="00DF1DF6" w:rsidP="00DF1D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 w:rsidRPr="00CC68E7">
        <w:rPr>
          <w:rFonts w:ascii="Arial" w:hAnsi="Arial" w:cs="Arial"/>
          <w:kern w:val="0"/>
          <w:sz w:val="22"/>
          <w:szCs w:val="22"/>
        </w:rPr>
        <w:t>Frank M, Ni P, Jensen M, Gerstein MB. Leveraging a large language model to predict protein phase transition:</w:t>
      </w:r>
      <w:r w:rsidR="00F86447">
        <w:rPr>
          <w:rFonts w:ascii="Arial" w:hAnsi="Arial" w:cs="Arial"/>
          <w:kern w:val="0"/>
          <w:sz w:val="22"/>
          <w:szCs w:val="22"/>
        </w:rPr>
        <w:t xml:space="preserve"> </w:t>
      </w:r>
      <w:r w:rsidRPr="00F86447">
        <w:rPr>
          <w:rFonts w:ascii="Arial" w:hAnsi="Arial" w:cs="Arial"/>
          <w:kern w:val="0"/>
          <w:sz w:val="22"/>
          <w:szCs w:val="22"/>
        </w:rPr>
        <w:t xml:space="preserve">A physical, multiscale, and interpretable approach [Journal Article]. Proc Natl </w:t>
      </w:r>
      <w:proofErr w:type="spellStart"/>
      <w:r w:rsidRPr="00F86447">
        <w:rPr>
          <w:rFonts w:ascii="Arial" w:hAnsi="Arial" w:cs="Arial"/>
          <w:kern w:val="0"/>
          <w:sz w:val="22"/>
          <w:szCs w:val="22"/>
        </w:rPr>
        <w:t>Acad</w:t>
      </w:r>
      <w:proofErr w:type="spellEnd"/>
      <w:r w:rsidRPr="00F86447">
        <w:rPr>
          <w:rFonts w:ascii="Arial" w:hAnsi="Arial" w:cs="Arial"/>
          <w:kern w:val="0"/>
          <w:sz w:val="22"/>
          <w:szCs w:val="22"/>
        </w:rPr>
        <w:t xml:space="preserve"> Sci U S A. 2024.</w:t>
      </w:r>
    </w:p>
    <w:p w14:paraId="20F2B552" w14:textId="77777777" w:rsidR="00F86447" w:rsidRPr="00F86447" w:rsidRDefault="00F86447" w:rsidP="00F86447">
      <w:pPr>
        <w:pStyle w:val="ListParagraph"/>
        <w:autoSpaceDE w:val="0"/>
        <w:autoSpaceDN w:val="0"/>
        <w:adjustRightInd w:val="0"/>
        <w:spacing w:after="0" w:line="240" w:lineRule="auto"/>
        <w:ind w:left="400"/>
        <w:rPr>
          <w:rFonts w:ascii="Arial" w:hAnsi="Arial" w:cs="Arial"/>
          <w:kern w:val="0"/>
          <w:sz w:val="22"/>
          <w:szCs w:val="22"/>
        </w:rPr>
      </w:pPr>
    </w:p>
    <w:p w14:paraId="0D8B74AF" w14:textId="38524074" w:rsidR="00510750" w:rsidRDefault="00510750" w:rsidP="0051075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 w:rsidRPr="00CC68E7">
        <w:rPr>
          <w:rFonts w:ascii="Arial" w:hAnsi="Arial" w:cs="Arial"/>
          <w:kern w:val="0"/>
          <w:sz w:val="22"/>
          <w:szCs w:val="22"/>
        </w:rPr>
        <w:t>Emani PS, Liu JJ, Clarke D, Jensen M, Warrell J, Gupta C, et al. Single-cell genomics and regulatory</w:t>
      </w:r>
      <w:r w:rsidR="00F86447">
        <w:rPr>
          <w:rFonts w:ascii="Arial" w:hAnsi="Arial" w:cs="Arial"/>
          <w:kern w:val="0"/>
          <w:sz w:val="22"/>
          <w:szCs w:val="22"/>
        </w:rPr>
        <w:t xml:space="preserve"> </w:t>
      </w:r>
      <w:r w:rsidRPr="00F86447">
        <w:rPr>
          <w:rFonts w:ascii="Arial" w:hAnsi="Arial" w:cs="Arial"/>
          <w:kern w:val="0"/>
          <w:sz w:val="22"/>
          <w:szCs w:val="22"/>
        </w:rPr>
        <w:t>networks for 388 human brains [Journal Article]. Science. 2024.</w:t>
      </w:r>
    </w:p>
    <w:p w14:paraId="62D88CDA" w14:textId="77777777" w:rsidR="00F86447" w:rsidRPr="00F86447" w:rsidRDefault="00F86447" w:rsidP="00F86447">
      <w:pPr>
        <w:pStyle w:val="ListParagraph"/>
        <w:rPr>
          <w:rFonts w:ascii="Arial" w:hAnsi="Arial" w:cs="Arial"/>
          <w:kern w:val="0"/>
          <w:sz w:val="22"/>
          <w:szCs w:val="22"/>
        </w:rPr>
      </w:pPr>
    </w:p>
    <w:p w14:paraId="1E92050D" w14:textId="77777777" w:rsidR="00F86447" w:rsidRPr="00F86447" w:rsidRDefault="00F86447" w:rsidP="00F86447">
      <w:pPr>
        <w:pStyle w:val="ListParagraph"/>
        <w:autoSpaceDE w:val="0"/>
        <w:autoSpaceDN w:val="0"/>
        <w:adjustRightInd w:val="0"/>
        <w:spacing w:after="0" w:line="240" w:lineRule="auto"/>
        <w:ind w:left="400"/>
        <w:rPr>
          <w:rFonts w:ascii="Arial" w:hAnsi="Arial" w:cs="Arial"/>
          <w:kern w:val="0"/>
          <w:sz w:val="22"/>
          <w:szCs w:val="22"/>
        </w:rPr>
      </w:pPr>
    </w:p>
    <w:p w14:paraId="2735DFF7" w14:textId="20E36B45" w:rsidR="001B7C98" w:rsidRPr="00F86447" w:rsidRDefault="00510750" w:rsidP="00F8644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 w:rsidRPr="00CC68E7">
        <w:rPr>
          <w:rFonts w:ascii="Arial" w:hAnsi="Arial" w:cs="Arial"/>
          <w:kern w:val="0"/>
          <w:sz w:val="22"/>
          <w:szCs w:val="22"/>
        </w:rPr>
        <w:t>Lee HJ, Emani PS, Gerstein MB. Improved Prediction of Ligand–Protein Binding Affinities by Metamodeling.</w:t>
      </w:r>
      <w:r w:rsidR="00F86447">
        <w:rPr>
          <w:rFonts w:ascii="Arial" w:hAnsi="Arial" w:cs="Arial"/>
          <w:kern w:val="0"/>
          <w:sz w:val="22"/>
          <w:szCs w:val="22"/>
        </w:rPr>
        <w:t xml:space="preserve"> </w:t>
      </w:r>
      <w:r w:rsidRPr="00F86447">
        <w:rPr>
          <w:rFonts w:ascii="Arial" w:hAnsi="Arial" w:cs="Arial"/>
          <w:kern w:val="0"/>
          <w:sz w:val="22"/>
          <w:szCs w:val="22"/>
        </w:rPr>
        <w:t>Journal of Chemical Information and Modeling. 202</w:t>
      </w:r>
      <w:r w:rsidR="00F86447" w:rsidRPr="00F86447">
        <w:rPr>
          <w:rFonts w:ascii="Arial" w:hAnsi="Arial" w:cs="Arial"/>
          <w:kern w:val="0"/>
          <w:sz w:val="22"/>
          <w:szCs w:val="22"/>
        </w:rPr>
        <w:t>4.</w:t>
      </w:r>
    </w:p>
    <w:p w14:paraId="5E398E05" w14:textId="77777777" w:rsidR="00F86447" w:rsidRPr="00AC6875" w:rsidRDefault="00F86447" w:rsidP="00F86447">
      <w:pPr>
        <w:rPr>
          <w:rFonts w:ascii="Arial" w:hAnsi="Arial" w:cs="Arial"/>
        </w:rPr>
      </w:pPr>
    </w:p>
    <w:sectPr w:rsidR="00F86447" w:rsidRPr="00AC6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D1572" w14:textId="77777777" w:rsidR="007F5D56" w:rsidRDefault="007F5D56" w:rsidP="00880133">
      <w:pPr>
        <w:spacing w:after="0" w:line="240" w:lineRule="auto"/>
      </w:pPr>
      <w:r>
        <w:separator/>
      </w:r>
    </w:p>
  </w:endnote>
  <w:endnote w:type="continuationSeparator" w:id="0">
    <w:p w14:paraId="2ECA5CA5" w14:textId="77777777" w:rsidR="007F5D56" w:rsidRDefault="007F5D56" w:rsidP="00880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833E7" w14:textId="77777777" w:rsidR="007F5D56" w:rsidRDefault="007F5D56" w:rsidP="00880133">
      <w:pPr>
        <w:spacing w:after="0" w:line="240" w:lineRule="auto"/>
      </w:pPr>
      <w:r>
        <w:separator/>
      </w:r>
    </w:p>
  </w:footnote>
  <w:footnote w:type="continuationSeparator" w:id="0">
    <w:p w14:paraId="16935BC2" w14:textId="77777777" w:rsidR="007F5D56" w:rsidRDefault="007F5D56" w:rsidP="00880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6984"/>
    <w:multiLevelType w:val="multilevel"/>
    <w:tmpl w:val="8210391A"/>
    <w:lvl w:ilvl="0">
      <w:start w:val="1"/>
      <w:numFmt w:val="decimal"/>
      <w:lvlText w:val="%1"/>
      <w:lvlJc w:val="left"/>
      <w:pPr>
        <w:ind w:left="446" w:hanging="447"/>
      </w:pPr>
      <w:rPr>
        <w:rFonts w:hint="default"/>
        <w:spacing w:val="0"/>
        <w:w w:val="10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71" w:hanging="572"/>
      </w:pPr>
      <w:rPr>
        <w:rFonts w:hint="default"/>
        <w:spacing w:val="0"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0" w:hanging="70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885" w:hanging="88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1774" w:hanging="8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669" w:hanging="8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64" w:hanging="8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459" w:hanging="8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354" w:hanging="886"/>
      </w:pPr>
      <w:rPr>
        <w:rFonts w:hint="default"/>
        <w:lang w:val="en-US" w:eastAsia="en-US" w:bidi="ar-SA"/>
      </w:rPr>
    </w:lvl>
  </w:abstractNum>
  <w:abstractNum w:abstractNumId="1" w15:restartNumberingAfterBreak="0">
    <w:nsid w:val="3A1E583F"/>
    <w:multiLevelType w:val="hybridMultilevel"/>
    <w:tmpl w:val="9DEE3CA6"/>
    <w:lvl w:ilvl="0" w:tplc="FD94BF4E">
      <w:start w:val="1"/>
      <w:numFmt w:val="decimal"/>
      <w:lvlText w:val="%1."/>
      <w:lvlJc w:val="left"/>
      <w:pPr>
        <w:ind w:left="400" w:hanging="360"/>
      </w:pPr>
      <w:rPr>
        <w:rFonts w:asciiTheme="minorHAnsi" w:hAnsi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3C234D51"/>
    <w:multiLevelType w:val="hybridMultilevel"/>
    <w:tmpl w:val="98463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27348"/>
    <w:multiLevelType w:val="hybridMultilevel"/>
    <w:tmpl w:val="32A43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571330">
    <w:abstractNumId w:val="0"/>
  </w:num>
  <w:num w:numId="2" w16cid:durableId="220363031">
    <w:abstractNumId w:val="2"/>
  </w:num>
  <w:num w:numId="3" w16cid:durableId="1779712808">
    <w:abstractNumId w:val="3"/>
  </w:num>
  <w:num w:numId="4" w16cid:durableId="1058938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526"/>
    <w:rsid w:val="00030A94"/>
    <w:rsid w:val="00030AC5"/>
    <w:rsid w:val="00043871"/>
    <w:rsid w:val="000564A4"/>
    <w:rsid w:val="00070815"/>
    <w:rsid w:val="00085BC4"/>
    <w:rsid w:val="000C0D40"/>
    <w:rsid w:val="000C34F6"/>
    <w:rsid w:val="000D57CE"/>
    <w:rsid w:val="000F72DA"/>
    <w:rsid w:val="00100B91"/>
    <w:rsid w:val="001069F2"/>
    <w:rsid w:val="00115BCF"/>
    <w:rsid w:val="00155688"/>
    <w:rsid w:val="0015792A"/>
    <w:rsid w:val="00166D40"/>
    <w:rsid w:val="00175F33"/>
    <w:rsid w:val="001958BB"/>
    <w:rsid w:val="001A06B3"/>
    <w:rsid w:val="001B7C98"/>
    <w:rsid w:val="001F0B2B"/>
    <w:rsid w:val="001F4266"/>
    <w:rsid w:val="002000A1"/>
    <w:rsid w:val="00204092"/>
    <w:rsid w:val="00255F3F"/>
    <w:rsid w:val="00265B15"/>
    <w:rsid w:val="0027518C"/>
    <w:rsid w:val="00280795"/>
    <w:rsid w:val="002900E5"/>
    <w:rsid w:val="0029164E"/>
    <w:rsid w:val="002954D9"/>
    <w:rsid w:val="002A7271"/>
    <w:rsid w:val="002B468F"/>
    <w:rsid w:val="002E76A9"/>
    <w:rsid w:val="002F6E9B"/>
    <w:rsid w:val="00320E4E"/>
    <w:rsid w:val="00336CAC"/>
    <w:rsid w:val="00346772"/>
    <w:rsid w:val="00355492"/>
    <w:rsid w:val="00365B6E"/>
    <w:rsid w:val="003801D1"/>
    <w:rsid w:val="00381CE5"/>
    <w:rsid w:val="00383E26"/>
    <w:rsid w:val="00387F1A"/>
    <w:rsid w:val="003A118B"/>
    <w:rsid w:val="003C0B9D"/>
    <w:rsid w:val="003C2DAD"/>
    <w:rsid w:val="003D1B7F"/>
    <w:rsid w:val="003D4EC5"/>
    <w:rsid w:val="003D628D"/>
    <w:rsid w:val="003E1844"/>
    <w:rsid w:val="003F685F"/>
    <w:rsid w:val="003F6B0B"/>
    <w:rsid w:val="004315A2"/>
    <w:rsid w:val="00456EDC"/>
    <w:rsid w:val="004670FB"/>
    <w:rsid w:val="00474316"/>
    <w:rsid w:val="004B27A3"/>
    <w:rsid w:val="004C3ABC"/>
    <w:rsid w:val="004C438C"/>
    <w:rsid w:val="004C6116"/>
    <w:rsid w:val="004C63C3"/>
    <w:rsid w:val="004D254F"/>
    <w:rsid w:val="004D57F3"/>
    <w:rsid w:val="004E6780"/>
    <w:rsid w:val="004F37DD"/>
    <w:rsid w:val="004F5F28"/>
    <w:rsid w:val="00510750"/>
    <w:rsid w:val="00511DDB"/>
    <w:rsid w:val="00521D72"/>
    <w:rsid w:val="00522625"/>
    <w:rsid w:val="005336E3"/>
    <w:rsid w:val="00552393"/>
    <w:rsid w:val="00566DFB"/>
    <w:rsid w:val="005865D0"/>
    <w:rsid w:val="005928FF"/>
    <w:rsid w:val="005969F1"/>
    <w:rsid w:val="005A2CA0"/>
    <w:rsid w:val="005A4C2F"/>
    <w:rsid w:val="005A5E11"/>
    <w:rsid w:val="005B323D"/>
    <w:rsid w:val="005B679D"/>
    <w:rsid w:val="005C06D2"/>
    <w:rsid w:val="005C1DB1"/>
    <w:rsid w:val="005C22DA"/>
    <w:rsid w:val="005F0F3B"/>
    <w:rsid w:val="006172AA"/>
    <w:rsid w:val="0062597F"/>
    <w:rsid w:val="0062706D"/>
    <w:rsid w:val="00633F3B"/>
    <w:rsid w:val="0066294C"/>
    <w:rsid w:val="00672DCB"/>
    <w:rsid w:val="00674864"/>
    <w:rsid w:val="00684A8C"/>
    <w:rsid w:val="00691A26"/>
    <w:rsid w:val="006A30BE"/>
    <w:rsid w:val="006A66DE"/>
    <w:rsid w:val="006C7DDF"/>
    <w:rsid w:val="006E2B8A"/>
    <w:rsid w:val="006F1194"/>
    <w:rsid w:val="00714AE8"/>
    <w:rsid w:val="00734CAC"/>
    <w:rsid w:val="00743386"/>
    <w:rsid w:val="00754543"/>
    <w:rsid w:val="00775FE1"/>
    <w:rsid w:val="00796E0A"/>
    <w:rsid w:val="00797512"/>
    <w:rsid w:val="007D79C6"/>
    <w:rsid w:val="007F4984"/>
    <w:rsid w:val="007F5D56"/>
    <w:rsid w:val="007F74CC"/>
    <w:rsid w:val="00836540"/>
    <w:rsid w:val="008403FA"/>
    <w:rsid w:val="0084294E"/>
    <w:rsid w:val="008665BC"/>
    <w:rsid w:val="00870263"/>
    <w:rsid w:val="00877FB7"/>
    <w:rsid w:val="00880133"/>
    <w:rsid w:val="00880445"/>
    <w:rsid w:val="0088293A"/>
    <w:rsid w:val="00884B14"/>
    <w:rsid w:val="008952D3"/>
    <w:rsid w:val="008B784F"/>
    <w:rsid w:val="008C76CF"/>
    <w:rsid w:val="008D14B6"/>
    <w:rsid w:val="008E3BE3"/>
    <w:rsid w:val="0090099E"/>
    <w:rsid w:val="00937738"/>
    <w:rsid w:val="009402DA"/>
    <w:rsid w:val="00944576"/>
    <w:rsid w:val="00947831"/>
    <w:rsid w:val="009553B3"/>
    <w:rsid w:val="00971F7E"/>
    <w:rsid w:val="009913C5"/>
    <w:rsid w:val="009C0F1B"/>
    <w:rsid w:val="009C4A1C"/>
    <w:rsid w:val="009C7167"/>
    <w:rsid w:val="009D614D"/>
    <w:rsid w:val="00A0263B"/>
    <w:rsid w:val="00A02755"/>
    <w:rsid w:val="00A057CE"/>
    <w:rsid w:val="00A177A9"/>
    <w:rsid w:val="00A30636"/>
    <w:rsid w:val="00A35359"/>
    <w:rsid w:val="00A40E5C"/>
    <w:rsid w:val="00A6692E"/>
    <w:rsid w:val="00A67594"/>
    <w:rsid w:val="00A72E7A"/>
    <w:rsid w:val="00A779C5"/>
    <w:rsid w:val="00A80E32"/>
    <w:rsid w:val="00A83F42"/>
    <w:rsid w:val="00A8593C"/>
    <w:rsid w:val="00A85D63"/>
    <w:rsid w:val="00A95173"/>
    <w:rsid w:val="00AA07BB"/>
    <w:rsid w:val="00AB028B"/>
    <w:rsid w:val="00AC6875"/>
    <w:rsid w:val="00AF3B8E"/>
    <w:rsid w:val="00B21C9C"/>
    <w:rsid w:val="00B34A3D"/>
    <w:rsid w:val="00B522A1"/>
    <w:rsid w:val="00B53B5D"/>
    <w:rsid w:val="00B667FB"/>
    <w:rsid w:val="00B839A9"/>
    <w:rsid w:val="00B95F3B"/>
    <w:rsid w:val="00BB28AA"/>
    <w:rsid w:val="00BC050F"/>
    <w:rsid w:val="00BF1EC1"/>
    <w:rsid w:val="00C03313"/>
    <w:rsid w:val="00C0616B"/>
    <w:rsid w:val="00C06268"/>
    <w:rsid w:val="00C12B5B"/>
    <w:rsid w:val="00C52AA1"/>
    <w:rsid w:val="00C67BE7"/>
    <w:rsid w:val="00C708E4"/>
    <w:rsid w:val="00C838C0"/>
    <w:rsid w:val="00CA53C4"/>
    <w:rsid w:val="00CC68E7"/>
    <w:rsid w:val="00CD72E6"/>
    <w:rsid w:val="00CF07DD"/>
    <w:rsid w:val="00CF1B22"/>
    <w:rsid w:val="00CF2DA7"/>
    <w:rsid w:val="00D164A1"/>
    <w:rsid w:val="00D24197"/>
    <w:rsid w:val="00D445A3"/>
    <w:rsid w:val="00D54FF5"/>
    <w:rsid w:val="00D60778"/>
    <w:rsid w:val="00D65769"/>
    <w:rsid w:val="00D96B2A"/>
    <w:rsid w:val="00DB5712"/>
    <w:rsid w:val="00DB59F1"/>
    <w:rsid w:val="00DE5CD5"/>
    <w:rsid w:val="00DF1DF6"/>
    <w:rsid w:val="00DF227B"/>
    <w:rsid w:val="00E07763"/>
    <w:rsid w:val="00E14FA3"/>
    <w:rsid w:val="00E20526"/>
    <w:rsid w:val="00E352F2"/>
    <w:rsid w:val="00E753EB"/>
    <w:rsid w:val="00E8605D"/>
    <w:rsid w:val="00EA2046"/>
    <w:rsid w:val="00EB1707"/>
    <w:rsid w:val="00EE07B9"/>
    <w:rsid w:val="00EF0EC2"/>
    <w:rsid w:val="00EF437A"/>
    <w:rsid w:val="00EF4F32"/>
    <w:rsid w:val="00F005F9"/>
    <w:rsid w:val="00F171CC"/>
    <w:rsid w:val="00F34947"/>
    <w:rsid w:val="00F57FE9"/>
    <w:rsid w:val="00F739AC"/>
    <w:rsid w:val="00F86447"/>
    <w:rsid w:val="00F869AB"/>
    <w:rsid w:val="00F91FFA"/>
    <w:rsid w:val="00FC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E7E98B"/>
  <w15:chartTrackingRefBased/>
  <w15:docId w15:val="{4AE6BDE4-9236-A647-8566-C3AA83D7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20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52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20526"/>
    <w:pPr>
      <w:widowControl w:val="0"/>
      <w:autoSpaceDE w:val="0"/>
      <w:autoSpaceDN w:val="0"/>
      <w:spacing w:before="180" w:after="0" w:line="240" w:lineRule="auto"/>
      <w:ind w:left="533" w:right="358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20526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80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133"/>
  </w:style>
  <w:style w:type="paragraph" w:styleId="Footer">
    <w:name w:val="footer"/>
    <w:basedOn w:val="Normal"/>
    <w:link w:val="FooterChar"/>
    <w:uiPriority w:val="99"/>
    <w:unhideWhenUsed/>
    <w:rsid w:val="00880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Frank, Mor</dc:creator>
  <cp:keywords/>
  <dc:description/>
  <cp:lastModifiedBy>Frank, Mor</cp:lastModifiedBy>
  <cp:revision>91</cp:revision>
  <dcterms:created xsi:type="dcterms:W3CDTF">2025-09-06T22:59:00Z</dcterms:created>
  <dcterms:modified xsi:type="dcterms:W3CDTF">2025-09-07T23:36:00Z</dcterms:modified>
</cp:coreProperties>
</file>