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23EBB72" w14:textId="77777777" w:rsidR="00B2768A" w:rsidRDefault="00C7420B">
      <w:pPr>
        <w:pStyle w:val="Heading2"/>
        <w:spacing w:before="280"/>
      </w:pPr>
      <w:bookmarkStart w:id="0" w:name="_7ep2aqr004rd" w:colFirst="0" w:colLast="0"/>
      <w:bookmarkEnd w:id="0"/>
      <w:r>
        <w:t>&lt;ID&gt;REF1.1 – Positive comments on the resource releases</w:t>
      </w:r>
    </w:p>
    <w:p w14:paraId="3BA9C1B5" w14:textId="77777777" w:rsidR="00B2768A" w:rsidRDefault="00C7420B">
      <w:r>
        <w:t>&lt;TYPE&gt;$$$</w:t>
      </w:r>
      <w:proofErr w:type="spellStart"/>
      <w:r>
        <w:t>NoveltyPos</w:t>
      </w:r>
      <w:proofErr w:type="spellEnd"/>
    </w:p>
    <w:p w14:paraId="7A7914EE" w14:textId="77777777" w:rsidR="00B2768A" w:rsidRDefault="00C7420B">
      <w:r>
        <w:t>&lt;ASSIGN&gt;</w:t>
      </w:r>
    </w:p>
    <w:p w14:paraId="1224E6B9" w14:textId="77777777" w:rsidR="00B2768A" w:rsidRDefault="00C7420B">
      <w:r>
        <w:t>&lt;PLAN&gt;&amp;&amp;&amp;</w:t>
      </w:r>
      <w:proofErr w:type="spellStart"/>
      <w:r>
        <w:t>AgreeFix</w:t>
      </w:r>
      <w:proofErr w:type="spellEnd"/>
    </w:p>
    <w:p w14:paraId="2CB40F37" w14:textId="77777777" w:rsidR="00B2768A" w:rsidRDefault="00C7420B">
      <w:r>
        <w:t>&lt;STATUS&gt;%%%100DONE</w:t>
      </w:r>
    </w:p>
    <w:p w14:paraId="12B879D0" w14:textId="77777777" w:rsidR="00B2768A" w:rsidRDefault="00B2768A"/>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8115"/>
      </w:tblGrid>
      <w:tr w:rsidR="00B2768A" w14:paraId="3B792962" w14:textId="77777777">
        <w:tc>
          <w:tcPr>
            <w:tcW w:w="1245" w:type="dxa"/>
            <w:shd w:val="clear" w:color="auto" w:fill="auto"/>
            <w:tcMar>
              <w:top w:w="100" w:type="dxa"/>
              <w:left w:w="100" w:type="dxa"/>
              <w:bottom w:w="100" w:type="dxa"/>
              <w:right w:w="100" w:type="dxa"/>
            </w:tcMar>
          </w:tcPr>
          <w:p w14:paraId="4A25E951" w14:textId="77777777" w:rsidR="00B2768A" w:rsidRDefault="00C7420B">
            <w:pPr>
              <w:spacing w:line="240" w:lineRule="auto"/>
              <w:rPr>
                <w:rFonts w:ascii="Courier New" w:eastAsia="Courier New" w:hAnsi="Courier New" w:cs="Courier New"/>
                <w:sz w:val="20"/>
                <w:szCs w:val="20"/>
              </w:rPr>
            </w:pPr>
            <w:r>
              <w:rPr>
                <w:rFonts w:ascii="Courier New" w:eastAsia="Courier New" w:hAnsi="Courier New" w:cs="Courier New"/>
                <w:sz w:val="20"/>
                <w:szCs w:val="20"/>
              </w:rPr>
              <w:t>Referee</w:t>
            </w:r>
          </w:p>
          <w:p w14:paraId="2B74B094" w14:textId="77777777" w:rsidR="00B2768A" w:rsidRDefault="00C7420B">
            <w:pPr>
              <w:spacing w:line="240" w:lineRule="auto"/>
              <w:rPr>
                <w:rFonts w:ascii="Courier New" w:eastAsia="Courier New" w:hAnsi="Courier New" w:cs="Courier New"/>
                <w:sz w:val="20"/>
                <w:szCs w:val="20"/>
              </w:rPr>
            </w:pPr>
            <w:r>
              <w:rPr>
                <w:rFonts w:ascii="Courier New" w:eastAsia="Courier New" w:hAnsi="Courier New" w:cs="Courier New"/>
                <w:sz w:val="20"/>
                <w:szCs w:val="20"/>
              </w:rPr>
              <w:t>Comment</w:t>
            </w:r>
          </w:p>
        </w:tc>
        <w:tc>
          <w:tcPr>
            <w:tcW w:w="8115" w:type="dxa"/>
            <w:shd w:val="clear" w:color="auto" w:fill="auto"/>
            <w:tcMar>
              <w:top w:w="100" w:type="dxa"/>
              <w:left w:w="100" w:type="dxa"/>
              <w:bottom w:w="100" w:type="dxa"/>
              <w:right w:w="100" w:type="dxa"/>
            </w:tcMar>
          </w:tcPr>
          <w:p w14:paraId="36A6E3AD" w14:textId="77777777" w:rsidR="00B2768A" w:rsidRDefault="00C7420B">
            <w:pPr>
              <w:jc w:val="both"/>
              <w:rPr>
                <w:rFonts w:ascii="Courier New" w:eastAsia="Courier New" w:hAnsi="Courier New" w:cs="Courier New"/>
                <w:sz w:val="20"/>
                <w:szCs w:val="20"/>
              </w:rPr>
            </w:pPr>
            <w:r>
              <w:rPr>
                <w:rFonts w:ascii="Courier New" w:eastAsia="Courier New" w:hAnsi="Courier New" w:cs="Courier New"/>
                <w:sz w:val="20"/>
                <w:szCs w:val="20"/>
              </w:rPr>
              <w:t>This manuscript describes how the ENCODE project data could be utilized to derive insights for cancer genome analysis. It has several examples to illustrate this point, e.g., how to better estimate background mutation rate in a cancer genome, how to modify</w:t>
            </w:r>
            <w:r>
              <w:rPr>
                <w:rFonts w:ascii="Courier New" w:eastAsia="Courier New" w:hAnsi="Courier New" w:cs="Courier New"/>
                <w:sz w:val="20"/>
                <w:szCs w:val="20"/>
              </w:rPr>
              <w:t xml:space="preserve"> gene annotation for finding mutation-enriched regions (e.g., by bundling enhancer regions to target genes using Hi-C/</w:t>
            </w:r>
            <w:proofErr w:type="spellStart"/>
            <w:r>
              <w:rPr>
                <w:rFonts w:ascii="Courier New" w:eastAsia="Courier New" w:hAnsi="Courier New" w:cs="Courier New"/>
                <w:sz w:val="20"/>
                <w:szCs w:val="20"/>
              </w:rPr>
              <w:t>ChIA</w:t>
            </w:r>
            <w:proofErr w:type="spellEnd"/>
            <w:r>
              <w:rPr>
                <w:rFonts w:ascii="Courier New" w:eastAsia="Courier New" w:hAnsi="Courier New" w:cs="Courier New"/>
                <w:sz w:val="20"/>
                <w:szCs w:val="20"/>
              </w:rPr>
              <w:t>-PET), and describing the changes in regulatory networks in cancer.</w:t>
            </w:r>
            <w:r>
              <w:rPr>
                <w:rFonts w:ascii="Courier New" w:eastAsia="Courier New" w:hAnsi="Courier New" w:cs="Courier New"/>
                <w:sz w:val="20"/>
                <w:szCs w:val="20"/>
              </w:rPr>
              <w:br/>
              <w:t>Obviously, the ENCODE project involves a great deal of planning an</w:t>
            </w:r>
            <w:r>
              <w:rPr>
                <w:rFonts w:ascii="Courier New" w:eastAsia="Courier New" w:hAnsi="Courier New" w:cs="Courier New"/>
                <w:sz w:val="20"/>
                <w:szCs w:val="20"/>
              </w:rPr>
              <w:t>d a lot of experimental work by many groups, and the overall aim of re-highlighting the ENCODE as a resource to cancer research seems worthwhile in general, perhaps even in a high-profile journal.</w:t>
            </w:r>
          </w:p>
        </w:tc>
      </w:tr>
      <w:tr w:rsidR="00B2768A" w14:paraId="7FDD7E62" w14:textId="77777777">
        <w:tc>
          <w:tcPr>
            <w:tcW w:w="1245" w:type="dxa"/>
            <w:shd w:val="clear" w:color="auto" w:fill="auto"/>
            <w:tcMar>
              <w:top w:w="100" w:type="dxa"/>
              <w:left w:w="100" w:type="dxa"/>
              <w:bottom w:w="100" w:type="dxa"/>
              <w:right w:w="100" w:type="dxa"/>
            </w:tcMar>
          </w:tcPr>
          <w:p w14:paraId="32355DA8" w14:textId="77777777" w:rsidR="00B2768A" w:rsidRDefault="00C7420B">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Author</w:t>
            </w:r>
          </w:p>
          <w:p w14:paraId="4456D3B1" w14:textId="77777777" w:rsidR="00B2768A" w:rsidRDefault="00C7420B">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Response</w:t>
            </w:r>
          </w:p>
        </w:tc>
        <w:tc>
          <w:tcPr>
            <w:tcW w:w="8115" w:type="dxa"/>
            <w:shd w:val="clear" w:color="auto" w:fill="auto"/>
            <w:tcMar>
              <w:top w:w="100" w:type="dxa"/>
              <w:left w:w="100" w:type="dxa"/>
              <w:bottom w:w="100" w:type="dxa"/>
              <w:right w:w="100" w:type="dxa"/>
            </w:tcMar>
          </w:tcPr>
          <w:p w14:paraId="52040916" w14:textId="77777777" w:rsidR="00B2768A" w:rsidRDefault="00C7420B">
            <w:pPr>
              <w:jc w:val="both"/>
              <w:rPr>
                <w:sz w:val="24"/>
                <w:szCs w:val="24"/>
              </w:rPr>
            </w:pPr>
            <w:r>
              <w:rPr>
                <w:sz w:val="24"/>
                <w:szCs w:val="24"/>
              </w:rPr>
              <w:t>We thank the referee for this positive feedback.</w:t>
            </w:r>
          </w:p>
        </w:tc>
      </w:tr>
    </w:tbl>
    <w:p w14:paraId="6F467D4B" w14:textId="77777777" w:rsidR="00B2768A" w:rsidRDefault="00B2768A">
      <w:pPr>
        <w:pStyle w:val="Heading2"/>
        <w:spacing w:before="280"/>
      </w:pPr>
      <w:bookmarkStart w:id="1" w:name="_ceotvapma1dh" w:colFirst="0" w:colLast="0"/>
      <w:bookmarkEnd w:id="1"/>
    </w:p>
    <w:p w14:paraId="7E41A4A6" w14:textId="77777777" w:rsidR="00B2768A" w:rsidRDefault="00C7420B">
      <w:pPr>
        <w:pStyle w:val="Heading2"/>
        <w:spacing w:before="280"/>
      </w:pPr>
      <w:bookmarkStart w:id="2" w:name="_cktovgxrb3os" w:colFirst="0" w:colLast="0"/>
      <w:bookmarkEnd w:id="2"/>
      <w:r>
        <w:t>&lt;ID&gt;REF1.2 – BMR: comparison with existing literature</w:t>
      </w:r>
    </w:p>
    <w:p w14:paraId="37565EA1" w14:textId="77777777" w:rsidR="00B2768A" w:rsidRDefault="00C7420B">
      <w:r>
        <w:t>&lt;TYPE&gt;$$$BMR,$$$Text</w:t>
      </w:r>
    </w:p>
    <w:p w14:paraId="077916BE" w14:textId="77777777" w:rsidR="00B2768A" w:rsidRDefault="00C7420B">
      <w:r>
        <w:t>&lt;ASSIGN&gt;@@@JZ,@@@WM,@@@PDM</w:t>
      </w:r>
    </w:p>
    <w:p w14:paraId="4B6A18BE" w14:textId="77777777" w:rsidR="00B2768A" w:rsidRDefault="00C7420B">
      <w:r>
        <w:t>&lt;PLAN&gt;&amp;&amp;&amp;OOS</w:t>
      </w:r>
    </w:p>
    <w:p w14:paraId="404400D3" w14:textId="77777777" w:rsidR="00B2768A" w:rsidRDefault="00C7420B">
      <w:r>
        <w:t>&lt;STATUS&gt;%%%95DONE</w:t>
      </w:r>
    </w:p>
    <w:p w14:paraId="0BE0634A" w14:textId="77777777" w:rsidR="00B2768A" w:rsidRDefault="00B2768A">
      <w:pPr>
        <w:rPr>
          <w:color w:val="FF0000"/>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8115"/>
      </w:tblGrid>
      <w:tr w:rsidR="00B2768A" w14:paraId="6E034A23" w14:textId="77777777">
        <w:tc>
          <w:tcPr>
            <w:tcW w:w="1245" w:type="dxa"/>
            <w:shd w:val="clear" w:color="auto" w:fill="auto"/>
            <w:tcMar>
              <w:top w:w="100" w:type="dxa"/>
              <w:left w:w="100" w:type="dxa"/>
              <w:bottom w:w="100" w:type="dxa"/>
              <w:right w:w="100" w:type="dxa"/>
            </w:tcMar>
          </w:tcPr>
          <w:p w14:paraId="3A4DD00C" w14:textId="77777777" w:rsidR="00B2768A" w:rsidRDefault="00C7420B">
            <w:pPr>
              <w:spacing w:line="240" w:lineRule="auto"/>
              <w:rPr>
                <w:rFonts w:ascii="Courier New" w:eastAsia="Courier New" w:hAnsi="Courier New" w:cs="Courier New"/>
                <w:sz w:val="20"/>
                <w:szCs w:val="20"/>
              </w:rPr>
            </w:pPr>
            <w:r>
              <w:rPr>
                <w:rFonts w:ascii="Courier New" w:eastAsia="Courier New" w:hAnsi="Courier New" w:cs="Courier New"/>
                <w:sz w:val="20"/>
                <w:szCs w:val="20"/>
              </w:rPr>
              <w:t>Referee</w:t>
            </w:r>
          </w:p>
          <w:p w14:paraId="56331EBF" w14:textId="77777777" w:rsidR="00B2768A" w:rsidRDefault="00C7420B">
            <w:pPr>
              <w:spacing w:line="240" w:lineRule="auto"/>
              <w:rPr>
                <w:rFonts w:ascii="Courier New" w:eastAsia="Courier New" w:hAnsi="Courier New" w:cs="Courier New"/>
                <w:sz w:val="20"/>
                <w:szCs w:val="20"/>
              </w:rPr>
            </w:pPr>
            <w:r>
              <w:rPr>
                <w:rFonts w:ascii="Courier New" w:eastAsia="Courier New" w:hAnsi="Courier New" w:cs="Courier New"/>
                <w:sz w:val="20"/>
                <w:szCs w:val="20"/>
              </w:rPr>
              <w:t>Comment</w:t>
            </w:r>
          </w:p>
        </w:tc>
        <w:tc>
          <w:tcPr>
            <w:tcW w:w="8115" w:type="dxa"/>
            <w:shd w:val="clear" w:color="auto" w:fill="auto"/>
            <w:tcMar>
              <w:top w:w="100" w:type="dxa"/>
              <w:left w:w="100" w:type="dxa"/>
              <w:bottom w:w="100" w:type="dxa"/>
              <w:right w:w="100" w:type="dxa"/>
            </w:tcMar>
          </w:tcPr>
          <w:p w14:paraId="022F5CAF" w14:textId="77777777" w:rsidR="00B2768A" w:rsidRDefault="00C7420B">
            <w:pPr>
              <w:jc w:val="both"/>
              <w:rPr>
                <w:rFonts w:ascii="Courier New" w:eastAsia="Courier New" w:hAnsi="Courier New" w:cs="Courier New"/>
                <w:sz w:val="20"/>
                <w:szCs w:val="20"/>
              </w:rPr>
            </w:pPr>
            <w:r>
              <w:rPr>
                <w:rFonts w:ascii="Courier New" w:eastAsia="Courier New" w:hAnsi="Courier New" w:cs="Courier New"/>
                <w:sz w:val="20"/>
                <w:szCs w:val="20"/>
              </w:rPr>
              <w:t>Just to take the first application as an example, the problem of estimating background somatic mutation rate accurately in order to better identify cancer drivers has been studied extensively in the literature. One paper, “Mutational heterogeneity in cance</w:t>
            </w:r>
            <w:r>
              <w:rPr>
                <w:rFonts w:ascii="Courier New" w:eastAsia="Courier New" w:hAnsi="Courier New" w:cs="Courier New"/>
                <w:sz w:val="20"/>
                <w:szCs w:val="20"/>
              </w:rPr>
              <w:t xml:space="preserve">r and the search for new cancer-associated genes” (Nature 2013), is cited in the current manuscript, but there are many others. For instance, </w:t>
            </w:r>
            <w:proofErr w:type="spellStart"/>
            <w:r>
              <w:rPr>
                <w:rFonts w:ascii="Courier New" w:eastAsia="Courier New" w:hAnsi="Courier New" w:cs="Courier New"/>
                <w:sz w:val="20"/>
                <w:szCs w:val="20"/>
              </w:rPr>
              <w:t>Weinhold</w:t>
            </w:r>
            <w:proofErr w:type="spellEnd"/>
            <w:r>
              <w:rPr>
                <w:rFonts w:ascii="Courier New" w:eastAsia="Courier New" w:hAnsi="Courier New" w:cs="Courier New"/>
                <w:sz w:val="20"/>
                <w:szCs w:val="20"/>
              </w:rPr>
              <w:t xml:space="preserve"> et al, 2014 (Genome-wide analysis of noncoding regulatory mutations in cancer, Nat Genetics), Araya et al</w:t>
            </w:r>
            <w:r>
              <w:rPr>
                <w:rFonts w:ascii="Courier New" w:eastAsia="Courier New" w:hAnsi="Courier New" w:cs="Courier New"/>
                <w:sz w:val="20"/>
                <w:szCs w:val="20"/>
              </w:rPr>
              <w:t xml:space="preserve">, 2015 (Identification of significantly mutated regions across cancer types highlights a rich landscape of functional molecular </w:t>
            </w:r>
            <w:r>
              <w:rPr>
                <w:rFonts w:ascii="Courier New" w:eastAsia="Courier New" w:hAnsi="Courier New" w:cs="Courier New"/>
                <w:sz w:val="20"/>
                <w:szCs w:val="20"/>
              </w:rPr>
              <w:lastRenderedPageBreak/>
              <w:t>alterations, Nat Genetics), and similar non-coding mutation identification papers all include steps to account for epigenetic fe</w:t>
            </w:r>
            <w:r>
              <w:rPr>
                <w:rFonts w:ascii="Courier New" w:eastAsia="Courier New" w:hAnsi="Courier New" w:cs="Courier New"/>
                <w:sz w:val="20"/>
                <w:szCs w:val="20"/>
              </w:rPr>
              <w:t>atures in their background rate calculation.</w:t>
            </w:r>
          </w:p>
        </w:tc>
      </w:tr>
      <w:tr w:rsidR="00B2768A" w14:paraId="416DCF51" w14:textId="77777777">
        <w:tc>
          <w:tcPr>
            <w:tcW w:w="1245" w:type="dxa"/>
            <w:shd w:val="clear" w:color="auto" w:fill="auto"/>
            <w:tcMar>
              <w:top w:w="100" w:type="dxa"/>
              <w:left w:w="100" w:type="dxa"/>
              <w:bottom w:w="100" w:type="dxa"/>
              <w:right w:w="100" w:type="dxa"/>
            </w:tcMar>
          </w:tcPr>
          <w:p w14:paraId="0F401323" w14:textId="77777777" w:rsidR="00B2768A" w:rsidRDefault="00C7420B">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Author</w:t>
            </w:r>
          </w:p>
          <w:p w14:paraId="282AD7D8" w14:textId="77777777" w:rsidR="00B2768A" w:rsidRDefault="00C7420B">
            <w:p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Response</w:t>
            </w:r>
          </w:p>
        </w:tc>
        <w:tc>
          <w:tcPr>
            <w:tcW w:w="8115" w:type="dxa"/>
            <w:shd w:val="clear" w:color="auto" w:fill="auto"/>
            <w:tcMar>
              <w:top w:w="100" w:type="dxa"/>
              <w:left w:w="100" w:type="dxa"/>
              <w:bottom w:w="100" w:type="dxa"/>
              <w:right w:w="100" w:type="dxa"/>
            </w:tcMar>
          </w:tcPr>
          <w:p w14:paraId="0EA740CE" w14:textId="77777777" w:rsidR="00B2768A" w:rsidRDefault="00B2768A">
            <w:pPr>
              <w:jc w:val="both"/>
              <w:rPr>
                <w:sz w:val="24"/>
                <w:szCs w:val="24"/>
              </w:rPr>
            </w:pPr>
          </w:p>
        </w:tc>
      </w:tr>
      <w:tr w:rsidR="00B2768A" w14:paraId="7DA44F0C" w14:textId="77777777">
        <w:trPr>
          <w:trHeight w:val="1720"/>
        </w:trPr>
        <w:tc>
          <w:tcPr>
            <w:tcW w:w="1245" w:type="dxa"/>
            <w:shd w:val="clear" w:color="auto" w:fill="auto"/>
            <w:tcMar>
              <w:top w:w="100" w:type="dxa"/>
              <w:left w:w="100" w:type="dxa"/>
              <w:bottom w:w="100" w:type="dxa"/>
              <w:right w:w="100" w:type="dxa"/>
            </w:tcMar>
          </w:tcPr>
          <w:p w14:paraId="2CB71DE9" w14:textId="77777777" w:rsidR="00B2768A" w:rsidRDefault="00C742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Excerpt 1.2-A (in main text)</w:t>
            </w:r>
          </w:p>
        </w:tc>
        <w:tc>
          <w:tcPr>
            <w:tcW w:w="8115" w:type="dxa"/>
            <w:shd w:val="clear" w:color="auto" w:fill="auto"/>
            <w:tcMar>
              <w:top w:w="100" w:type="dxa"/>
              <w:left w:w="100" w:type="dxa"/>
              <w:bottom w:w="100" w:type="dxa"/>
              <w:right w:w="100" w:type="dxa"/>
            </w:tcMar>
          </w:tcPr>
          <w:p w14:paraId="08033210" w14:textId="77777777" w:rsidR="00B2768A" w:rsidRDefault="00C742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Wait for main text</w:t>
            </w:r>
          </w:p>
        </w:tc>
      </w:tr>
    </w:tbl>
    <w:p w14:paraId="23798B41" w14:textId="77777777" w:rsidR="00B2768A" w:rsidRDefault="00B2768A"/>
    <w:p w14:paraId="08DFF4E3" w14:textId="77777777" w:rsidR="00B2768A" w:rsidRDefault="00C7420B">
      <w:pPr>
        <w:pStyle w:val="Heading2"/>
        <w:spacing w:before="280"/>
      </w:pPr>
      <w:bookmarkStart w:id="3" w:name="_1er0cvg9r6a6" w:colFirst="0" w:colLast="0"/>
      <w:bookmarkEnd w:id="3"/>
      <w:r>
        <w:t>&lt;ID&gt;REF1.3 – BMR: Match</w:t>
      </w:r>
    </w:p>
    <w:p w14:paraId="12C26BC1" w14:textId="77777777" w:rsidR="00B2768A" w:rsidRDefault="00C7420B">
      <w:r>
        <w:t>&lt;TYPE&gt;$$$BMR,$$$Text</w:t>
      </w:r>
    </w:p>
    <w:p w14:paraId="47AC82EF" w14:textId="77777777" w:rsidR="00B2768A" w:rsidRDefault="00C7420B">
      <w:r>
        <w:t>&lt;ASSIGN&gt;@@@JZ,@@@WM</w:t>
      </w:r>
    </w:p>
    <w:p w14:paraId="4027F107" w14:textId="77777777" w:rsidR="00B2768A" w:rsidRDefault="00C7420B">
      <w:r>
        <w:t>&lt;PLAN&gt;&amp;&amp;&amp;</w:t>
      </w:r>
      <w:proofErr w:type="spellStart"/>
      <w:r>
        <w:t>DisagreeFix</w:t>
      </w:r>
      <w:proofErr w:type="spellEnd"/>
    </w:p>
    <w:p w14:paraId="57566A17" w14:textId="77777777" w:rsidR="00B2768A" w:rsidRDefault="00C7420B">
      <w:r>
        <w:t>&lt;STATUS&gt;%%%50DONE</w:t>
      </w:r>
    </w:p>
    <w:p w14:paraId="2930D850" w14:textId="77777777" w:rsidR="00B2768A" w:rsidRDefault="00B2768A"/>
    <w:p w14:paraId="51E73460" w14:textId="77777777" w:rsidR="00B2768A" w:rsidRDefault="00B2768A"/>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8115"/>
      </w:tblGrid>
      <w:tr w:rsidR="00B2768A" w14:paraId="5CE0D9A9" w14:textId="77777777">
        <w:tc>
          <w:tcPr>
            <w:tcW w:w="1245" w:type="dxa"/>
            <w:shd w:val="clear" w:color="auto" w:fill="auto"/>
            <w:tcMar>
              <w:top w:w="100" w:type="dxa"/>
              <w:left w:w="100" w:type="dxa"/>
              <w:bottom w:w="100" w:type="dxa"/>
              <w:right w:w="100" w:type="dxa"/>
            </w:tcMar>
          </w:tcPr>
          <w:p w14:paraId="2DD1335F" w14:textId="77777777" w:rsidR="00B2768A" w:rsidRDefault="00C7420B">
            <w:pPr>
              <w:spacing w:line="240" w:lineRule="auto"/>
              <w:rPr>
                <w:rFonts w:ascii="Courier New" w:eastAsia="Courier New" w:hAnsi="Courier New" w:cs="Courier New"/>
                <w:sz w:val="20"/>
                <w:szCs w:val="20"/>
              </w:rPr>
            </w:pPr>
            <w:r>
              <w:rPr>
                <w:rFonts w:ascii="Courier New" w:eastAsia="Courier New" w:hAnsi="Courier New" w:cs="Courier New"/>
                <w:sz w:val="20"/>
                <w:szCs w:val="20"/>
              </w:rPr>
              <w:t>Referee</w:t>
            </w:r>
          </w:p>
          <w:p w14:paraId="4DAC9DF3" w14:textId="77777777" w:rsidR="00B2768A" w:rsidRDefault="00C7420B">
            <w:pPr>
              <w:spacing w:line="240" w:lineRule="auto"/>
              <w:rPr>
                <w:rFonts w:ascii="Courier New" w:eastAsia="Courier New" w:hAnsi="Courier New" w:cs="Courier New"/>
                <w:sz w:val="20"/>
                <w:szCs w:val="20"/>
              </w:rPr>
            </w:pPr>
            <w:r>
              <w:rPr>
                <w:rFonts w:ascii="Courier New" w:eastAsia="Courier New" w:hAnsi="Courier New" w:cs="Courier New"/>
                <w:sz w:val="20"/>
                <w:szCs w:val="20"/>
              </w:rPr>
              <w:t>Comment</w:t>
            </w:r>
          </w:p>
        </w:tc>
        <w:tc>
          <w:tcPr>
            <w:tcW w:w="8115" w:type="dxa"/>
            <w:shd w:val="clear" w:color="auto" w:fill="auto"/>
            <w:tcMar>
              <w:top w:w="100" w:type="dxa"/>
              <w:left w:w="100" w:type="dxa"/>
              <w:bottom w:w="100" w:type="dxa"/>
              <w:right w:w="100" w:type="dxa"/>
            </w:tcMar>
          </w:tcPr>
          <w:p w14:paraId="72345654" w14:textId="77777777" w:rsidR="00B2768A" w:rsidRDefault="00C7420B">
            <w:pPr>
              <w:jc w:val="both"/>
              <w:rPr>
                <w:rFonts w:ascii="Courier New" w:eastAsia="Courier New" w:hAnsi="Courier New" w:cs="Courier New"/>
                <w:sz w:val="20"/>
                <w:szCs w:val="20"/>
              </w:rPr>
            </w:pPr>
            <w:r>
              <w:rPr>
                <w:rFonts w:ascii="Courier New" w:eastAsia="Courier New" w:hAnsi="Courier New" w:cs="Courier New"/>
                <w:sz w:val="20"/>
                <w:szCs w:val="20"/>
              </w:rPr>
              <w:t>Most large-scale cancer genome sequencing papers also have models at various levels sophistication, most of them including the issue of proper tissue-type matching. “matched” cell lines are better than unmatched or addition of more epigenetic features resu</w:t>
            </w:r>
            <w:r>
              <w:rPr>
                <w:rFonts w:ascii="Courier New" w:eastAsia="Courier New" w:hAnsi="Courier New" w:cs="Courier New"/>
                <w:sz w:val="20"/>
                <w:szCs w:val="20"/>
              </w:rPr>
              <w:t>lts in some improvement is almost trivial at this point. Which marks contribute to this is also not new.</w:t>
            </w:r>
          </w:p>
        </w:tc>
      </w:tr>
      <w:tr w:rsidR="00B2768A" w14:paraId="553BD78C" w14:textId="77777777">
        <w:tc>
          <w:tcPr>
            <w:tcW w:w="1245" w:type="dxa"/>
            <w:shd w:val="clear" w:color="auto" w:fill="auto"/>
            <w:tcMar>
              <w:top w:w="100" w:type="dxa"/>
              <w:left w:w="100" w:type="dxa"/>
              <w:bottom w:w="100" w:type="dxa"/>
              <w:right w:w="100" w:type="dxa"/>
            </w:tcMar>
          </w:tcPr>
          <w:p w14:paraId="390B200E" w14:textId="77777777" w:rsidR="00B2768A" w:rsidRDefault="00C7420B">
            <w:pPr>
              <w:spacing w:line="240" w:lineRule="auto"/>
              <w:rPr>
                <w:rFonts w:ascii="Helvetica Neue" w:eastAsia="Helvetica Neue" w:hAnsi="Helvetica Neue" w:cs="Helvetica Neue"/>
              </w:rPr>
            </w:pPr>
            <w:r>
              <w:rPr>
                <w:rFonts w:ascii="Helvetica Neue" w:eastAsia="Helvetica Neue" w:hAnsi="Helvetica Neue" w:cs="Helvetica Neue"/>
              </w:rPr>
              <w:t>Author</w:t>
            </w:r>
          </w:p>
          <w:p w14:paraId="7AD995FE" w14:textId="77777777" w:rsidR="00B2768A" w:rsidRDefault="00C7420B">
            <w:pPr>
              <w:spacing w:line="240" w:lineRule="auto"/>
              <w:rPr>
                <w:rFonts w:ascii="Helvetica Neue" w:eastAsia="Helvetica Neue" w:hAnsi="Helvetica Neue" w:cs="Helvetica Neue"/>
              </w:rPr>
            </w:pPr>
            <w:r>
              <w:rPr>
                <w:rFonts w:ascii="Helvetica Neue" w:eastAsia="Helvetica Neue" w:hAnsi="Helvetica Neue" w:cs="Helvetica Neue"/>
              </w:rPr>
              <w:t>Response</w:t>
            </w:r>
          </w:p>
        </w:tc>
        <w:tc>
          <w:tcPr>
            <w:tcW w:w="8115" w:type="dxa"/>
            <w:shd w:val="clear" w:color="auto" w:fill="auto"/>
            <w:tcMar>
              <w:top w:w="100" w:type="dxa"/>
              <w:left w:w="100" w:type="dxa"/>
              <w:bottom w:w="100" w:type="dxa"/>
              <w:right w:w="100" w:type="dxa"/>
            </w:tcMar>
          </w:tcPr>
          <w:p w14:paraId="085C3A79" w14:textId="77777777" w:rsidR="00B2768A" w:rsidRDefault="00B2768A">
            <w:pPr>
              <w:pBdr>
                <w:top w:val="nil"/>
                <w:left w:val="nil"/>
                <w:bottom w:val="nil"/>
                <w:right w:val="nil"/>
                <w:between w:val="nil"/>
              </w:pBdr>
              <w:ind w:left="720"/>
              <w:jc w:val="both"/>
            </w:pPr>
          </w:p>
        </w:tc>
      </w:tr>
      <w:tr w:rsidR="00B2768A" w14:paraId="06720DDC" w14:textId="77777777">
        <w:tc>
          <w:tcPr>
            <w:tcW w:w="1245" w:type="dxa"/>
            <w:shd w:val="clear" w:color="auto" w:fill="auto"/>
            <w:tcMar>
              <w:top w:w="100" w:type="dxa"/>
              <w:left w:w="100" w:type="dxa"/>
              <w:bottom w:w="100" w:type="dxa"/>
              <w:right w:w="100" w:type="dxa"/>
            </w:tcMar>
          </w:tcPr>
          <w:p w14:paraId="73C8FA69" w14:textId="77777777" w:rsidR="00B2768A" w:rsidRDefault="00C7420B">
            <w:pPr>
              <w:spacing w:line="240" w:lineRule="auto"/>
              <w:rPr>
                <w:rFonts w:ascii="Times New Roman" w:eastAsia="Times New Roman" w:hAnsi="Times New Roman" w:cs="Times New Roman"/>
              </w:rPr>
            </w:pPr>
            <w:r>
              <w:rPr>
                <w:rFonts w:ascii="Times New Roman" w:eastAsia="Times New Roman" w:hAnsi="Times New Roman" w:cs="Times New Roman"/>
              </w:rPr>
              <w:t>Excerpt 1.3-A (main manuscript)</w:t>
            </w:r>
          </w:p>
        </w:tc>
        <w:tc>
          <w:tcPr>
            <w:tcW w:w="8115" w:type="dxa"/>
            <w:shd w:val="clear" w:color="auto" w:fill="auto"/>
            <w:tcMar>
              <w:top w:w="100" w:type="dxa"/>
              <w:left w:w="100" w:type="dxa"/>
              <w:bottom w:w="100" w:type="dxa"/>
              <w:right w:w="100" w:type="dxa"/>
            </w:tcMar>
          </w:tcPr>
          <w:p w14:paraId="003B8536" w14:textId="77777777" w:rsidR="00B2768A" w:rsidRDefault="00B2768A">
            <w:pPr>
              <w:spacing w:line="240" w:lineRule="auto"/>
              <w:rPr>
                <w:rFonts w:ascii="Times New Roman" w:eastAsia="Times New Roman" w:hAnsi="Times New Roman" w:cs="Times New Roman"/>
              </w:rPr>
            </w:pPr>
          </w:p>
        </w:tc>
      </w:tr>
      <w:tr w:rsidR="00B2768A" w14:paraId="508E8747" w14:textId="77777777">
        <w:tc>
          <w:tcPr>
            <w:tcW w:w="1245" w:type="dxa"/>
            <w:shd w:val="clear" w:color="auto" w:fill="auto"/>
            <w:tcMar>
              <w:top w:w="100" w:type="dxa"/>
              <w:left w:w="100" w:type="dxa"/>
              <w:bottom w:w="100" w:type="dxa"/>
              <w:right w:w="100" w:type="dxa"/>
            </w:tcMar>
          </w:tcPr>
          <w:p w14:paraId="608A6EF6" w14:textId="77777777" w:rsidR="00B2768A" w:rsidRDefault="00C7420B">
            <w:pPr>
              <w:spacing w:line="240" w:lineRule="auto"/>
              <w:rPr>
                <w:rFonts w:ascii="Times New Roman" w:eastAsia="Times New Roman" w:hAnsi="Times New Roman" w:cs="Times New Roman"/>
              </w:rPr>
            </w:pPr>
            <w:r>
              <w:rPr>
                <w:rFonts w:ascii="Times New Roman" w:eastAsia="Times New Roman" w:hAnsi="Times New Roman" w:cs="Times New Roman"/>
              </w:rPr>
              <w:t>Excerpt 1.3-B (cross validation in supplement)</w:t>
            </w:r>
          </w:p>
        </w:tc>
        <w:tc>
          <w:tcPr>
            <w:tcW w:w="8115" w:type="dxa"/>
            <w:shd w:val="clear" w:color="auto" w:fill="auto"/>
            <w:tcMar>
              <w:top w:w="100" w:type="dxa"/>
              <w:left w:w="100" w:type="dxa"/>
              <w:bottom w:w="100" w:type="dxa"/>
              <w:right w:w="100" w:type="dxa"/>
            </w:tcMar>
          </w:tcPr>
          <w:p w14:paraId="39CFCADD" w14:textId="77777777" w:rsidR="00B2768A" w:rsidRDefault="00C7420B">
            <w:pPr>
              <w:spacing w:line="240" w:lineRule="auto"/>
              <w:rPr>
                <w:rFonts w:ascii="Times New Roman" w:eastAsia="Times New Roman" w:hAnsi="Times New Roman" w:cs="Times New Roman"/>
              </w:rPr>
            </w:pPr>
            <w:r>
              <w:rPr>
                <w:rFonts w:ascii="Times New Roman" w:eastAsia="Times New Roman" w:hAnsi="Times New Roman" w:cs="Times New Roman"/>
              </w:rPr>
              <w:t>l for each cancer type and listed the performance as below.</w:t>
            </w:r>
          </w:p>
          <w:p w14:paraId="73A65EC4" w14:textId="77777777" w:rsidR="00B2768A" w:rsidRDefault="00C7420B">
            <w:pPr>
              <w:spacing w:line="240" w:lineRule="auto"/>
              <w:rPr>
                <w:rFonts w:ascii="Times New Roman" w:eastAsia="Times New Roman" w:hAnsi="Times New Roman" w:cs="Times New Roman"/>
              </w:rPr>
            </w:pPr>
            <w:r>
              <w:rPr>
                <w:rFonts w:ascii="Times New Roman" w:eastAsia="Times New Roman" w:hAnsi="Times New Roman" w:cs="Times New Roman"/>
                <w:noProof/>
                <w:lang w:val="en-US"/>
              </w:rPr>
              <w:lastRenderedPageBreak/>
              <w:drawing>
                <wp:inline distT="114300" distB="114300" distL="114300" distR="114300" wp14:anchorId="1123D940" wp14:editId="275222A6">
                  <wp:extent cx="2024063" cy="2339092"/>
                  <wp:effectExtent l="0" t="0" r="0" b="0"/>
                  <wp:docPr id="65" name="image141.png"/>
                  <wp:cNvGraphicFramePr/>
                  <a:graphic xmlns:a="http://schemas.openxmlformats.org/drawingml/2006/main">
                    <a:graphicData uri="http://schemas.openxmlformats.org/drawingml/2006/picture">
                      <pic:pic xmlns:pic="http://schemas.openxmlformats.org/drawingml/2006/picture">
                        <pic:nvPicPr>
                          <pic:cNvPr id="0" name="image141.png"/>
                          <pic:cNvPicPr preferRelativeResize="0"/>
                        </pic:nvPicPr>
                        <pic:blipFill>
                          <a:blip r:embed="rId5"/>
                          <a:srcRect/>
                          <a:stretch>
                            <a:fillRect/>
                          </a:stretch>
                        </pic:blipFill>
                        <pic:spPr>
                          <a:xfrm>
                            <a:off x="0" y="0"/>
                            <a:ext cx="2024063" cy="2339092"/>
                          </a:xfrm>
                          <a:prstGeom prst="rect">
                            <a:avLst/>
                          </a:prstGeom>
                          <a:ln/>
                        </pic:spPr>
                      </pic:pic>
                    </a:graphicData>
                  </a:graphic>
                </wp:inline>
              </w:drawing>
            </w:r>
          </w:p>
        </w:tc>
      </w:tr>
    </w:tbl>
    <w:p w14:paraId="06E89539" w14:textId="77777777" w:rsidR="00B2768A" w:rsidRDefault="00B2768A"/>
    <w:p w14:paraId="23B16ACC" w14:textId="77777777" w:rsidR="00B2768A" w:rsidRDefault="00C7420B">
      <w:pPr>
        <w:pStyle w:val="Heading2"/>
        <w:spacing w:before="280"/>
      </w:pPr>
      <w:bookmarkStart w:id="4" w:name="_s4ke6mb6km82" w:colFirst="0" w:colLast="0"/>
      <w:bookmarkEnd w:id="4"/>
      <w:r>
        <w:t>&lt;ID&gt;REF</w:t>
      </w:r>
      <w:r>
        <w:t>1.4 – BMR: cell of origin features vs. many features</w:t>
      </w:r>
    </w:p>
    <w:p w14:paraId="685AEBB3" w14:textId="77777777" w:rsidR="00B2768A" w:rsidRDefault="00C7420B">
      <w:r>
        <w:t>&lt;TYPE&gt;$$$BMR,$$$</w:t>
      </w:r>
      <w:proofErr w:type="spellStart"/>
      <w:r>
        <w:t>Calc</w:t>
      </w:r>
      <w:proofErr w:type="spellEnd"/>
    </w:p>
    <w:p w14:paraId="031118D5" w14:textId="77777777" w:rsidR="00B2768A" w:rsidRDefault="00C7420B">
      <w:r>
        <w:t>&lt;ASSIGN&gt;@@@JZ,@@@JL</w:t>
      </w:r>
    </w:p>
    <w:p w14:paraId="41F25EF2" w14:textId="77777777" w:rsidR="00B2768A" w:rsidRDefault="00C7420B">
      <w:r>
        <w:t>&lt;PLAN&gt;&amp;&amp;&amp;</w:t>
      </w:r>
      <w:proofErr w:type="spellStart"/>
      <w:r>
        <w:t>DisagreeFix</w:t>
      </w:r>
      <w:proofErr w:type="spellEnd"/>
      <w:r>
        <w:t>,&amp;&amp;&amp;More</w:t>
      </w:r>
    </w:p>
    <w:p w14:paraId="0A315345" w14:textId="77777777" w:rsidR="00B2768A" w:rsidRDefault="00C7420B">
      <w:r>
        <w:t>&lt;STATUS&gt;%%%70DONE</w:t>
      </w:r>
    </w:p>
    <w:p w14:paraId="21543105" w14:textId="77777777" w:rsidR="00B2768A" w:rsidRDefault="00B2768A"/>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8115"/>
      </w:tblGrid>
      <w:tr w:rsidR="00B2768A" w14:paraId="0679CA99" w14:textId="77777777">
        <w:tc>
          <w:tcPr>
            <w:tcW w:w="1245" w:type="dxa"/>
            <w:shd w:val="clear" w:color="auto" w:fill="auto"/>
            <w:tcMar>
              <w:top w:w="100" w:type="dxa"/>
              <w:left w:w="100" w:type="dxa"/>
              <w:bottom w:w="100" w:type="dxa"/>
              <w:right w:w="100" w:type="dxa"/>
            </w:tcMar>
          </w:tcPr>
          <w:p w14:paraId="35E95413" w14:textId="77777777" w:rsidR="00B2768A" w:rsidRDefault="00C7420B">
            <w:pPr>
              <w:spacing w:line="240" w:lineRule="auto"/>
              <w:rPr>
                <w:rFonts w:ascii="Courier New" w:eastAsia="Courier New" w:hAnsi="Courier New" w:cs="Courier New"/>
                <w:sz w:val="20"/>
                <w:szCs w:val="20"/>
              </w:rPr>
            </w:pPr>
            <w:r>
              <w:rPr>
                <w:rFonts w:ascii="Courier New" w:eastAsia="Courier New" w:hAnsi="Courier New" w:cs="Courier New"/>
                <w:sz w:val="20"/>
                <w:szCs w:val="20"/>
              </w:rPr>
              <w:t>Referee</w:t>
            </w:r>
          </w:p>
          <w:p w14:paraId="534B2CC6" w14:textId="77777777" w:rsidR="00B2768A" w:rsidRDefault="00C7420B">
            <w:pPr>
              <w:spacing w:line="240" w:lineRule="auto"/>
              <w:rPr>
                <w:rFonts w:ascii="Courier New" w:eastAsia="Courier New" w:hAnsi="Courier New" w:cs="Courier New"/>
                <w:sz w:val="20"/>
                <w:szCs w:val="20"/>
              </w:rPr>
            </w:pPr>
            <w:r>
              <w:rPr>
                <w:rFonts w:ascii="Courier New" w:eastAsia="Courier New" w:hAnsi="Courier New" w:cs="Courier New"/>
                <w:sz w:val="20"/>
                <w:szCs w:val="20"/>
              </w:rPr>
              <w:t>Comment</w:t>
            </w:r>
          </w:p>
        </w:tc>
        <w:tc>
          <w:tcPr>
            <w:tcW w:w="8115" w:type="dxa"/>
            <w:shd w:val="clear" w:color="auto" w:fill="auto"/>
            <w:tcMar>
              <w:top w:w="100" w:type="dxa"/>
              <w:left w:w="100" w:type="dxa"/>
              <w:bottom w:w="100" w:type="dxa"/>
              <w:right w:w="100" w:type="dxa"/>
            </w:tcMar>
          </w:tcPr>
          <w:p w14:paraId="060199E6" w14:textId="77777777" w:rsidR="00B2768A" w:rsidRDefault="00C7420B">
            <w:pPr>
              <w:jc w:val="both"/>
              <w:rPr>
                <w:rFonts w:ascii="Courier New" w:eastAsia="Courier New" w:hAnsi="Courier New" w:cs="Courier New"/>
                <w:sz w:val="20"/>
                <w:szCs w:val="20"/>
              </w:rPr>
            </w:pPr>
            <w:r>
              <w:rPr>
                <w:rFonts w:ascii="Courier New" w:eastAsia="Courier New" w:hAnsi="Courier New" w:cs="Courier New"/>
                <w:sz w:val="20"/>
                <w:szCs w:val="20"/>
              </w:rPr>
              <w:t xml:space="preserve">Importantly, </w:t>
            </w:r>
            <w:proofErr w:type="spellStart"/>
            <w:r>
              <w:rPr>
                <w:rFonts w:ascii="Courier New" w:eastAsia="Courier New" w:hAnsi="Courier New" w:cs="Courier New"/>
                <w:sz w:val="20"/>
                <w:szCs w:val="20"/>
              </w:rPr>
              <w:t>Polak</w:t>
            </w:r>
            <w:proofErr w:type="spellEnd"/>
            <w:r>
              <w:rPr>
                <w:rFonts w:ascii="Courier New" w:eastAsia="Courier New" w:hAnsi="Courier New" w:cs="Courier New"/>
                <w:sz w:val="20"/>
                <w:szCs w:val="20"/>
              </w:rPr>
              <w:t xml:space="preserve"> et al, 2015 (Cell-of-origin chromatin organization shapes the mutational landscape of cancer, Nature) in fact show that cell-of-origin chromatin features are much stronger determinants of cancer mutations profiles than chromatin feature </w:t>
            </w:r>
            <w:r>
              <w:rPr>
                <w:rFonts w:ascii="Courier New" w:eastAsia="Courier New" w:hAnsi="Courier New" w:cs="Courier New"/>
                <w:sz w:val="20"/>
                <w:szCs w:val="20"/>
              </w:rPr>
              <w:t>of matched cancer cell lines, and that cell type origin can be predicted from the mutational profile.</w:t>
            </w:r>
          </w:p>
        </w:tc>
      </w:tr>
      <w:tr w:rsidR="00B2768A" w14:paraId="5193EC55" w14:textId="77777777">
        <w:tc>
          <w:tcPr>
            <w:tcW w:w="1245" w:type="dxa"/>
            <w:shd w:val="clear" w:color="auto" w:fill="auto"/>
            <w:tcMar>
              <w:top w:w="100" w:type="dxa"/>
              <w:left w:w="100" w:type="dxa"/>
              <w:bottom w:w="100" w:type="dxa"/>
              <w:right w:w="100" w:type="dxa"/>
            </w:tcMar>
          </w:tcPr>
          <w:p w14:paraId="095E1259" w14:textId="77777777" w:rsidR="00B2768A" w:rsidRDefault="00C7420B">
            <w:pPr>
              <w:spacing w:line="240" w:lineRule="auto"/>
              <w:rPr>
                <w:rFonts w:ascii="Helvetica Neue" w:eastAsia="Helvetica Neue" w:hAnsi="Helvetica Neue" w:cs="Helvetica Neue"/>
              </w:rPr>
            </w:pPr>
            <w:r>
              <w:rPr>
                <w:rFonts w:ascii="Helvetica Neue" w:eastAsia="Helvetica Neue" w:hAnsi="Helvetica Neue" w:cs="Helvetica Neue"/>
              </w:rPr>
              <w:t>Author</w:t>
            </w:r>
          </w:p>
          <w:p w14:paraId="78F28DBC" w14:textId="77777777" w:rsidR="00B2768A" w:rsidRDefault="00C7420B">
            <w:pPr>
              <w:spacing w:line="240" w:lineRule="auto"/>
              <w:rPr>
                <w:rFonts w:ascii="Helvetica Neue" w:eastAsia="Helvetica Neue" w:hAnsi="Helvetica Neue" w:cs="Helvetica Neue"/>
              </w:rPr>
            </w:pPr>
            <w:r>
              <w:rPr>
                <w:rFonts w:ascii="Helvetica Neue" w:eastAsia="Helvetica Neue" w:hAnsi="Helvetica Neue" w:cs="Helvetica Neue"/>
              </w:rPr>
              <w:t>Response</w:t>
            </w:r>
          </w:p>
        </w:tc>
        <w:tc>
          <w:tcPr>
            <w:tcW w:w="8115" w:type="dxa"/>
            <w:shd w:val="clear" w:color="auto" w:fill="auto"/>
            <w:tcMar>
              <w:top w:w="100" w:type="dxa"/>
              <w:left w:w="100" w:type="dxa"/>
              <w:bottom w:w="100" w:type="dxa"/>
              <w:right w:w="100" w:type="dxa"/>
            </w:tcMar>
          </w:tcPr>
          <w:p w14:paraId="0C34685A" w14:textId="77777777" w:rsidR="00B2768A" w:rsidRDefault="00B2768A">
            <w:pPr>
              <w:numPr>
                <w:ilvl w:val="0"/>
                <w:numId w:val="24"/>
              </w:numPr>
              <w:pBdr>
                <w:top w:val="nil"/>
                <w:left w:val="nil"/>
                <w:bottom w:val="nil"/>
                <w:right w:val="nil"/>
                <w:between w:val="nil"/>
              </w:pBdr>
              <w:contextualSpacing/>
              <w:jc w:val="both"/>
              <w:rPr>
                <w:rFonts w:ascii="Helvetica Neue" w:eastAsia="Helvetica Neue" w:hAnsi="Helvetica Neue" w:cs="Helvetica Neue"/>
                <w:sz w:val="24"/>
                <w:szCs w:val="24"/>
              </w:rPr>
            </w:pPr>
          </w:p>
        </w:tc>
      </w:tr>
      <w:tr w:rsidR="00B2768A" w14:paraId="6736B251" w14:textId="77777777">
        <w:trPr>
          <w:trHeight w:val="1720"/>
        </w:trPr>
        <w:tc>
          <w:tcPr>
            <w:tcW w:w="1245" w:type="dxa"/>
            <w:shd w:val="clear" w:color="auto" w:fill="auto"/>
            <w:tcMar>
              <w:top w:w="100" w:type="dxa"/>
              <w:left w:w="100" w:type="dxa"/>
              <w:bottom w:w="100" w:type="dxa"/>
              <w:right w:w="100" w:type="dxa"/>
            </w:tcMar>
          </w:tcPr>
          <w:p w14:paraId="32DE5617" w14:textId="77777777" w:rsidR="00B2768A" w:rsidRDefault="00C7420B">
            <w:pPr>
              <w:spacing w:line="240" w:lineRule="auto"/>
              <w:rPr>
                <w:rFonts w:ascii="Times New Roman" w:eastAsia="Times New Roman" w:hAnsi="Times New Roman" w:cs="Times New Roman"/>
              </w:rPr>
            </w:pPr>
            <w:r>
              <w:rPr>
                <w:rFonts w:ascii="Times New Roman" w:eastAsia="Times New Roman" w:hAnsi="Times New Roman" w:cs="Times New Roman"/>
              </w:rPr>
              <w:t>Excerpt 1.4-A</w:t>
            </w:r>
          </w:p>
          <w:p w14:paraId="169988B3" w14:textId="77777777" w:rsidR="00B2768A" w:rsidRDefault="00C7420B">
            <w:pPr>
              <w:spacing w:line="240" w:lineRule="auto"/>
              <w:rPr>
                <w:rFonts w:ascii="Times New Roman" w:eastAsia="Times New Roman" w:hAnsi="Times New Roman" w:cs="Times New Roman"/>
              </w:rPr>
            </w:pPr>
            <w:r>
              <w:rPr>
                <w:rFonts w:ascii="Times New Roman" w:eastAsia="Times New Roman" w:hAnsi="Times New Roman" w:cs="Times New Roman"/>
              </w:rPr>
              <w:t>(added to disc. sect)</w:t>
            </w:r>
          </w:p>
        </w:tc>
        <w:tc>
          <w:tcPr>
            <w:tcW w:w="8115" w:type="dxa"/>
            <w:shd w:val="clear" w:color="auto" w:fill="auto"/>
            <w:tcMar>
              <w:top w:w="100" w:type="dxa"/>
              <w:left w:w="100" w:type="dxa"/>
              <w:bottom w:w="100" w:type="dxa"/>
              <w:right w:w="100" w:type="dxa"/>
            </w:tcMar>
          </w:tcPr>
          <w:p w14:paraId="1B1DF46D" w14:textId="77777777" w:rsidR="00B2768A" w:rsidRDefault="00B2768A">
            <w:pPr>
              <w:pBdr>
                <w:top w:val="nil"/>
                <w:left w:val="nil"/>
                <w:bottom w:val="nil"/>
                <w:right w:val="nil"/>
                <w:between w:val="nil"/>
              </w:pBdr>
              <w:spacing w:line="240" w:lineRule="auto"/>
              <w:jc w:val="both"/>
              <w:rPr>
                <w:rFonts w:ascii="Helvetica Neue" w:eastAsia="Helvetica Neue" w:hAnsi="Helvetica Neue" w:cs="Helvetica Neue"/>
                <w:sz w:val="20"/>
                <w:szCs w:val="20"/>
              </w:rPr>
            </w:pPr>
          </w:p>
        </w:tc>
      </w:tr>
    </w:tbl>
    <w:p w14:paraId="3863BA86" w14:textId="77777777" w:rsidR="00B2768A" w:rsidRDefault="00B2768A"/>
    <w:p w14:paraId="64F76C23" w14:textId="77777777" w:rsidR="00B2768A" w:rsidRDefault="00C7420B">
      <w:pPr>
        <w:pStyle w:val="Heading2"/>
        <w:spacing w:before="280"/>
      </w:pPr>
      <w:bookmarkStart w:id="5" w:name="_4lb3mkbe0dz0" w:colFirst="0" w:colLast="0"/>
      <w:bookmarkEnd w:id="5"/>
      <w:r>
        <w:t>&lt;ID&gt;REF1.5 – BMR: Tissues vs. Cell lines</w:t>
      </w:r>
    </w:p>
    <w:p w14:paraId="02FC632B" w14:textId="77777777" w:rsidR="00B2768A" w:rsidRDefault="00C7420B">
      <w:r>
        <w:t>&lt;TYPE&gt;$$$BMR,$$$</w:t>
      </w:r>
      <w:proofErr w:type="spellStart"/>
      <w:r>
        <w:t>Calc</w:t>
      </w:r>
      <w:proofErr w:type="spellEnd"/>
    </w:p>
    <w:p w14:paraId="2775240B" w14:textId="77777777" w:rsidR="00B2768A" w:rsidRDefault="00C7420B">
      <w:r>
        <w:t>&lt;ASSIGN&gt;</w:t>
      </w:r>
      <w:r>
        <w:t>@@@JZ,@@@JL</w:t>
      </w:r>
    </w:p>
    <w:p w14:paraId="53F46F0C" w14:textId="77777777" w:rsidR="00B2768A" w:rsidRDefault="00C7420B">
      <w:r>
        <w:t>&lt;PLAN&gt;&amp;&amp;&amp;</w:t>
      </w:r>
      <w:proofErr w:type="spellStart"/>
      <w:r>
        <w:t>DisagreeFix</w:t>
      </w:r>
      <w:proofErr w:type="spellEnd"/>
      <w:r>
        <w:t>,&amp;&amp;&amp;More</w:t>
      </w:r>
      <w:bookmarkStart w:id="6" w:name="_GoBack"/>
      <w:bookmarkEnd w:id="6"/>
    </w:p>
    <w:sectPr w:rsidR="00B2768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2E8"/>
    <w:multiLevelType w:val="multilevel"/>
    <w:tmpl w:val="F40E4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741745"/>
    <w:multiLevelType w:val="multilevel"/>
    <w:tmpl w:val="D14E1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454367E"/>
    <w:multiLevelType w:val="multilevel"/>
    <w:tmpl w:val="A1F6C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4B92AF6"/>
    <w:multiLevelType w:val="multilevel"/>
    <w:tmpl w:val="C47C6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352B3F"/>
    <w:multiLevelType w:val="multilevel"/>
    <w:tmpl w:val="9F74A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A8E6E96"/>
    <w:multiLevelType w:val="multilevel"/>
    <w:tmpl w:val="6A967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08A1427"/>
    <w:multiLevelType w:val="multilevel"/>
    <w:tmpl w:val="BDD62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3885A98"/>
    <w:multiLevelType w:val="multilevel"/>
    <w:tmpl w:val="8C26F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C3E0243"/>
    <w:multiLevelType w:val="multilevel"/>
    <w:tmpl w:val="E640B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C462EBD"/>
    <w:multiLevelType w:val="multilevel"/>
    <w:tmpl w:val="A0C06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E2C1405"/>
    <w:multiLevelType w:val="multilevel"/>
    <w:tmpl w:val="5EDCA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FBA280A"/>
    <w:multiLevelType w:val="multilevel"/>
    <w:tmpl w:val="A6F8F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5541BF8"/>
    <w:multiLevelType w:val="multilevel"/>
    <w:tmpl w:val="69BCC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6F274D4"/>
    <w:multiLevelType w:val="multilevel"/>
    <w:tmpl w:val="73A26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A503281"/>
    <w:multiLevelType w:val="multilevel"/>
    <w:tmpl w:val="64324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BAB115D"/>
    <w:multiLevelType w:val="multilevel"/>
    <w:tmpl w:val="AE4E7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0A91988"/>
    <w:multiLevelType w:val="multilevel"/>
    <w:tmpl w:val="57AE1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CA85B75"/>
    <w:multiLevelType w:val="multilevel"/>
    <w:tmpl w:val="A3BC0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F371C67"/>
    <w:multiLevelType w:val="multilevel"/>
    <w:tmpl w:val="965A8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056051A"/>
    <w:multiLevelType w:val="multilevel"/>
    <w:tmpl w:val="E7DC9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31E325D"/>
    <w:multiLevelType w:val="multilevel"/>
    <w:tmpl w:val="96BE7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33839DA"/>
    <w:multiLevelType w:val="multilevel"/>
    <w:tmpl w:val="20D88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7C95DF1"/>
    <w:multiLevelType w:val="multilevel"/>
    <w:tmpl w:val="459CC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DF9123D"/>
    <w:multiLevelType w:val="multilevel"/>
    <w:tmpl w:val="AAFE4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20"/>
  </w:num>
  <w:num w:numId="3">
    <w:abstractNumId w:val="7"/>
  </w:num>
  <w:num w:numId="4">
    <w:abstractNumId w:val="11"/>
  </w:num>
  <w:num w:numId="5">
    <w:abstractNumId w:val="5"/>
  </w:num>
  <w:num w:numId="6">
    <w:abstractNumId w:val="2"/>
  </w:num>
  <w:num w:numId="7">
    <w:abstractNumId w:val="4"/>
  </w:num>
  <w:num w:numId="8">
    <w:abstractNumId w:val="16"/>
  </w:num>
  <w:num w:numId="9">
    <w:abstractNumId w:val="14"/>
  </w:num>
  <w:num w:numId="10">
    <w:abstractNumId w:val="17"/>
  </w:num>
  <w:num w:numId="11">
    <w:abstractNumId w:val="0"/>
  </w:num>
  <w:num w:numId="12">
    <w:abstractNumId w:val="9"/>
  </w:num>
  <w:num w:numId="13">
    <w:abstractNumId w:val="10"/>
  </w:num>
  <w:num w:numId="14">
    <w:abstractNumId w:val="12"/>
  </w:num>
  <w:num w:numId="15">
    <w:abstractNumId w:val="22"/>
  </w:num>
  <w:num w:numId="16">
    <w:abstractNumId w:val="1"/>
  </w:num>
  <w:num w:numId="17">
    <w:abstractNumId w:val="18"/>
  </w:num>
  <w:num w:numId="18">
    <w:abstractNumId w:val="3"/>
  </w:num>
  <w:num w:numId="19">
    <w:abstractNumId w:val="15"/>
  </w:num>
  <w:num w:numId="20">
    <w:abstractNumId w:val="23"/>
  </w:num>
  <w:num w:numId="21">
    <w:abstractNumId w:val="6"/>
  </w:num>
  <w:num w:numId="22">
    <w:abstractNumId w:val="19"/>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proofState w:spelling="clean"/>
  <w:defaultTabStop w:val="720"/>
  <w:characterSpacingControl w:val="doNotCompress"/>
  <w:compat>
    <w:compatSetting w:name="compatibilityMode" w:uri="http://schemas.microsoft.com/office/word" w:val="14"/>
  </w:compat>
  <w:rsids>
    <w:rsidRoot w:val="00B2768A"/>
    <w:rsid w:val="00B2768A"/>
    <w:rsid w:val="00C7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A5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 w:type="table" w:customStyle="1" w:styleId="afe">
    <w:basedOn w:val="TableNormal"/>
    <w:tblPr>
      <w:tblStyleRowBandSize w:val="1"/>
      <w:tblStyleColBandSize w:val="1"/>
      <w:tblInd w:w="0" w:type="dxa"/>
      <w:tblCellMar>
        <w:top w:w="100" w:type="dxa"/>
        <w:left w:w="100" w:type="dxa"/>
        <w:bottom w:w="100" w:type="dxa"/>
        <w:right w:w="100" w:type="dxa"/>
      </w:tblCellMar>
    </w:tblPr>
  </w:style>
  <w:style w:type="table" w:customStyle="1" w:styleId="aff">
    <w:basedOn w:val="TableNormal"/>
    <w:tblPr>
      <w:tblStyleRowBandSize w:val="1"/>
      <w:tblStyleColBandSize w:val="1"/>
      <w:tblInd w:w="0" w:type="dxa"/>
      <w:tblCellMar>
        <w:top w:w="100" w:type="dxa"/>
        <w:left w:w="100" w:type="dxa"/>
        <w:bottom w:w="100" w:type="dxa"/>
        <w:right w:w="100"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100" w:type="dxa"/>
        <w:left w:w="100" w:type="dxa"/>
        <w:bottom w:w="100" w:type="dxa"/>
        <w:right w:w="100" w:type="dxa"/>
      </w:tblCellMar>
    </w:tblPr>
  </w:style>
  <w:style w:type="table" w:customStyle="1" w:styleId="aff2">
    <w:basedOn w:val="TableNormal"/>
    <w:tblPr>
      <w:tblStyleRowBandSize w:val="1"/>
      <w:tblStyleColBandSize w:val="1"/>
      <w:tblInd w:w="0" w:type="dxa"/>
      <w:tblCellMar>
        <w:top w:w="100" w:type="dxa"/>
        <w:left w:w="100" w:type="dxa"/>
        <w:bottom w:w="100" w:type="dxa"/>
        <w:right w:w="100" w:type="dxa"/>
      </w:tblCellMar>
    </w:tblPr>
  </w:style>
  <w:style w:type="table" w:customStyle="1" w:styleId="aff3">
    <w:basedOn w:val="TableNormal"/>
    <w:tblPr>
      <w:tblStyleRowBandSize w:val="1"/>
      <w:tblStyleColBandSize w:val="1"/>
      <w:tblInd w:w="0" w:type="dxa"/>
      <w:tblCellMar>
        <w:top w:w="100" w:type="dxa"/>
        <w:left w:w="100" w:type="dxa"/>
        <w:bottom w:w="100" w:type="dxa"/>
        <w:right w:w="100"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100" w:type="dxa"/>
        <w:left w:w="100" w:type="dxa"/>
        <w:bottom w:w="100" w:type="dxa"/>
        <w:right w:w="100" w:type="dxa"/>
      </w:tblCellMar>
    </w:tblPr>
  </w:style>
  <w:style w:type="table" w:customStyle="1" w:styleId="aff6">
    <w:basedOn w:val="TableNormal"/>
    <w:tblPr>
      <w:tblStyleRowBandSize w:val="1"/>
      <w:tblStyleColBandSize w:val="1"/>
      <w:tblInd w:w="0" w:type="dxa"/>
      <w:tblCellMar>
        <w:top w:w="100" w:type="dxa"/>
        <w:left w:w="100" w:type="dxa"/>
        <w:bottom w:w="100" w:type="dxa"/>
        <w:right w:w="100" w:type="dxa"/>
      </w:tblCellMar>
    </w:tblPr>
  </w:style>
  <w:style w:type="table" w:customStyle="1" w:styleId="aff7">
    <w:basedOn w:val="TableNormal"/>
    <w:tblPr>
      <w:tblStyleRowBandSize w:val="1"/>
      <w:tblStyleColBandSize w:val="1"/>
      <w:tblInd w:w="0" w:type="dxa"/>
      <w:tblCellMar>
        <w:top w:w="100" w:type="dxa"/>
        <w:left w:w="100" w:type="dxa"/>
        <w:bottom w:w="100" w:type="dxa"/>
        <w:right w:w="100"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1">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7420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420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490</Words>
  <Characters>2797</Characters>
  <Application>Microsoft Macintosh Word</Application>
  <DocSecurity>0</DocSecurity>
  <Lines>23</Lines>
  <Paragraphs>6</Paragraphs>
  <ScaleCrop>false</ScaleCrop>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2018-05-09T01:26:00Z</dcterms:created>
  <dcterms:modified xsi:type="dcterms:W3CDTF">2018-05-09T01:26:00Z</dcterms:modified>
</cp:coreProperties>
</file>