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6481E" w14:textId="77777777" w:rsidR="0077186D" w:rsidRPr="00FC5A63" w:rsidRDefault="00E47411">
      <w:pPr>
        <w:pStyle w:val="Title"/>
        <w:rPr>
          <w:rFonts w:ascii="Helvetica" w:eastAsia="Helvetica Neue" w:hAnsi="Helvetica" w:cs="Helvetica Neue"/>
          <w:sz w:val="36"/>
          <w:szCs w:val="36"/>
          <w:u w:val="single"/>
        </w:rPr>
      </w:pPr>
      <w:bookmarkStart w:id="0" w:name="_facmv1v51o5e" w:colFirst="0" w:colLast="0"/>
      <w:bookmarkEnd w:id="0"/>
      <w:r w:rsidRPr="00FC5A63">
        <w:rPr>
          <w:rFonts w:ascii="Helvetica" w:eastAsia="Helvetica Neue" w:hAnsi="Helvetica" w:cs="Helvetica Neue"/>
          <w:sz w:val="36"/>
          <w:szCs w:val="36"/>
        </w:rPr>
        <w:t xml:space="preserve">Supplement to </w:t>
      </w:r>
      <w:r w:rsidRPr="00FC5A63">
        <w:rPr>
          <w:rFonts w:ascii="Helvetica" w:eastAsia="Helvetica Neue" w:hAnsi="Helvetica" w:cs="Helvetica Neue"/>
          <w:sz w:val="36"/>
          <w:szCs w:val="36"/>
        </w:rPr>
        <w:br/>
      </w:r>
      <w:r w:rsidRPr="00FC5A63">
        <w:rPr>
          <w:rFonts w:ascii="Helvetica" w:eastAsia="Helvetica Neue" w:hAnsi="Helvetica" w:cs="Helvetica Neue"/>
          <w:sz w:val="36"/>
          <w:szCs w:val="36"/>
          <w:u w:val="single"/>
        </w:rPr>
        <w:t xml:space="preserve">Comprehensive functional genomic resource </w:t>
      </w:r>
      <w:r w:rsidRPr="00FC5A63">
        <w:rPr>
          <w:rFonts w:ascii="Helvetica" w:eastAsia="Helvetica Neue" w:hAnsi="Helvetica" w:cs="Helvetica Neue"/>
          <w:sz w:val="36"/>
          <w:szCs w:val="36"/>
          <w:u w:val="single"/>
        </w:rPr>
        <w:br/>
        <w:t>and integrative model for the adult brain</w:t>
      </w:r>
    </w:p>
    <w:p w14:paraId="73698322" w14:textId="77777777" w:rsidR="0077186D" w:rsidRPr="00FC5A63" w:rsidRDefault="00E47411">
      <w:pPr>
        <w:pStyle w:val="Heading1"/>
        <w:rPr>
          <w:rFonts w:ascii="Helvetica" w:eastAsia="Helvetica Neue" w:hAnsi="Helvetica" w:cs="Helvetica Neue"/>
          <w:color w:val="000000"/>
        </w:rPr>
      </w:pPr>
      <w:bookmarkStart w:id="1" w:name="_4agapbp82ne3" w:colFirst="0" w:colLast="0"/>
      <w:bookmarkEnd w:id="1"/>
      <w:r w:rsidRPr="00FC5A63">
        <w:rPr>
          <w:rFonts w:ascii="Helvetica" w:eastAsia="Helvetica Neue" w:hAnsi="Helvetica" w:cs="Helvetica Neue"/>
        </w:rPr>
        <w:t>Quick Guide to Finding Information in the Supplement</w:t>
      </w:r>
    </w:p>
    <w:p w14:paraId="31D8A032" w14:textId="77777777" w:rsidR="0077186D" w:rsidRDefault="00E47411">
      <w:pPr>
        <w:rPr>
          <w:rFonts w:ascii="Arial" w:eastAsia="Arial" w:hAnsi="Arial" w:cs="Arial"/>
          <w:b/>
        </w:rPr>
      </w:pPr>
      <w:r>
        <w:rPr>
          <w:rFonts w:ascii="Arial" w:eastAsia="Arial" w:hAnsi="Arial" w:cs="Arial"/>
        </w:rPr>
        <w:t xml:space="preserve">To most clearly link and cross-reference between the main text and this supplement, we use common section headings for both. Thus, </w:t>
      </w:r>
      <w:r>
        <w:rPr>
          <w:rFonts w:ascii="Arial" w:eastAsia="Arial" w:hAnsi="Arial" w:cs="Arial"/>
          <w:i/>
          <w:u w:val="single"/>
        </w:rPr>
        <w:t>supplementary content to a given main text section within the supplementary section is named in a parallel fashion</w:t>
      </w:r>
      <w:r>
        <w:rPr>
          <w:rFonts w:ascii="Arial" w:eastAsia="Arial" w:hAnsi="Arial" w:cs="Arial"/>
        </w:rPr>
        <w:t>:</w:t>
      </w:r>
    </w:p>
    <w:p w14:paraId="5E8666EB" w14:textId="77777777"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S1. Supp. content to main text section "Resource construction" </w:t>
      </w:r>
      <w:r w:rsidRPr="00FC5A63">
        <w:rPr>
          <w:rFonts w:ascii="Helvetica" w:eastAsia="Helvetica Neue" w:hAnsi="Helvetica" w:cs="Helvetica Neue"/>
          <w:b/>
        </w:rPr>
        <w:tab/>
        <w:t>[pg. 2]</w:t>
      </w:r>
    </w:p>
    <w:p w14:paraId="65272D85" w14:textId="77777777"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S2. Supp. content to main text section "Transcriptome analysis" </w:t>
      </w:r>
      <w:r w:rsidRPr="00FC5A63">
        <w:rPr>
          <w:rFonts w:ascii="Helvetica" w:eastAsia="Helvetica Neue" w:hAnsi="Helvetica" w:cs="Helvetica Neue"/>
          <w:b/>
        </w:rPr>
        <w:tab/>
        <w:t>[pg. 3]</w:t>
      </w:r>
    </w:p>
    <w:p w14:paraId="2B0A3397" w14:textId="77777777"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S3. Supp. content to main text section "Enhancers" </w:t>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t>[pg. 21]</w:t>
      </w:r>
    </w:p>
    <w:p w14:paraId="4169ED64" w14:textId="77777777"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S4. Supp. content to main text section "Consistent comparison" </w:t>
      </w:r>
      <w:r w:rsidRPr="00FC5A63">
        <w:rPr>
          <w:rFonts w:ascii="Helvetica" w:eastAsia="Helvetica Neue" w:hAnsi="Helvetica" w:cs="Helvetica Neue"/>
          <w:b/>
        </w:rPr>
        <w:tab/>
        <w:t>[pg. 23]</w:t>
      </w:r>
    </w:p>
    <w:p w14:paraId="17C4DE63" w14:textId="77777777"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S5. Supp. content to main text section "QTL analysis" </w:t>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t>[pg. 29]</w:t>
      </w:r>
    </w:p>
    <w:p w14:paraId="76943342" w14:textId="1F1919F6"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S6. Supp. content to main text section "Regulatory networks" </w:t>
      </w:r>
      <w:r w:rsidRPr="00FC5A63">
        <w:rPr>
          <w:rFonts w:ascii="Helvetica" w:eastAsia="Helvetica Neue" w:hAnsi="Helvetica" w:cs="Helvetica Neue"/>
          <w:b/>
        </w:rPr>
        <w:tab/>
        <w:t>[pg. 3</w:t>
      </w:r>
      <w:r w:rsidR="00581C33">
        <w:rPr>
          <w:rFonts w:ascii="Helvetica" w:eastAsia="Helvetica Neue" w:hAnsi="Helvetica" w:cs="Helvetica Neue"/>
          <w:b/>
        </w:rPr>
        <w:t>3</w:t>
      </w:r>
      <w:r w:rsidRPr="00FC5A63">
        <w:rPr>
          <w:rFonts w:ascii="Helvetica" w:eastAsia="Helvetica Neue" w:hAnsi="Helvetica" w:cs="Helvetica Neue"/>
          <w:b/>
        </w:rPr>
        <w:t>]</w:t>
      </w:r>
    </w:p>
    <w:p w14:paraId="2E7F6D21" w14:textId="736A0219"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S7. Supp. content to main text section "Linking GWAS variants" </w:t>
      </w:r>
      <w:r w:rsidRPr="00FC5A63">
        <w:rPr>
          <w:rFonts w:ascii="Helvetica" w:eastAsia="Helvetica Neue" w:hAnsi="Helvetica" w:cs="Helvetica Neue"/>
          <w:b/>
        </w:rPr>
        <w:tab/>
        <w:t>[pg. 4</w:t>
      </w:r>
      <w:r w:rsidR="00581C33">
        <w:rPr>
          <w:rFonts w:ascii="Helvetica" w:eastAsia="Helvetica Neue" w:hAnsi="Helvetica" w:cs="Helvetica Neue"/>
          <w:b/>
        </w:rPr>
        <w:t>0</w:t>
      </w:r>
      <w:r w:rsidRPr="00FC5A63">
        <w:rPr>
          <w:rFonts w:ascii="Helvetica" w:eastAsia="Helvetica Neue" w:hAnsi="Helvetica" w:cs="Helvetica Neue"/>
          <w:b/>
        </w:rPr>
        <w:t>]</w:t>
      </w:r>
    </w:p>
    <w:p w14:paraId="698A5218" w14:textId="4D6D698F" w:rsidR="0077186D" w:rsidRPr="00FC5A63" w:rsidRDefault="00E47411">
      <w:pPr>
        <w:spacing w:line="240" w:lineRule="auto"/>
        <w:ind w:left="720"/>
        <w:rPr>
          <w:rFonts w:ascii="Helvetica" w:eastAsia="Helvetica Neue" w:hAnsi="Helvetica" w:cs="Helvetica Neue"/>
        </w:rPr>
      </w:pPr>
      <w:r w:rsidRPr="00FC5A63">
        <w:rPr>
          <w:rFonts w:ascii="Helvetica" w:eastAsia="Helvetica Neue" w:hAnsi="Helvetica" w:cs="Helvetica Neue"/>
          <w:b/>
        </w:rPr>
        <w:t xml:space="preserve">S8. Supp. content to main text section "Deep-learning model” </w:t>
      </w:r>
      <w:r w:rsidRPr="00FC5A63">
        <w:rPr>
          <w:rFonts w:ascii="Helvetica" w:eastAsia="Helvetica Neue" w:hAnsi="Helvetica" w:cs="Helvetica Neue"/>
          <w:b/>
        </w:rPr>
        <w:tab/>
        <w:t>[pg. 4</w:t>
      </w:r>
      <w:r w:rsidR="00581C33">
        <w:rPr>
          <w:rFonts w:ascii="Helvetica" w:eastAsia="Helvetica Neue" w:hAnsi="Helvetica" w:cs="Helvetica Neue"/>
          <w:b/>
        </w:rPr>
        <w:t>3</w:t>
      </w:r>
      <w:r w:rsidRPr="00FC5A63">
        <w:rPr>
          <w:rFonts w:ascii="Helvetica" w:eastAsia="Helvetica Neue" w:hAnsi="Helvetica" w:cs="Helvetica Neue"/>
          <w:b/>
        </w:rPr>
        <w:t>]</w:t>
      </w:r>
    </w:p>
    <w:p w14:paraId="7A7C4B04" w14:textId="74564168" w:rsidR="0077186D" w:rsidRPr="00FC5A63" w:rsidRDefault="00E47411">
      <w:pPr>
        <w:spacing w:line="240" w:lineRule="auto"/>
        <w:ind w:left="720"/>
        <w:rPr>
          <w:rFonts w:ascii="Helvetica" w:eastAsia="Helvetica Neue" w:hAnsi="Helvetica" w:cs="Helvetica Neue"/>
        </w:rPr>
      </w:pPr>
      <w:r w:rsidRPr="00FC5A63">
        <w:rPr>
          <w:rFonts w:ascii="Helvetica" w:eastAsia="Helvetica Neue" w:hAnsi="Helvetica" w:cs="Helvetica Neue"/>
          <w:b/>
        </w:rPr>
        <w:t xml:space="preserve">S9. Resource website </w:t>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t xml:space="preserve">[pg. </w:t>
      </w:r>
      <w:r w:rsidR="00581C33">
        <w:rPr>
          <w:rFonts w:ascii="Helvetica" w:eastAsia="Helvetica Neue" w:hAnsi="Helvetica" w:cs="Helvetica Neue"/>
          <w:b/>
        </w:rPr>
        <w:t>53</w:t>
      </w:r>
      <w:r w:rsidRPr="00FC5A63">
        <w:rPr>
          <w:rFonts w:ascii="Helvetica" w:eastAsia="Helvetica Neue" w:hAnsi="Helvetica" w:cs="Helvetica Neue"/>
          <w:b/>
        </w:rPr>
        <w:t>]</w:t>
      </w:r>
    </w:p>
    <w:p w14:paraId="0D56D2AA" w14:textId="36EA44FC" w:rsidR="0077186D" w:rsidRPr="00FC5A63" w:rsidRDefault="00E47411">
      <w:pPr>
        <w:spacing w:line="240" w:lineRule="auto"/>
        <w:ind w:left="720"/>
        <w:rPr>
          <w:rFonts w:ascii="Helvetica" w:eastAsia="Helvetica Neue" w:hAnsi="Helvetica" w:cs="Helvetica Neue"/>
          <w:b/>
        </w:rPr>
      </w:pPr>
      <w:r w:rsidRPr="00FC5A63">
        <w:rPr>
          <w:rFonts w:ascii="Helvetica" w:eastAsia="Helvetica Neue" w:hAnsi="Helvetica" w:cs="Helvetica Neue"/>
          <w:b/>
        </w:rPr>
        <w:t xml:space="preserve">S10. Supp. References </w:t>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r>
      <w:r w:rsidRPr="00FC5A63">
        <w:rPr>
          <w:rFonts w:ascii="Helvetica" w:eastAsia="Helvetica Neue" w:hAnsi="Helvetica" w:cs="Helvetica Neue"/>
          <w:b/>
        </w:rPr>
        <w:tab/>
        <w:t>[pg. 5</w:t>
      </w:r>
      <w:r w:rsidR="00581C33">
        <w:rPr>
          <w:rFonts w:ascii="Helvetica" w:eastAsia="Helvetica Neue" w:hAnsi="Helvetica" w:cs="Helvetica Neue"/>
          <w:b/>
        </w:rPr>
        <w:t>9</w:t>
      </w:r>
      <w:r w:rsidRPr="00FC5A63">
        <w:rPr>
          <w:rFonts w:ascii="Helvetica" w:eastAsia="Helvetica Neue" w:hAnsi="Helvetica" w:cs="Helvetica Neue"/>
          <w:b/>
        </w:rPr>
        <w:t>]</w:t>
      </w:r>
    </w:p>
    <w:p w14:paraId="56DC811F" w14:textId="77777777" w:rsidR="0077186D" w:rsidRDefault="00E47411">
      <w:pPr>
        <w:pStyle w:val="Heading1"/>
        <w:spacing w:line="312" w:lineRule="auto"/>
        <w:rPr>
          <w:rFonts w:ascii="Arial" w:eastAsia="Arial" w:hAnsi="Arial" w:cs="Arial"/>
          <w:b w:val="0"/>
          <w:sz w:val="22"/>
          <w:szCs w:val="22"/>
        </w:rPr>
      </w:pPr>
      <w:bookmarkStart w:id="2" w:name="_vfucof8lxfc5" w:colFirst="0" w:colLast="0"/>
      <w:bookmarkEnd w:id="2"/>
      <w:r>
        <w:rPr>
          <w:rFonts w:ascii="Arial" w:eastAsia="Arial" w:hAnsi="Arial" w:cs="Arial"/>
          <w:b w:val="0"/>
          <w:i/>
          <w:sz w:val="22"/>
          <w:szCs w:val="22"/>
          <w:u w:val="single"/>
        </w:rPr>
        <w:t>Supplementary methods, figures and tables are contained within their respective sections.</w:t>
      </w:r>
      <w:r>
        <w:rPr>
          <w:rFonts w:ascii="Arial" w:eastAsia="Arial" w:hAnsi="Arial" w:cs="Arial"/>
          <w:b w:val="0"/>
          <w:sz w:val="22"/>
          <w:szCs w:val="22"/>
        </w:rPr>
        <w:t xml:space="preserve"> Items are numbered to provide ease of access to supplementary content. For instance, “Fig. S2.1b” refers to panel b within the first figure within section S2. Also, note that many associated data files are on the website </w:t>
      </w:r>
      <w:r>
        <w:rPr>
          <w:rFonts w:ascii="Arial" w:eastAsia="Arial" w:hAnsi="Arial" w:cs="Arial"/>
          <w:b w:val="0"/>
          <w:sz w:val="22"/>
          <w:szCs w:val="22"/>
          <w:u w:val="single"/>
        </w:rPr>
        <w:t>Adult.psychENCODE.org</w:t>
      </w:r>
      <w:r>
        <w:rPr>
          <w:rFonts w:ascii="Arial" w:eastAsia="Arial" w:hAnsi="Arial" w:cs="Arial"/>
          <w:b w:val="0"/>
          <w:sz w:val="22"/>
          <w:szCs w:val="22"/>
        </w:rPr>
        <w:t xml:space="preserve"> (S9). </w:t>
      </w:r>
    </w:p>
    <w:p w14:paraId="64527965" w14:textId="77777777" w:rsidR="0077186D" w:rsidRDefault="0077186D"/>
    <w:p w14:paraId="4B08108D" w14:textId="77777777" w:rsidR="0077186D" w:rsidRDefault="0077186D"/>
    <w:p w14:paraId="0F6FCA8A" w14:textId="77777777" w:rsidR="0077186D" w:rsidRDefault="0077186D"/>
    <w:p w14:paraId="4EB9D764" w14:textId="77777777" w:rsidR="0077186D" w:rsidRDefault="0077186D"/>
    <w:p w14:paraId="4A88E734" w14:textId="77777777" w:rsidR="0077186D" w:rsidRDefault="0077186D"/>
    <w:p w14:paraId="011A817F" w14:textId="77777777" w:rsidR="0077186D" w:rsidRDefault="0077186D"/>
    <w:p w14:paraId="70E6A32D" w14:textId="77777777" w:rsidR="0077186D" w:rsidRPr="00001804" w:rsidRDefault="00E47411">
      <w:pPr>
        <w:pStyle w:val="Heading1"/>
        <w:rPr>
          <w:rFonts w:ascii="Helvetica" w:eastAsia="Helvetica Neue" w:hAnsi="Helvetica" w:cs="Helvetica Neue"/>
          <w:sz w:val="44"/>
        </w:rPr>
      </w:pPr>
      <w:bookmarkStart w:id="3" w:name="_2qpcljffkivy" w:colFirst="0" w:colLast="0"/>
      <w:bookmarkEnd w:id="3"/>
      <w:r w:rsidRPr="00001804">
        <w:rPr>
          <w:rFonts w:ascii="Helvetica" w:eastAsia="Helvetica Neue" w:hAnsi="Helvetica" w:cs="Helvetica Neue"/>
          <w:sz w:val="44"/>
        </w:rPr>
        <w:lastRenderedPageBreak/>
        <w:t>Introduction on PsychENCODE data &amp; more on the supplement</w:t>
      </w:r>
    </w:p>
    <w:p w14:paraId="5B0EDE79" w14:textId="77777777" w:rsidR="0077186D" w:rsidRPr="00001804" w:rsidRDefault="00E47411">
      <w:pPr>
        <w:rPr>
          <w:rFonts w:ascii="Times New Roman" w:eastAsia="Arial" w:hAnsi="Times New Roman" w:cs="Times New Roman"/>
        </w:rPr>
      </w:pPr>
      <w:r w:rsidRPr="00001804">
        <w:rPr>
          <w:rFonts w:ascii="Times New Roman" w:eastAsia="Arial" w:hAnsi="Times New Roman" w:cs="Times New Roman"/>
        </w:rPr>
        <w:t>This document provides an organized reference to support datasets, pipelines, and analyses associated with this study. It is presented in a parallel fashion to the main text. It is also connected to the main text through the major results presented in the form of main text figures – captions associated with main text figures point to relevant subsections within this supplement. In cases where the related supplementary section is not readily apparent, we note "see supp. section xyz” to refer to a specific section.</w:t>
      </w:r>
    </w:p>
    <w:p w14:paraId="6479A757" w14:textId="77777777" w:rsidR="0077186D" w:rsidRPr="00001804" w:rsidRDefault="00E47411">
      <w:pPr>
        <w:rPr>
          <w:rFonts w:ascii="Times New Roman" w:eastAsia="Arial" w:hAnsi="Times New Roman" w:cs="Times New Roman"/>
        </w:rPr>
      </w:pPr>
      <w:r w:rsidRPr="00001804">
        <w:rPr>
          <w:rFonts w:ascii="Times New Roman" w:eastAsia="Arial" w:hAnsi="Times New Roman" w:cs="Times New Roman"/>
        </w:rPr>
        <w:t>Large datasets produced by the psychENCODE consortium include over 2,000 human brain samples for healthy controls and individuals afflicted by neuropsychiatric diseases. These include full genotyping, RNA-seq, ChIP-seq, and single-cell data. It also includes processed data such as expression QTLs and chromatin QTLs trait loci, enhancers that are active in different brain regions, in addition to differentially expressed genes, transcripts, and novel non-coding RNAs. These are also provided at the resolution of brain sub-regions, thereby providing valuable resources for investigating potential underlying factors for an array of psychiatric diseases.</w:t>
      </w:r>
    </w:p>
    <w:p w14:paraId="2A159736" w14:textId="77777777" w:rsidR="0077186D" w:rsidRPr="00001804" w:rsidRDefault="00E47411">
      <w:pPr>
        <w:rPr>
          <w:rFonts w:ascii="Times New Roman" w:eastAsia="Arial" w:hAnsi="Times New Roman" w:cs="Times New Roman"/>
        </w:rPr>
      </w:pPr>
      <w:r w:rsidRPr="00001804">
        <w:rPr>
          <w:rFonts w:ascii="Times New Roman" w:eastAsia="Arial" w:hAnsi="Times New Roman" w:cs="Times New Roman"/>
        </w:rPr>
        <w:t xml:space="preserve">However, the very richness of this data introduces considerable challenges with respect to data organization. Our analyses rely on multiple methodologies, the details of which are difficult to include within the main text of this paper. </w:t>
      </w:r>
    </w:p>
    <w:p w14:paraId="1956CDF5" w14:textId="77777777" w:rsidR="0077186D" w:rsidRPr="00001804" w:rsidRDefault="00E47411">
      <w:pPr>
        <w:rPr>
          <w:rFonts w:ascii="Times New Roman" w:eastAsia="Arial" w:hAnsi="Times New Roman" w:cs="Times New Roman"/>
        </w:rPr>
      </w:pPr>
      <w:r w:rsidRPr="00001804">
        <w:rPr>
          <w:rFonts w:ascii="Times New Roman" w:eastAsia="Arial" w:hAnsi="Times New Roman" w:cs="Times New Roman"/>
        </w:rPr>
        <w:t xml:space="preserve">The data resources may be organized into a pyramid-like structure, with large raw data files at the base, and more processed summary data organized at higher levels. The raw data files include datasets from PyschENCODE, ENCODE, CommonMind, GTEx, Epigenomics Roadmap, and others. These comprise RNA-seq expression quantification data, ChIP-seq signal track qualifications and peak identifications using ENCODE standard pipelines, in addition to private data such as imputed genotypes. Further up the pyramid, more readily human-interpretable data and descriptors populate the top. These more processed datasets include patient metadata and phenotypes (such as disease status), fully processed epigenomic signals and peaks, active enhancers, QTLs, differentially expressed genes and transcripts, and regulatory networks. </w:t>
      </w:r>
    </w:p>
    <w:p w14:paraId="3227F397" w14:textId="77777777" w:rsidR="0077186D" w:rsidRPr="00001804" w:rsidRDefault="00E47411">
      <w:pPr>
        <w:rPr>
          <w:rFonts w:ascii="Times New Roman" w:eastAsia="Arial" w:hAnsi="Times New Roman" w:cs="Times New Roman"/>
        </w:rPr>
      </w:pPr>
      <w:r w:rsidRPr="00001804">
        <w:rPr>
          <w:rFonts w:ascii="Times New Roman" w:eastAsia="Arial" w:hAnsi="Times New Roman" w:cs="Times New Roman"/>
        </w:rPr>
        <w:t xml:space="preserve">With the aim of presenting data and results (including software packages) in an organized way, we have written about this study in roughly a hierarchical fashion. The main text lies at the top of this hierarchy and synthesizes everything in a broad manner. It refers to more detailed descriptions of our methods and datasets, as provided in this supplement. Raw data files, which lie at the bottom of the hierarchy (and which are hosted as online resources) form the bedrock from which our results are built. </w:t>
      </w:r>
    </w:p>
    <w:p w14:paraId="1860A5D8" w14:textId="77777777" w:rsidR="00FC4E97" w:rsidRDefault="00FC4E97">
      <w:pPr>
        <w:pStyle w:val="Heading1"/>
        <w:spacing w:before="200" w:after="280" w:line="276" w:lineRule="auto"/>
        <w:rPr>
          <w:sz w:val="44"/>
          <w:szCs w:val="44"/>
        </w:rPr>
      </w:pPr>
      <w:bookmarkStart w:id="4" w:name="_ce39b9ypvswq" w:colFirst="0" w:colLast="0"/>
      <w:bookmarkEnd w:id="4"/>
    </w:p>
    <w:p w14:paraId="41B8BB8D" w14:textId="77777777" w:rsidR="0077186D" w:rsidRPr="00FC5A63" w:rsidRDefault="00E47411">
      <w:pPr>
        <w:pStyle w:val="Heading1"/>
        <w:spacing w:before="200" w:after="280" w:line="276" w:lineRule="auto"/>
        <w:rPr>
          <w:rFonts w:ascii="Helvetica" w:hAnsi="Helvetica"/>
          <w:sz w:val="44"/>
          <w:szCs w:val="44"/>
        </w:rPr>
      </w:pPr>
      <w:r w:rsidRPr="00FC5A63">
        <w:rPr>
          <w:rFonts w:ascii="Helvetica" w:hAnsi="Helvetica"/>
          <w:sz w:val="44"/>
          <w:szCs w:val="44"/>
        </w:rPr>
        <w:lastRenderedPageBreak/>
        <w:t>S1. Supp. content to main text section "</w:t>
      </w:r>
      <w:r w:rsidRPr="00FC5A63">
        <w:rPr>
          <w:rFonts w:ascii="Helvetica" w:hAnsi="Helvetica"/>
          <w:sz w:val="44"/>
          <w:szCs w:val="44"/>
          <w:u w:val="single"/>
        </w:rPr>
        <w:t>Resource construction</w:t>
      </w:r>
      <w:r w:rsidRPr="00FC5A63">
        <w:rPr>
          <w:rFonts w:ascii="Helvetica" w:hAnsi="Helvetica"/>
          <w:sz w:val="44"/>
          <w:szCs w:val="44"/>
        </w:rPr>
        <w:t>"</w:t>
      </w:r>
    </w:p>
    <w:p w14:paraId="66FFE5F0"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PsychENCODE data covers a number of phenotypes on mental health. These include normal controls (n=1104), as well as schizophrenia (n=558), bipolar (n=217), autism spectrum disorder, (n=44), and affective disorder (n=8) (Fig. 1). There are 1246 males and 685 females. We integrated standard pipelines to uniformly process raw sequencing and genotyping data (Fig. S1.1). Details are provided in following Sections S2.1, S2.2, S3.1, S5.1, and S6.1-6.2.</w:t>
      </w:r>
    </w:p>
    <w:p w14:paraId="0225209A" w14:textId="77777777" w:rsidR="0077186D" w:rsidRDefault="0077186D">
      <w:pPr>
        <w:spacing w:before="0" w:line="240" w:lineRule="auto"/>
        <w:rPr>
          <w:rFonts w:ascii="Times New Roman" w:eastAsia="Times New Roman" w:hAnsi="Times New Roman" w:cs="Times New Roman"/>
          <w:color w:val="000000"/>
          <w:sz w:val="24"/>
          <w:szCs w:val="24"/>
        </w:rPr>
      </w:pPr>
    </w:p>
    <w:p w14:paraId="65606373" w14:textId="77777777" w:rsidR="0077186D" w:rsidRDefault="00E47411">
      <w:pPr>
        <w:jc w:val="center"/>
        <w:rPr>
          <w:b/>
          <w:sz w:val="20"/>
          <w:szCs w:val="20"/>
        </w:rPr>
      </w:pPr>
      <w:r>
        <w:rPr>
          <w:noProof/>
          <w:lang w:val="en-US"/>
        </w:rPr>
        <w:drawing>
          <wp:inline distT="114300" distB="114300" distL="114300" distR="114300" wp14:anchorId="7B44D29C" wp14:editId="1A50A332">
            <wp:extent cx="5534025" cy="3476625"/>
            <wp:effectExtent l="0" t="0" r="0" b="0"/>
            <wp:docPr id="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
                    <a:srcRect/>
                    <a:stretch>
                      <a:fillRect/>
                    </a:stretch>
                  </pic:blipFill>
                  <pic:spPr>
                    <a:xfrm>
                      <a:off x="0" y="0"/>
                      <a:ext cx="5534025" cy="3476625"/>
                    </a:xfrm>
                    <a:prstGeom prst="rect">
                      <a:avLst/>
                    </a:prstGeom>
                    <a:ln/>
                  </pic:spPr>
                </pic:pic>
              </a:graphicData>
            </a:graphic>
          </wp:inline>
        </w:drawing>
      </w:r>
    </w:p>
    <w:p w14:paraId="3DD412C3" w14:textId="77777777" w:rsidR="0077186D" w:rsidRPr="002B4917"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2B4917">
        <w:rPr>
          <w:rFonts w:ascii="Helvetica" w:eastAsia="Helvetica Neue" w:hAnsi="Helvetica" w:cs="Helvetica Neue"/>
          <w:b/>
          <w:sz w:val="18"/>
          <w:szCs w:val="18"/>
        </w:rPr>
        <w:t xml:space="preserve">Fig. S1.1 - Integrated analysis pipeline of PsychENCODE. </w:t>
      </w:r>
      <w:r w:rsidRPr="002B4917">
        <w:rPr>
          <w:rFonts w:ascii="Helvetica" w:eastAsia="Helvetica Neue" w:hAnsi="Helvetica" w:cs="Helvetica Neue"/>
          <w:sz w:val="18"/>
          <w:szCs w:val="18"/>
        </w:rPr>
        <w:t>We used the standard pipelines from ENCODE and other large consortia to uniformly processed the raw sequencing data from PsychENCODE, including RNA-seq, ChIP-seq and Genotype, and identified functional genomic elements such as brain enhancers, expressed genes and eQTLs. We also processed other data types such as Hi-C and single cell and provided details on data processing in the following sections. As shown by this flowchart, we then performed the integrative modeling and analysis for functional genomic elements in adult brain.</w:t>
      </w:r>
    </w:p>
    <w:p w14:paraId="0BE0A779" w14:textId="77777777" w:rsidR="0077186D" w:rsidRDefault="0077186D">
      <w:pPr>
        <w:pStyle w:val="Heading1"/>
        <w:spacing w:after="120" w:line="312" w:lineRule="auto"/>
        <w:rPr>
          <w:sz w:val="46"/>
          <w:szCs w:val="46"/>
        </w:rPr>
      </w:pPr>
      <w:bookmarkStart w:id="5" w:name="_f099sunynl5o" w:colFirst="0" w:colLast="0"/>
      <w:bookmarkEnd w:id="5"/>
    </w:p>
    <w:p w14:paraId="44857E43" w14:textId="77777777" w:rsidR="0077186D" w:rsidRDefault="0077186D"/>
    <w:p w14:paraId="504997BF" w14:textId="77777777" w:rsidR="0077186D" w:rsidRDefault="0077186D"/>
    <w:p w14:paraId="324F5833" w14:textId="77777777" w:rsidR="0077186D" w:rsidRDefault="0077186D"/>
    <w:p w14:paraId="28F75FE4" w14:textId="77777777" w:rsidR="0077186D" w:rsidRPr="00CB6EBD" w:rsidRDefault="00E47411">
      <w:pPr>
        <w:pStyle w:val="Heading1"/>
        <w:spacing w:before="200" w:after="280" w:line="276" w:lineRule="auto"/>
        <w:rPr>
          <w:rFonts w:ascii="Helvetica" w:hAnsi="Helvetica"/>
          <w:sz w:val="44"/>
          <w:szCs w:val="44"/>
          <w:u w:val="single"/>
        </w:rPr>
      </w:pPr>
      <w:bookmarkStart w:id="6" w:name="_s84infpakq9e" w:colFirst="0" w:colLast="0"/>
      <w:bookmarkEnd w:id="6"/>
      <w:r w:rsidRPr="00CB6EBD">
        <w:rPr>
          <w:rFonts w:ascii="Helvetica" w:hAnsi="Helvetica"/>
          <w:sz w:val="44"/>
          <w:szCs w:val="44"/>
        </w:rPr>
        <w:lastRenderedPageBreak/>
        <w:t>S2. Supp. content to main text section "</w:t>
      </w:r>
      <w:r w:rsidRPr="00CB6EBD">
        <w:rPr>
          <w:rFonts w:ascii="Helvetica" w:hAnsi="Helvetica"/>
          <w:sz w:val="44"/>
          <w:szCs w:val="44"/>
          <w:u w:val="single"/>
        </w:rPr>
        <w:t>Transcriptome analysis”</w:t>
      </w:r>
    </w:p>
    <w:p w14:paraId="35266C9E" w14:textId="77777777" w:rsidR="0077186D" w:rsidRPr="00CB6EBD" w:rsidRDefault="00E47411">
      <w:pPr>
        <w:pStyle w:val="Heading2"/>
        <w:spacing w:before="200" w:after="160"/>
        <w:rPr>
          <w:rFonts w:ascii="Helvetica" w:hAnsi="Helvetica"/>
          <w:sz w:val="28"/>
          <w:szCs w:val="28"/>
        </w:rPr>
      </w:pPr>
      <w:bookmarkStart w:id="7" w:name="_50xvxcwc3gj5" w:colFirst="0" w:colLast="0"/>
      <w:bookmarkEnd w:id="7"/>
      <w:r w:rsidRPr="00CB6EBD">
        <w:rPr>
          <w:rFonts w:ascii="Helvetica" w:hAnsi="Helvetica"/>
          <w:sz w:val="28"/>
          <w:szCs w:val="28"/>
        </w:rPr>
        <w:t>S2.1 Data processing</w:t>
      </w:r>
    </w:p>
    <w:p w14:paraId="1E21CB7B" w14:textId="77777777" w:rsidR="0077186D" w:rsidRDefault="00E47411">
      <w:pPr>
        <w:pStyle w:val="Heading2"/>
        <w:spacing w:before="200" w:after="160"/>
        <w:rPr>
          <w:rFonts w:ascii="Times New Roman" w:eastAsia="Times New Roman" w:hAnsi="Times New Roman" w:cs="Times New Roman"/>
          <w:b w:val="0"/>
          <w:sz w:val="22"/>
          <w:szCs w:val="22"/>
        </w:rPr>
      </w:pPr>
      <w:bookmarkStart w:id="8" w:name="_oym8n3muls7d" w:colFirst="0" w:colLast="0"/>
      <w:bookmarkEnd w:id="8"/>
      <w:r>
        <w:rPr>
          <w:rFonts w:ascii="Times New Roman" w:eastAsia="Times New Roman" w:hAnsi="Times New Roman" w:cs="Times New Roman"/>
          <w:b w:val="0"/>
          <w:sz w:val="22"/>
          <w:szCs w:val="22"/>
        </w:rPr>
        <w:t>Note that the data files for this section are described in detail in Section S9 (Resource website).</w:t>
      </w:r>
    </w:p>
    <w:p w14:paraId="1187FE9C" w14:textId="77777777" w:rsidR="0077186D" w:rsidRPr="00CB6EBD" w:rsidRDefault="00E47411">
      <w:pPr>
        <w:pStyle w:val="Heading3"/>
        <w:spacing w:before="160" w:after="120"/>
        <w:rPr>
          <w:rFonts w:ascii="Helvetica" w:hAnsi="Helvetica"/>
          <w:b/>
          <w:sz w:val="22"/>
          <w:szCs w:val="22"/>
        </w:rPr>
      </w:pPr>
      <w:bookmarkStart w:id="9" w:name="_jmwwe1h0bb69" w:colFirst="0" w:colLast="0"/>
      <w:bookmarkEnd w:id="9"/>
      <w:r w:rsidRPr="00CB6EBD">
        <w:rPr>
          <w:rFonts w:ascii="Helvetica" w:hAnsi="Helvetica"/>
          <w:b/>
          <w:sz w:val="22"/>
          <w:szCs w:val="22"/>
        </w:rPr>
        <w:t>S2.1.1 GTEx brain and other tissues</w:t>
      </w:r>
    </w:p>
    <w:p w14:paraId="293F60BE" w14:textId="77777777" w:rsidR="0077186D" w:rsidRDefault="00E47411">
      <w:pPr>
        <w:pStyle w:val="Heading3"/>
        <w:spacing w:before="0"/>
        <w:rPr>
          <w:rFonts w:ascii="Times New Roman" w:eastAsia="Times New Roman" w:hAnsi="Times New Roman" w:cs="Times New Roman"/>
          <w:sz w:val="22"/>
          <w:szCs w:val="22"/>
        </w:rPr>
      </w:pPr>
      <w:bookmarkStart w:id="10" w:name="_tmpmu8p4c071" w:colFirst="0" w:colLast="0"/>
      <w:bookmarkEnd w:id="10"/>
      <w:r>
        <w:rPr>
          <w:rFonts w:ascii="Times New Roman" w:eastAsia="Times New Roman" w:hAnsi="Times New Roman" w:cs="Times New Roman"/>
          <w:sz w:val="22"/>
          <w:szCs w:val="22"/>
        </w:rPr>
        <w:t>We used several types of data from the GTEx version 7 dataset (GTEx Consortium, 2017). GTEx version 7 contains RNA-seq and matching genotype data for 10 brain regions: anterior cingulate cortex, caudate nucleus, cerebellar hemisphere, cerebellum, cortex, frontal cortex, hippocampus, hypothalamus, nucleus accumbens, and putamen. We used the raw RNA-seq data to quantify the proportion of the transcribed non-coding genome. For eQTL calculations and weighted gene co-expression network analysis (WGCNA) analysis, we used individual trusted platform module (TPM) data, and renormalized it using probabilistic estimation of expression residuals (PEER) factors calculated in combination with PsychENCODE data. Further, for the eQTL calculations, we re-imputed the genotype data from the raw genotype calls using the pipeline described below to match the processing of the PsychENCODE data.</w:t>
      </w:r>
    </w:p>
    <w:p w14:paraId="7F6F2A18" w14:textId="77777777" w:rsidR="0077186D" w:rsidRDefault="00E47411">
      <w:pPr>
        <w:spacing w:before="0" w:line="240" w:lineRule="auto"/>
        <w:ind w:firstLine="720"/>
      </w:pPr>
      <w:r>
        <w:rPr>
          <w:rFonts w:ascii="Times New Roman" w:eastAsia="Times New Roman" w:hAnsi="Times New Roman" w:cs="Times New Roman"/>
        </w:rPr>
        <w:t>We used data from GTEx7 (GTEx Consortium, 2017) to compare the brain transcriptome to that of other tissues. GTEx7 contains RNA-seq data from 34 other tissues. As above, we used the raw RNA-seq data to quantify the proportion of transcribed non-coding regions. For WGCNA analysis, we used the individual TPM data, pre-normalized by the PEER factors calculated in GTEx7 to identify modules in individual tissues, and the median TPM data by tissue to identify modules across tissues.</w:t>
      </w:r>
    </w:p>
    <w:p w14:paraId="66AEC916" w14:textId="77777777" w:rsidR="0077186D" w:rsidRDefault="0077186D">
      <w:pPr>
        <w:spacing w:before="0" w:line="240" w:lineRule="auto"/>
        <w:ind w:firstLine="720"/>
      </w:pPr>
    </w:p>
    <w:p w14:paraId="5A654042" w14:textId="77777777" w:rsidR="0077186D" w:rsidRDefault="00E47411">
      <w:pPr>
        <w:spacing w:before="0"/>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2291826B" wp14:editId="434500C3">
            <wp:extent cx="5667375" cy="3398588"/>
            <wp:effectExtent l="0" t="0" r="0" b="0"/>
            <wp:docPr id="1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5667375" cy="3398588"/>
                    </a:xfrm>
                    <a:prstGeom prst="rect">
                      <a:avLst/>
                    </a:prstGeom>
                    <a:ln/>
                  </pic:spPr>
                </pic:pic>
              </a:graphicData>
            </a:graphic>
          </wp:inline>
        </w:drawing>
      </w:r>
    </w:p>
    <w:p w14:paraId="795F1A0F"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jc w:val="both"/>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S2.1 Dendrogram of clustering analysis for identifying outliers of gene expression. </w:t>
      </w:r>
      <w:r w:rsidRPr="00605DD0">
        <w:rPr>
          <w:rFonts w:ascii="Helvetica" w:eastAsia="Helvetica Neue" w:hAnsi="Helvetica" w:cs="Helvetica Neue"/>
          <w:sz w:val="18"/>
          <w:szCs w:val="18"/>
        </w:rPr>
        <w:t>An example of removing 4 outlier samples from a UCLA-ASD study according to hierarchical clustering of the gene expression data.</w:t>
      </w:r>
    </w:p>
    <w:p w14:paraId="5077BBD7" w14:textId="77777777" w:rsidR="0077186D" w:rsidRDefault="0077186D">
      <w:pPr>
        <w:rPr>
          <w:b/>
          <w:sz w:val="20"/>
          <w:szCs w:val="20"/>
        </w:rPr>
      </w:pPr>
    </w:p>
    <w:p w14:paraId="1C6E13D4"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b/>
          <w:sz w:val="18"/>
          <w:szCs w:val="18"/>
        </w:rPr>
      </w:pPr>
      <w:r w:rsidRPr="00605DD0">
        <w:rPr>
          <w:rFonts w:ascii="Helvetica" w:eastAsia="Helvetica Neue" w:hAnsi="Helvetica" w:cs="Helvetica Neue"/>
          <w:b/>
          <w:sz w:val="18"/>
          <w:szCs w:val="18"/>
        </w:rPr>
        <w:lastRenderedPageBreak/>
        <w:t xml:space="preserve">Table S2.1 Summary of dataset. </w:t>
      </w:r>
      <w:r w:rsidRPr="00605DD0">
        <w:rPr>
          <w:rFonts w:ascii="Helvetica" w:eastAsia="Helvetica Neue" w:hAnsi="Helvetica" w:cs="Helvetica Neue"/>
          <w:sz w:val="18"/>
          <w:szCs w:val="18"/>
        </w:rPr>
        <w:t>This table provides the number of samples incorporated into the integrative analyses in this manuscript, categorized by study, the disease status of the individual from which the sample is acquired (CTL = Control, SCZ = Schizophrenia, BPD = Bipolar Disorder, ASD = Autism Spectrum Disorder, AFF = Affective Disorder), the source tissue(s), and the downstream analyses conducted as a part of this manuscript.</w:t>
      </w:r>
    </w:p>
    <w:tbl>
      <w:tblPr>
        <w:tblStyle w:val="a"/>
        <w:tblW w:w="93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30"/>
        <w:gridCol w:w="870"/>
        <w:gridCol w:w="2580"/>
        <w:gridCol w:w="1485"/>
        <w:gridCol w:w="2310"/>
        <w:gridCol w:w="900"/>
      </w:tblGrid>
      <w:tr w:rsidR="0077186D" w14:paraId="3FAF27E1" w14:textId="77777777">
        <w:trPr>
          <w:trHeight w:val="3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B74FF"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Study</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43154" w14:textId="77777777" w:rsidR="0077186D" w:rsidRPr="001F3783" w:rsidRDefault="00E47411">
            <w:pPr>
              <w:spacing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Disease</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5436D"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Brain Tissue(s)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87341"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Assay</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A6977"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Analyses done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CE6CD"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No. of Samples</w:t>
            </w:r>
          </w:p>
        </w:tc>
      </w:tr>
      <w:tr w:rsidR="0077186D" w14:paraId="3375BD34" w14:textId="77777777">
        <w:trPr>
          <w:trHeight w:val="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9C1AC"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Roadmap</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7C2A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01A5"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2D84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0049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Chromatin RCA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FFA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w:t>
            </w:r>
          </w:p>
        </w:tc>
      </w:tr>
      <w:tr w:rsidR="0077186D" w14:paraId="2E4F33F0" w14:textId="77777777">
        <w:trPr>
          <w:trHeight w:val="1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84051"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847C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59946"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Caudate nucleus, Cingulate gyrus, Hippocampus,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5C3F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B6A5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Chromatin RCA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A76D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w:t>
            </w:r>
          </w:p>
        </w:tc>
      </w:tr>
      <w:tr w:rsidR="0077186D" w14:paraId="316BBBA6" w14:textId="77777777">
        <w:trPr>
          <w:trHeight w:val="1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83962"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E2B1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8A816"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 xml:space="preserve">Non-brain tissues: Adipose Tissue = 2, Adrenal Gland = 8, </w:t>
            </w:r>
            <w:r w:rsidRPr="001F3783">
              <w:rPr>
                <w:rFonts w:ascii="Times New Roman" w:eastAsia="Times New Roman" w:hAnsi="Times New Roman" w:cs="Times New Roman"/>
                <w:color w:val="212121"/>
                <w:sz w:val="17"/>
                <w:szCs w:val="17"/>
              </w:rPr>
              <w:t>Adipose Tissue = 2, Blood = 12, Blood Vessel = 9, Bodily Fluid = 6, Bone Element = 9, Brain Cell = 9, Breast = 1, Connective Tissue = 12, Embryo = 22, Epithelium = 1, Esophagus = 5, Extraembryonic Component = 1, Gonad = 2, Heart = 9, Intestine = 6, Kidney = 3, Large Intestine = 15, Limb = 11, Liver = 9, Lung = 12, Lymph Node = 9, Mammary Gland = 9, Mouth = 3, Musculature of Body = 11, Pancreas = 11, Penis = 11, Placenta = 1, Prostate Gland = 25, Skin of Body = 15, Small Intestine = 3, Spinal Cord = 1, Spleen = 4, Stomach = 7, Thymus = 2, Thyroid Gland = 7, Urinary Bladder = 1, Uterus = 4, Vagina = 3, Vein = 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548C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6E79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Chromatin RCA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E929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294</w:t>
            </w:r>
          </w:p>
        </w:tc>
      </w:tr>
      <w:tr w:rsidR="0077186D" w14:paraId="6CD1FD0A"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A99B6"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ENCODE</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79CC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57673"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DE78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DNase-seq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8FAE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TF imputation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DE18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w:t>
            </w:r>
          </w:p>
        </w:tc>
      </w:tr>
      <w:tr w:rsidR="0077186D" w14:paraId="1DFCBC78" w14:textId="77777777">
        <w:trPr>
          <w:trHeight w:val="60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55248"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GTEx</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2727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F198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Frontal Cortex (BA9)</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3FE8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865C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QTL analyses, Gene Expression RCA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42F05"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138</w:t>
            </w:r>
          </w:p>
        </w:tc>
      </w:tr>
      <w:tr w:rsidR="0077186D" w14:paraId="62DDB5F6" w14:textId="77777777">
        <w:trPr>
          <w:trHeight w:val="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6FF6B"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16BB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DF5A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Cerebellum</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65EB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C51C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Gene Expression RCA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AC53D"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298</w:t>
            </w:r>
          </w:p>
        </w:tc>
      </w:tr>
      <w:tr w:rsidR="0077186D" w14:paraId="556B9750"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A817F"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6CAE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25A1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 xml:space="preserve">Amygdala = 99, </w:t>
            </w:r>
            <w:r w:rsidRPr="001F3783">
              <w:rPr>
                <w:rFonts w:ascii="Times New Roman" w:eastAsia="Times New Roman" w:hAnsi="Times New Roman" w:cs="Times New Roman"/>
                <w:sz w:val="17"/>
                <w:szCs w:val="17"/>
              </w:rPr>
              <w:br/>
              <w:t>Anterior Cingulate Cortex = 114, Caudate (basal ganglia) = 157,</w:t>
            </w:r>
            <w:r w:rsidRPr="001F3783">
              <w:rPr>
                <w:rFonts w:ascii="Times New Roman" w:eastAsia="Times New Roman" w:hAnsi="Times New Roman" w:cs="Times New Roman"/>
                <w:sz w:val="17"/>
                <w:szCs w:val="17"/>
              </w:rPr>
              <w:br/>
              <w:t>Cortex = 148,</w:t>
            </w:r>
            <w:r w:rsidRPr="001F3783">
              <w:rPr>
                <w:rFonts w:ascii="Times New Roman" w:eastAsia="Times New Roman" w:hAnsi="Times New Roman" w:cs="Times New Roman"/>
                <w:sz w:val="17"/>
                <w:szCs w:val="17"/>
              </w:rPr>
              <w:br/>
              <w:t>Hippocampus = 122, Hypothalamus = 121, Nucleus Accumbens (basal ganglia) = 144, Putamen (basal ganglia) = 118, Spinal cord (cervical c-1) = 87, Substantia Nigra = 86</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6958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2EA8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Gene Expression RCA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B32DF"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1196</w:t>
            </w:r>
          </w:p>
        </w:tc>
      </w:tr>
      <w:tr w:rsidR="0077186D" w14:paraId="2A1B0DEC"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8AD1C"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5C4D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E4D3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Frontal Cortex (BA9)</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6202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BA5A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QTL analyses</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F91DA"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25</w:t>
            </w:r>
          </w:p>
        </w:tc>
      </w:tr>
      <w:tr w:rsidR="0077186D" w14:paraId="5B395193"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1D346"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31BA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83C1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All non-brain tissues (GTEx V7)</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7271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2545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Weighted Gene Co-expression Analysis (WGCNA)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9C0E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 xml:space="preserve">11688 </w:t>
            </w:r>
          </w:p>
        </w:tc>
      </w:tr>
      <w:tr w:rsidR="0077186D" w14:paraId="03D08AA0"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B6C70"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BDE1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3737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Non-brain tissues (GTEx V6p): Adipose - Visceral (Omentum) = 110, Esophagus - Gastroesophageal Junction = 166, Esophagus - Mucosa = 328, Esophagus - Muscularis = 282, Liver = 128, Lung = 350, Nerve - Tibial = 333, Pancreas = 194, Spleen = 120, Uterus = 39</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2748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D2B0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Gene Expression RCA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83FB2"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2050</w:t>
            </w:r>
          </w:p>
        </w:tc>
      </w:tr>
      <w:tr w:rsidR="0077186D" w14:paraId="783CF427"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2D272"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Published Methylation data: Jaffe et al., 2016</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053B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7F6A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 (BA46/9)</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D815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DNA Methylation Microarray studies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6B97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Methylation Analysis</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52D05"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255</w:t>
            </w:r>
          </w:p>
        </w:tc>
      </w:tr>
      <w:tr w:rsidR="0077186D" w14:paraId="1E1E5F5B"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F661E"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BrainSpan</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D60B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53CA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5A90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1D52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ACC5A"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6</w:t>
            </w:r>
          </w:p>
        </w:tc>
      </w:tr>
      <w:tr w:rsidR="0077186D" w14:paraId="5D9AED54"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CE48D"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Published Single-cell: Lake et al., 2016</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8BB6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B4C5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 (BA10)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D911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3B1C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Bulk Tissue Deconvolution and Decomposition, fQTL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86015"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575</w:t>
            </w:r>
          </w:p>
        </w:tc>
      </w:tr>
      <w:tr w:rsidR="0077186D" w14:paraId="083AD14E" w14:textId="77777777">
        <w:trPr>
          <w:trHeight w:val="10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F9858"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41FD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74E7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Temporal Cortex (BA21, BA22, BA41)</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9AB0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230A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Bulk Tissue Deconvolution and Decomposition, fQTL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1A16E"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1771</w:t>
            </w:r>
          </w:p>
        </w:tc>
      </w:tr>
      <w:tr w:rsidR="0077186D" w14:paraId="0C1CF881"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C56BB"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8230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43D8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Intermediate Frontal Cortex (BA8)</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A0FA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86EA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Bulk Tissue Deconvolution and Decomposition, fQTL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A2B54"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490</w:t>
            </w:r>
          </w:p>
        </w:tc>
      </w:tr>
      <w:tr w:rsidR="0077186D" w14:paraId="22E55F32"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62F2D"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CA1A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3128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Primary Visual Cortex X1 (BA17)</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ADD7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E49C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Bulk Tissue Deconvolution and Decomposition, fQTL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18919"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391</w:t>
            </w:r>
          </w:p>
        </w:tc>
      </w:tr>
      <w:tr w:rsidR="0077186D" w14:paraId="3CC73175"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1D635"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Published Single-cell: Darmanis et al., 2015</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38F5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DC4A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Temporal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E3DA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FA9E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Bulk Tissue Deconvolution and Decomposition, fQTL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5B6EA"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332</w:t>
            </w:r>
          </w:p>
        </w:tc>
      </w:tr>
      <w:tr w:rsidR="0077186D" w14:paraId="55C3BAAF" w14:textId="77777777">
        <w:trPr>
          <w:trHeight w:val="9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1387C"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0C4D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D27A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Developmental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6210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F008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Bulk Tissue Deconvolution and Decomposition, fQTL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54C0F"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134</w:t>
            </w:r>
          </w:p>
        </w:tc>
      </w:tr>
      <w:tr w:rsidR="0077186D" w14:paraId="635E44AE" w14:textId="77777777">
        <w:trPr>
          <w:trHeight w:val="3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DA03E"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scRNA-seq</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94E1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624A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8A8A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BF3C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Bulk Tissue Deconvolution and Decomposition, fQTL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3E7BE"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459</w:t>
            </w:r>
          </w:p>
        </w:tc>
      </w:tr>
      <w:tr w:rsidR="0077186D" w14:paraId="7461BF77" w14:textId="77777777">
        <w:trPr>
          <w:trHeight w:val="24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DAD31"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9EC7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09B5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Dorsal Pallium</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549B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94F3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 xml:space="preserve">Bulk Tissue Deconvolution and Decomposition, fQTL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1B09F"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473</w:t>
            </w:r>
          </w:p>
        </w:tc>
      </w:tr>
      <w:tr w:rsidR="0077186D" w14:paraId="47BD03BA" w14:textId="77777777">
        <w:trPr>
          <w:trHeight w:val="36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B343C"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lastRenderedPageBreak/>
              <w:t>PEC: Reference Brain</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FD35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A850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DEC4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F3DD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Enhancer Definition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4EC6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w:t>
            </w:r>
          </w:p>
        </w:tc>
      </w:tr>
      <w:tr w:rsidR="0077186D" w14:paraId="51B1591D" w14:textId="77777777">
        <w:trPr>
          <w:trHeight w:val="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4E324"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ABD7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41CF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8A85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HiC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F05A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Enhancer Definition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958D2"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w:t>
            </w:r>
          </w:p>
        </w:tc>
      </w:tr>
      <w:tr w:rsidR="0077186D" w14:paraId="3F7B9A17" w14:textId="77777777">
        <w:trPr>
          <w:trHeight w:val="1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48BDF"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6B7C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588B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9ACB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ATAC-seq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3CE1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Enhancer Definition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5E128"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w:t>
            </w:r>
          </w:p>
        </w:tc>
      </w:tr>
      <w:tr w:rsidR="0077186D" w14:paraId="13408978" w14:textId="77777777">
        <w:trPr>
          <w:trHeight w:val="2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3470A"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CommonMind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9069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E1B3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77A8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3790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823C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295</w:t>
            </w:r>
          </w:p>
        </w:tc>
      </w:tr>
      <w:tr w:rsidR="0077186D" w14:paraId="5D4FD7C8" w14:textId="77777777">
        <w:trPr>
          <w:trHeight w:val="2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678B7"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1E03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29E3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CFC9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3582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93FC3"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263</w:t>
            </w:r>
          </w:p>
        </w:tc>
      </w:tr>
      <w:tr w:rsidR="0077186D" w14:paraId="692DE991" w14:textId="77777777">
        <w:trPr>
          <w:trHeight w:val="2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5F97C"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0DE1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5F71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5379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C74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4528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47</w:t>
            </w:r>
          </w:p>
        </w:tc>
      </w:tr>
      <w:tr w:rsidR="0077186D" w14:paraId="1E16ADB5" w14:textId="77777777">
        <w:trPr>
          <w:trHeight w:val="24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63D30"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6284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AFF</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46E2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2D51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6988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6F29F"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8</w:t>
            </w:r>
          </w:p>
        </w:tc>
      </w:tr>
      <w:tr w:rsidR="0077186D" w14:paraId="40A3675B" w14:textId="77777777">
        <w:trPr>
          <w:trHeight w:val="24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2BA77"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84C8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CED6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D374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E7FF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063D9"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285</w:t>
            </w:r>
          </w:p>
        </w:tc>
      </w:tr>
      <w:tr w:rsidR="0077186D" w14:paraId="11801C43" w14:textId="77777777">
        <w:trPr>
          <w:trHeight w:val="2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0DAA2"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06B1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A37C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BFF3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A433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22A5E"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263</w:t>
            </w:r>
          </w:p>
        </w:tc>
      </w:tr>
      <w:tr w:rsidR="0077186D" w14:paraId="5B432DB3" w14:textId="77777777">
        <w:trPr>
          <w:trHeight w:val="2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8EE15"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2A13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002D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8D01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4A74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11D70"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47</w:t>
            </w:r>
          </w:p>
        </w:tc>
      </w:tr>
      <w:tr w:rsidR="0077186D" w14:paraId="7427FF3F" w14:textId="77777777">
        <w:trPr>
          <w:trHeight w:val="60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D07F7"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763B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AFF</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8A31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68E9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9F94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CBCE8"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8</w:t>
            </w:r>
          </w:p>
        </w:tc>
      </w:tr>
      <w:tr w:rsidR="0077186D" w14:paraId="683A6F56" w14:textId="77777777">
        <w:trPr>
          <w:trHeight w:val="1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8147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b/>
                <w:sz w:val="17"/>
                <w:szCs w:val="17"/>
              </w:rPr>
              <w:t>PEC: CommonMind-HBCC</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5E76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A5F6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A291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62B5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8C0D4"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220</w:t>
            </w:r>
          </w:p>
        </w:tc>
      </w:tr>
      <w:tr w:rsidR="0077186D" w14:paraId="6BF82573" w14:textId="77777777">
        <w:trPr>
          <w:trHeight w:val="1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E2CC8"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8B5C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1A7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EF1A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A192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45D9D"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97</w:t>
            </w:r>
          </w:p>
        </w:tc>
      </w:tr>
      <w:tr w:rsidR="0077186D" w14:paraId="1601253A" w14:textId="77777777">
        <w:trPr>
          <w:trHeight w:val="1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1AFAE"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D664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970E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C65B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61E1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DAD60"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70</w:t>
            </w:r>
          </w:p>
        </w:tc>
      </w:tr>
      <w:tr w:rsidR="0077186D" w14:paraId="59E74180" w14:textId="77777777">
        <w:trPr>
          <w:trHeight w:val="3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DE462"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F53E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37A2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1CF7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18D0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D3717"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191</w:t>
            </w:r>
          </w:p>
        </w:tc>
      </w:tr>
      <w:tr w:rsidR="0077186D" w14:paraId="6B3A1C59" w14:textId="77777777">
        <w:trPr>
          <w:trHeight w:val="3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8A4AB"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1ED7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EE02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A9C7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1B96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29064"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85</w:t>
            </w:r>
          </w:p>
        </w:tc>
      </w:tr>
      <w:tr w:rsidR="0077186D" w14:paraId="6F5D59E9" w14:textId="77777777">
        <w:trPr>
          <w:trHeight w:val="2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E823C" w14:textId="77777777" w:rsidR="0077186D" w:rsidRPr="001F3783" w:rsidRDefault="0077186D">
            <w:pPr>
              <w:spacing w:before="0" w:line="240" w:lineRule="auto"/>
              <w:rPr>
                <w:rFonts w:ascii="Times New Roman" w:eastAsia="Times New Roman" w:hAnsi="Times New Roman" w:cs="Times New Roman"/>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7140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867C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0F95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AF24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D3595"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25</w:t>
            </w:r>
          </w:p>
        </w:tc>
      </w:tr>
      <w:tr w:rsidR="0077186D" w14:paraId="70AB1AC8" w14:textId="77777777">
        <w:trPr>
          <w:trHeight w:val="3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F361B"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BrainGVEX</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B8A6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8FD6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E923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D19F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A9AA3"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259</w:t>
            </w:r>
          </w:p>
        </w:tc>
      </w:tr>
      <w:tr w:rsidR="0077186D" w14:paraId="5647A5CD" w14:textId="77777777">
        <w:trPr>
          <w:trHeight w:val="3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F5401"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6933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976C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E57B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7830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BBB27"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95</w:t>
            </w:r>
          </w:p>
        </w:tc>
      </w:tr>
      <w:tr w:rsidR="0077186D" w14:paraId="1A7FFBCE" w14:textId="77777777">
        <w:trPr>
          <w:trHeight w:val="3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09333"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BCA5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D678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8B72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70D3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3AE3C"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73</w:t>
            </w:r>
          </w:p>
        </w:tc>
      </w:tr>
      <w:tr w:rsidR="0077186D" w14:paraId="2E93D514" w14:textId="77777777">
        <w:trPr>
          <w:trHeight w:val="2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BD6AB"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726E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B478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3CBF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4152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D2867"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47</w:t>
            </w:r>
          </w:p>
        </w:tc>
      </w:tr>
      <w:tr w:rsidR="0077186D" w14:paraId="6258C2EF" w14:textId="77777777">
        <w:trPr>
          <w:trHeight w:val="28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23C0D"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6AC1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5DC3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E9B7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F5B4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DA968"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45</w:t>
            </w:r>
          </w:p>
        </w:tc>
      </w:tr>
      <w:tr w:rsidR="0077186D" w14:paraId="5D6773D8" w14:textId="77777777">
        <w:trPr>
          <w:trHeight w:val="36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B47F5"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4428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8AAD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F696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C5A9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BD3C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45</w:t>
            </w:r>
          </w:p>
        </w:tc>
      </w:tr>
      <w:tr w:rsidR="0077186D" w14:paraId="75AD8E58" w14:textId="77777777">
        <w:trPr>
          <w:trHeight w:val="24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4126A"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LIBD_szControl</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34A6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9CF0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7D3D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70E4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BFA49"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320</w:t>
            </w:r>
          </w:p>
        </w:tc>
      </w:tr>
      <w:tr w:rsidR="0077186D" w14:paraId="7261573C" w14:textId="77777777">
        <w:trPr>
          <w:trHeight w:val="24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ABF48"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8E3A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1735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311B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AB6E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687B7"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175</w:t>
            </w:r>
          </w:p>
        </w:tc>
      </w:tr>
      <w:tr w:rsidR="0077186D" w14:paraId="6F8730DA" w14:textId="77777777">
        <w:trPr>
          <w:trHeight w:val="24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C9E3F"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F9DB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1821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890B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36BC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B9CB3"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96</w:t>
            </w:r>
          </w:p>
        </w:tc>
      </w:tr>
      <w:tr w:rsidR="0077186D" w14:paraId="50656445" w14:textId="77777777">
        <w:trPr>
          <w:trHeight w:val="10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A1362"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66EA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F73D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B555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6F0A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C34E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104</w:t>
            </w:r>
          </w:p>
        </w:tc>
      </w:tr>
      <w:tr w:rsidR="0077186D" w14:paraId="07B2C597" w14:textId="77777777">
        <w:trPr>
          <w:trHeight w:val="6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47E4F"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BipSeq</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E955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3C8A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5825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6FF8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4C9E9"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69</w:t>
            </w:r>
          </w:p>
        </w:tc>
      </w:tr>
      <w:tr w:rsidR="0077186D" w14:paraId="0939B019" w14:textId="77777777">
        <w:trPr>
          <w:trHeight w:val="6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2F271"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BC8E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BPD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7C08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2D19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05F8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EBD87"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55</w:t>
            </w:r>
          </w:p>
        </w:tc>
      </w:tr>
      <w:tr w:rsidR="0077186D" w14:paraId="1D06F4D6" w14:textId="77777777">
        <w:trPr>
          <w:trHeight w:val="16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57093"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UCLA-ASD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C617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2DBB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3764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EA07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E170C"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46</w:t>
            </w:r>
          </w:p>
        </w:tc>
      </w:tr>
      <w:tr w:rsidR="0077186D" w14:paraId="48478F47" w14:textId="77777777">
        <w:trPr>
          <w:trHeight w:val="10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B888A"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1E4F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ASD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9682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CFE7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A65A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ABCBE"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43</w:t>
            </w:r>
          </w:p>
        </w:tc>
      </w:tr>
      <w:tr w:rsidR="0077186D" w14:paraId="3F3ABFE6" w14:textId="77777777">
        <w:trPr>
          <w:trHeight w:val="10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070DA"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6682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5D3D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BCF3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A60F5"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64BE8"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35</w:t>
            </w:r>
          </w:p>
        </w:tc>
      </w:tr>
      <w:tr w:rsidR="0077186D" w14:paraId="609F7203" w14:textId="77777777">
        <w:trPr>
          <w:trHeight w:val="10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0B25F"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7BBD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ASD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E962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2341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Genotypes</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58130"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A1409"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31</w:t>
            </w:r>
          </w:p>
        </w:tc>
      </w:tr>
      <w:tr w:rsidR="0077186D" w14:paraId="16A267AD"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5C7A3"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89D4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7215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79B7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4044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cQTL, Enhancer Definition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55FA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50</w:t>
            </w:r>
          </w:p>
        </w:tc>
      </w:tr>
      <w:tr w:rsidR="0077186D" w14:paraId="3B3F2A85"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0168F"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E6D6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ASD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8C3A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64AA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A23C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C98D1"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31</w:t>
            </w:r>
          </w:p>
        </w:tc>
      </w:tr>
      <w:tr w:rsidR="0077186D" w14:paraId="5462F288"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F0AB0"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9A84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A6BD1"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Cerebellar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6E7B3"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38F6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Enhancer Definition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11FF0"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50</w:t>
            </w:r>
          </w:p>
        </w:tc>
      </w:tr>
      <w:tr w:rsidR="0077186D" w14:paraId="55316CBE"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F3C05"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E8C3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70D3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Temporal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42B36"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AA43D"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Enhancer Definition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B881D"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50</w:t>
            </w:r>
          </w:p>
        </w:tc>
      </w:tr>
      <w:tr w:rsidR="0077186D" w14:paraId="77FD5563"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5954F"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Yale-ASD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DD1D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7EC4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09BCA"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5641C"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E43D7"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23</w:t>
            </w:r>
          </w:p>
        </w:tc>
      </w:tr>
      <w:tr w:rsidR="0077186D" w14:paraId="618D2CF9"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19F57"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AA77E"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ASD</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8734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30D9"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RNA-seq</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DEEA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eQTL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9D716"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3</w:t>
            </w:r>
          </w:p>
        </w:tc>
      </w:tr>
      <w:tr w:rsidR="0077186D" w14:paraId="664C96BB"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33F54" w14:textId="77777777" w:rsidR="0077186D" w:rsidRPr="001F3783" w:rsidRDefault="00E47411">
            <w:pPr>
              <w:spacing w:before="0" w:line="240" w:lineRule="auto"/>
              <w:rPr>
                <w:rFonts w:ascii="Times New Roman" w:eastAsia="Times New Roman" w:hAnsi="Times New Roman" w:cs="Times New Roman"/>
                <w:b/>
                <w:sz w:val="17"/>
                <w:szCs w:val="17"/>
              </w:rPr>
            </w:pPr>
            <w:r w:rsidRPr="001F3783">
              <w:rPr>
                <w:rFonts w:ascii="Times New Roman" w:eastAsia="Times New Roman" w:hAnsi="Times New Roman" w:cs="Times New Roman"/>
                <w:b/>
                <w:sz w:val="17"/>
                <w:szCs w:val="17"/>
              </w:rPr>
              <w:t>PEC: EpiDiff</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1181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CTL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5E208"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NeuN+/- from 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D0CA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A7C22"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8D4E7"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117</w:t>
            </w:r>
          </w:p>
        </w:tc>
      </w:tr>
      <w:tr w:rsidR="0077186D" w14:paraId="54871EF1" w14:textId="77777777">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F64AB" w14:textId="77777777" w:rsidR="0077186D" w:rsidRPr="001F3783" w:rsidRDefault="0077186D">
            <w:pPr>
              <w:spacing w:before="0" w:line="240" w:lineRule="auto"/>
              <w:rPr>
                <w:rFonts w:ascii="Times New Roman" w:eastAsia="Times New Roman" w:hAnsi="Times New Roman" w:cs="Times New Roman"/>
                <w:b/>
                <w:sz w:val="17"/>
                <w:szCs w:val="17"/>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5BAB4"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SCZ</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86947"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NeuN+/- from Dorsolateral Prefrontal Cortex</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B931F"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ChIP-seq: H3K27ac</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7ED4B" w14:textId="77777777" w:rsidR="0077186D" w:rsidRPr="001F3783" w:rsidRDefault="00E47411">
            <w:pPr>
              <w:spacing w:before="0"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cQTL</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738B5" w14:textId="77777777" w:rsidR="0077186D" w:rsidRPr="001F3783" w:rsidRDefault="00E47411">
            <w:pPr>
              <w:spacing w:line="240" w:lineRule="auto"/>
              <w:rPr>
                <w:rFonts w:ascii="Times New Roman" w:eastAsia="Times New Roman" w:hAnsi="Times New Roman" w:cs="Times New Roman"/>
                <w:sz w:val="17"/>
                <w:szCs w:val="17"/>
              </w:rPr>
            </w:pPr>
            <w:r w:rsidRPr="001F3783">
              <w:rPr>
                <w:rFonts w:ascii="Times New Roman" w:eastAsia="Times New Roman" w:hAnsi="Times New Roman" w:cs="Times New Roman"/>
                <w:sz w:val="17"/>
                <w:szCs w:val="17"/>
              </w:rPr>
              <w:t>109</w:t>
            </w:r>
          </w:p>
        </w:tc>
      </w:tr>
    </w:tbl>
    <w:p w14:paraId="5EBADD50" w14:textId="77777777" w:rsidR="0077186D" w:rsidRDefault="0077186D">
      <w:pPr>
        <w:pStyle w:val="Heading3"/>
        <w:spacing w:before="160" w:after="120"/>
        <w:rPr>
          <w:sz w:val="24"/>
          <w:szCs w:val="24"/>
        </w:rPr>
      </w:pPr>
      <w:bookmarkStart w:id="11" w:name="_fj123p4g4l1" w:colFirst="0" w:colLast="0"/>
      <w:bookmarkEnd w:id="11"/>
    </w:p>
    <w:p w14:paraId="41C93721" w14:textId="77777777" w:rsidR="0077186D" w:rsidRPr="00CB6EBD" w:rsidRDefault="00E47411">
      <w:pPr>
        <w:pStyle w:val="Heading3"/>
        <w:spacing w:before="160" w:after="120"/>
        <w:rPr>
          <w:rFonts w:ascii="Helvetica" w:hAnsi="Helvetica"/>
          <w:b/>
          <w:sz w:val="22"/>
          <w:szCs w:val="22"/>
        </w:rPr>
      </w:pPr>
      <w:bookmarkStart w:id="12" w:name="_65vst081qvgs" w:colFirst="0" w:colLast="0"/>
      <w:bookmarkEnd w:id="12"/>
      <w:r w:rsidRPr="00CB6EBD">
        <w:rPr>
          <w:rFonts w:ascii="Helvetica" w:hAnsi="Helvetica"/>
          <w:b/>
          <w:sz w:val="22"/>
          <w:szCs w:val="22"/>
        </w:rPr>
        <w:t>S2.1.2 RNA-seq processing (Adapted from the Synapse Website)</w:t>
      </w:r>
    </w:p>
    <w:p w14:paraId="5F54CA7F"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The PsychENCODE RNA-seq pipeline (Fig. S2.2) is mostly based on that of ENCODE, which is compatible with stranded and unstranded mRNAs from (poly-A(+)), rRNA-depleted total RNA, or poly-A(-) RNA libraries. The inputs are RNA-seq reads (from paired-end stranded or single-end unstranded libraries), a reference genome and a gene annotation file (by default, GENCODE). We used GRCh37 (hg19) as a reference genome and Gencode v19 for gene annotation. Coding and non-coding transcripts were used to quantify gene expression. For each sample, the pipeline outputs included: A bam file with reads mapped to the genome, a bam file with reads mapped to the transcriptome, bigwig files with normalized RNA-seq signal track for unique and multi-mapping reads (split between +strand and -strand if the library was stranded), gene quantifications, and transcript quantifications.</w:t>
      </w:r>
    </w:p>
    <w:p w14:paraId="52E95E5A"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mapping of the reads was done using STAR (2.4.2a) and the quantification of genes and transcripts was done with RSEM (1.2.29). Although there is general agreement between the mappings and the gene quantifications produced by different RNA-seq pipelines, quantifications of individual transcript isoforms, being much more complex, can differ substantially depending on the processing pipeline employed, and are of unknown accuracy. Therefore, mapping and gene quantifications can be used confidently, whereas transcript quantifications should be used with care. Quality control metrics were calculated using RNA-SeQC (v1.1.8), featureCounts (v1.5.1), PicardTools (v1.128), and Samtools (v1.3.1). Pipeline source code can be found at doi:10.7303/syn12026837.1 at Synapse. All PsychENCODE sample FASTQ files were run through a unified RNA-seq processing pipeline (Fig. S1.1) run at the University of Chicago on an OpenStack cloud system. GTEx samples were processed at Yale University. </w:t>
      </w:r>
    </w:p>
    <w:p w14:paraId="5DD571F8" w14:textId="77777777" w:rsidR="0077186D" w:rsidRDefault="00E47411">
      <w:pPr>
        <w:jc w:val="center"/>
        <w:rPr>
          <w:rFonts w:ascii="Arial" w:eastAsia="Arial" w:hAnsi="Arial" w:cs="Arial"/>
          <w:color w:val="000000"/>
        </w:rPr>
      </w:pPr>
      <w:r>
        <w:rPr>
          <w:rFonts w:ascii="Arial" w:eastAsia="Arial" w:hAnsi="Arial" w:cs="Arial"/>
          <w:noProof/>
          <w:color w:val="000000"/>
          <w:lang w:val="en-US"/>
        </w:rPr>
        <w:drawing>
          <wp:inline distT="114300" distB="114300" distL="114300" distR="114300" wp14:anchorId="493B1407" wp14:editId="00BDF73C">
            <wp:extent cx="4695115" cy="3573272"/>
            <wp:effectExtent l="0" t="0" r="4445" b="8255"/>
            <wp:docPr id="2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
                    <a:srcRect/>
                    <a:stretch>
                      <a:fillRect/>
                    </a:stretch>
                  </pic:blipFill>
                  <pic:spPr>
                    <a:xfrm>
                      <a:off x="0" y="0"/>
                      <a:ext cx="4702435" cy="3578843"/>
                    </a:xfrm>
                    <a:prstGeom prst="rect">
                      <a:avLst/>
                    </a:prstGeom>
                    <a:ln/>
                  </pic:spPr>
                </pic:pic>
              </a:graphicData>
            </a:graphic>
          </wp:inline>
        </w:drawing>
      </w:r>
    </w:p>
    <w:p w14:paraId="608217AD"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color w:val="000000"/>
          <w:sz w:val="18"/>
          <w:szCs w:val="18"/>
        </w:rPr>
      </w:pPr>
      <w:r w:rsidRPr="00605DD0">
        <w:rPr>
          <w:rFonts w:ascii="Helvetica" w:eastAsia="Helvetica Neue" w:hAnsi="Helvetica" w:cs="Helvetica Neue"/>
          <w:b/>
          <w:color w:val="000000"/>
          <w:sz w:val="18"/>
          <w:szCs w:val="18"/>
        </w:rPr>
        <w:t xml:space="preserve">Fig. S2.2 PsychENCODE RNA-seq pipeline. </w:t>
      </w:r>
      <w:r w:rsidRPr="00605DD0">
        <w:rPr>
          <w:rFonts w:ascii="Helvetica" w:eastAsia="Helvetica Neue" w:hAnsi="Helvetica" w:cs="Helvetica Neue"/>
          <w:color w:val="000000"/>
          <w:sz w:val="18"/>
          <w:szCs w:val="18"/>
        </w:rPr>
        <w:t>The flowchart of the uniform RNA-seq pipeline is shown. This pipeline was modified based on the l</w:t>
      </w:r>
      <w:r w:rsidRPr="00605DD0">
        <w:rPr>
          <w:rFonts w:ascii="Helvetica" w:eastAsia="Helvetica Neue" w:hAnsi="Helvetica" w:cs="Helvetica Neue"/>
          <w:sz w:val="18"/>
          <w:szCs w:val="18"/>
        </w:rPr>
        <w:t>ong-RNA-seq-pipeline used by the ENCODE Consortium.</w:t>
      </w:r>
    </w:p>
    <w:p w14:paraId="79D326DB" w14:textId="77777777" w:rsidR="0077186D" w:rsidRDefault="0077186D">
      <w:pPr>
        <w:spacing w:before="0" w:line="240" w:lineRule="auto"/>
        <w:rPr>
          <w:rFonts w:ascii="Times New Roman" w:eastAsia="Times New Roman" w:hAnsi="Times New Roman" w:cs="Times New Roman"/>
        </w:rPr>
      </w:pPr>
    </w:p>
    <w:p w14:paraId="15725912" w14:textId="77777777" w:rsidR="0084400B" w:rsidRDefault="0084400B">
      <w:pPr>
        <w:spacing w:before="0" w:line="240" w:lineRule="auto"/>
        <w:rPr>
          <w:rFonts w:ascii="Times New Roman" w:eastAsia="Times New Roman" w:hAnsi="Times New Roman" w:cs="Times New Roman"/>
        </w:rPr>
      </w:pPr>
    </w:p>
    <w:p w14:paraId="5ECFBD69" w14:textId="77777777" w:rsidR="0084400B" w:rsidRDefault="0084400B">
      <w:pPr>
        <w:spacing w:before="0" w:line="240" w:lineRule="auto"/>
        <w:rPr>
          <w:rFonts w:ascii="Times New Roman" w:eastAsia="Times New Roman" w:hAnsi="Times New Roman" w:cs="Times New Roman"/>
        </w:rPr>
      </w:pPr>
    </w:p>
    <w:p w14:paraId="348685B0" w14:textId="77777777" w:rsidR="0077186D" w:rsidRPr="00CB6EBD" w:rsidRDefault="00E47411">
      <w:pPr>
        <w:pStyle w:val="Heading2"/>
        <w:spacing w:before="200" w:after="160"/>
        <w:rPr>
          <w:rFonts w:ascii="Helvetica" w:hAnsi="Helvetica"/>
          <w:sz w:val="28"/>
          <w:szCs w:val="28"/>
        </w:rPr>
      </w:pPr>
      <w:bookmarkStart w:id="13" w:name="_a2e86kbjlss4" w:colFirst="0" w:colLast="0"/>
      <w:bookmarkEnd w:id="13"/>
      <w:r w:rsidRPr="00CB6EBD">
        <w:rPr>
          <w:rFonts w:ascii="Helvetica" w:hAnsi="Helvetica"/>
          <w:sz w:val="28"/>
          <w:szCs w:val="28"/>
        </w:rPr>
        <w:lastRenderedPageBreak/>
        <w:t>S2.2 Single-cell RNA-seq analysis</w:t>
      </w:r>
    </w:p>
    <w:p w14:paraId="27C37A98" w14:textId="5DF62E63" w:rsidR="0077186D" w:rsidRPr="00CB6EBD" w:rsidRDefault="00E47411">
      <w:pPr>
        <w:pStyle w:val="Heading3"/>
        <w:spacing w:before="160" w:after="120"/>
        <w:rPr>
          <w:rFonts w:ascii="Helvetica" w:hAnsi="Helvetica"/>
          <w:b/>
          <w:sz w:val="22"/>
          <w:szCs w:val="22"/>
        </w:rPr>
      </w:pPr>
      <w:bookmarkStart w:id="14" w:name="_kgswr7hd23w" w:colFirst="0" w:colLast="0"/>
      <w:bookmarkEnd w:id="14"/>
      <w:r w:rsidRPr="00CB6EBD">
        <w:rPr>
          <w:rFonts w:ascii="Helvetica" w:hAnsi="Helvetica"/>
          <w:b/>
          <w:sz w:val="22"/>
          <w:szCs w:val="22"/>
        </w:rPr>
        <w:t xml:space="preserve">S2.2.1 Datasets </w:t>
      </w:r>
      <w:r w:rsidR="00CB6EBD" w:rsidRPr="00CB6EBD">
        <w:rPr>
          <w:rFonts w:ascii="Helvetica" w:hAnsi="Helvetica"/>
          <w:b/>
          <w:sz w:val="22"/>
          <w:szCs w:val="22"/>
        </w:rPr>
        <w:t>of single-cell transcriptomics</w:t>
      </w:r>
    </w:p>
    <w:p w14:paraId="1142E1E7"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We integrated and used the same pipeline, including ENCODE RNA-seq analysis, to uniformly process single-cell RNA-seq data for ~900 cells from PsychENCODE with 11 novel cell types in embryonic and developmental tissues. The expression of ~3,000 neuronal cells with 8 excitatory and 8 inhibitory types (Lake et al., 2016), and ~400 cells including two developmental types, one adult neuronal type and 5 adult non-neuronal types, astrocytes, endothelial, microglia, oligodendrocytes, and oligodendrocyte progenitor cells (OPCs; Darmanis et al., 2015) were downloaded from corresponding publications. The details of cell types are shown in Table S2.2.</w:t>
      </w:r>
    </w:p>
    <w:p w14:paraId="4DE115BC"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The basic cell types have been shared and used by other PsychENCODE capstone projects focusing on non-coding regulation and development. For PsychENCODE single-cell data, we first applied quality control on ~900 cells using the R ‘scater’ package (McCarthy et al., 2017) to filter the cells with low library size and high mitochondrial RNA concentration. Furthermore, the cells with a total library size less than 0.2 million were also filtered for future analysis. In total, we built a gene expression profile of ~800 high-quality cells quantified in TPM. We merged the PsychENCODE, Lake et al., and Quake et al. data by matching the gene names. As the single-cell data suffers from high dropout rates, we used MAGIC (van Dijk et al., 2017) to impute the missing values in the expression matrix. We compared these single cells based on (biomarker) gene expression similarity using tSNE, and found that cells of the same type generally could be clustered together (Fig. S2.3). In particular, 99.4% PsychENCODE cells clustered together with known developmental cell types from a previous report (Darmanis et al., 2015).</w:t>
      </w:r>
    </w:p>
    <w:p w14:paraId="4F0BBDB0"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We also found that the gene expression changes across individual tissue samples could be largely explained by single-cell gene expression, and the changes of single-cell fractions were associated with the individual phenotypes. Therefore, we deconvolved the tissue-level gene expression data of all 1,866 individuals’ tissue samples using single-cell gene expression data of 457 biomarker genes to find the fraction of different cell types that corresponded, and compared cell fractions across different phenotypes.</w:t>
      </w:r>
    </w:p>
    <w:p w14:paraId="1078F476" w14:textId="77777777" w:rsidR="0077186D" w:rsidRDefault="0077186D">
      <w:pPr>
        <w:spacing w:before="0" w:line="240" w:lineRule="auto"/>
        <w:ind w:firstLine="720"/>
        <w:rPr>
          <w:rFonts w:ascii="Times New Roman" w:eastAsia="Times New Roman" w:hAnsi="Times New Roman" w:cs="Times New Roman"/>
        </w:rPr>
      </w:pPr>
    </w:p>
    <w:p w14:paraId="0B471F73" w14:textId="77777777" w:rsidR="0077186D" w:rsidRPr="00CB6EBD" w:rsidRDefault="00E47411">
      <w:pPr>
        <w:pStyle w:val="Heading3"/>
        <w:spacing w:before="160" w:after="120"/>
        <w:rPr>
          <w:rFonts w:ascii="Helvetica" w:hAnsi="Helvetica"/>
          <w:b/>
          <w:sz w:val="22"/>
          <w:szCs w:val="22"/>
        </w:rPr>
      </w:pPr>
      <w:bookmarkStart w:id="15" w:name="_6f3q2q27l48s" w:colFirst="0" w:colLast="0"/>
      <w:bookmarkEnd w:id="15"/>
      <w:r w:rsidRPr="00CB6EBD">
        <w:rPr>
          <w:rFonts w:ascii="Helvetica" w:hAnsi="Helvetica"/>
          <w:b/>
          <w:sz w:val="22"/>
          <w:szCs w:val="22"/>
        </w:rPr>
        <w:t>S2.2.2 Quantification of gene expression</w:t>
      </w:r>
    </w:p>
    <w:p w14:paraId="428E2451"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The gene expression in both bulk and single-cell RNA-seq data were quantified in TPM and further transformed into log scale by log2(TPM+1). Later, we subjected the transformed gene expression to decomposition and devolution analysis (see below).</w:t>
      </w:r>
    </w:p>
    <w:p w14:paraId="62141157" w14:textId="77777777" w:rsidR="0077186D" w:rsidRDefault="0077186D">
      <w:pPr>
        <w:spacing w:before="0" w:line="240" w:lineRule="auto"/>
        <w:rPr>
          <w:rFonts w:ascii="Times New Roman" w:eastAsia="Times New Roman" w:hAnsi="Times New Roman" w:cs="Times New Roman"/>
        </w:rPr>
      </w:pPr>
    </w:p>
    <w:p w14:paraId="36EA0F3F" w14:textId="77777777" w:rsidR="0077186D" w:rsidRPr="00CB6EBD" w:rsidRDefault="00E47411">
      <w:pPr>
        <w:pStyle w:val="Heading2"/>
        <w:spacing w:before="200" w:after="160"/>
        <w:rPr>
          <w:rFonts w:ascii="Helvetica" w:hAnsi="Helvetica"/>
          <w:sz w:val="28"/>
          <w:szCs w:val="28"/>
        </w:rPr>
      </w:pPr>
      <w:bookmarkStart w:id="16" w:name="_8m3lii5313o8" w:colFirst="0" w:colLast="0"/>
      <w:bookmarkEnd w:id="16"/>
      <w:r w:rsidRPr="00CB6EBD">
        <w:rPr>
          <w:rFonts w:ascii="Helvetica" w:hAnsi="Helvetica"/>
          <w:sz w:val="28"/>
          <w:szCs w:val="28"/>
        </w:rPr>
        <w:t>S2.3 Decomposition of brain tissue gene expression data</w:t>
      </w:r>
    </w:p>
    <w:p w14:paraId="4C57B928" w14:textId="5B8287CA"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To check if the brain tissue expression was due to the combinations of single-cell types in Section 2.4 (i.e., the cell fractions), we decomposed the brain tissue gene expression data using an unsupervised approach to find the principal components of the tissue data, and compared them with single-cell expression data. Specifically, given the brain tissue gene expression matrix X (N by M) for a phenotype/disorder where M is the number of tissue samples and N is the number of select genes (e.g., the cell biomarker genes), we used non-negative matrix factorization (NMF) to decompose X into the product of two matri</w:t>
      </w:r>
      <w:r w:rsidR="0060253D">
        <w:rPr>
          <w:rFonts w:ascii="Times New Roman" w:eastAsia="Times New Roman" w:hAnsi="Times New Roman" w:cs="Times New Roman"/>
        </w:rPr>
        <w:t>ces, H and V so that ||X-V*H||</w:t>
      </w:r>
      <w:r w:rsidR="0060253D" w:rsidRPr="0060253D">
        <w:rPr>
          <w:rFonts w:ascii="Times New Roman" w:eastAsia="Times New Roman" w:hAnsi="Times New Roman" w:cs="Times New Roman"/>
          <w:vertAlign w:val="superscript"/>
        </w:rPr>
        <w:t>2</w:t>
      </w:r>
      <w:r>
        <w:rPr>
          <w:rFonts w:ascii="Times New Roman" w:eastAsia="Times New Roman" w:hAnsi="Times New Roman" w:cs="Times New Roman"/>
        </w:rPr>
        <w:t xml:space="preserve"> was minimized and all elements of H is non-negative. H is a K by M matrix with the (i,j) element describing the contribution coefficient of the jth NMF "top-component" (NMF-TC) to the ith tissue sample, K is the number of select NMF-TCs (e.g., equal to the number of select cell types as above), and V is an N by K matrix with the (i,j) element being the expression level of the jth select gene on the ith NMF-TC. </w:t>
      </w:r>
    </w:p>
    <w:p w14:paraId="5C670221"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then correlated NMF-TCs with the select gene expression data of different single-cell types, and obtained a correlation map between NMF-TCs and single cells (Fig. 2B). For example, No. 10 and 19 NMF-TCs of the non-neuronal group highly correlated with astrocytes, No. 21 NMF-TC correlated with developmental cells, and No. 4, 7, 12, and 25 NMF-TCs of the neuronal group correlated with excitatory neuronal cell types. This suggests that a large portion of the tissue gene expression changes was a linear combination of these cell types’ gene expression. Thus, we wanted to further identify the cell fractions </w:t>
      </w:r>
      <w:r>
        <w:rPr>
          <w:rFonts w:ascii="Times New Roman" w:eastAsia="Times New Roman" w:hAnsi="Times New Roman" w:cs="Times New Roman"/>
        </w:rPr>
        <w:lastRenderedPageBreak/>
        <w:t>showing how individual single cells contribute the tissue’s gene expression, using a deconvolution. In addition, previous studies have identified cell type-specific expression patterns from co-expression analysis (Oldham et al., 2008). We found here that some of our NMF-TCs correlated with the eigengenes of gene co-expression modules (Gandal, M.J. et al., submitted), especially for the cell type modules, supporting again that they connect the cell type information from the bulk tissue data.</w:t>
      </w:r>
    </w:p>
    <w:p w14:paraId="76C99A94" w14:textId="77777777" w:rsidR="0077186D" w:rsidRDefault="0077186D">
      <w:pPr>
        <w:spacing w:before="0" w:line="240" w:lineRule="auto"/>
        <w:ind w:firstLine="720"/>
        <w:rPr>
          <w:rFonts w:ascii="Times New Roman" w:eastAsia="Times New Roman" w:hAnsi="Times New Roman" w:cs="Times New Roman"/>
        </w:rPr>
      </w:pPr>
    </w:p>
    <w:p w14:paraId="2F3C23DE" w14:textId="77777777" w:rsidR="0077186D" w:rsidRPr="00CB6EBD" w:rsidRDefault="00E47411">
      <w:pPr>
        <w:pStyle w:val="Heading2"/>
        <w:spacing w:before="200" w:after="160"/>
        <w:rPr>
          <w:rFonts w:ascii="Helvetica" w:hAnsi="Helvetica"/>
          <w:sz w:val="28"/>
          <w:szCs w:val="28"/>
        </w:rPr>
      </w:pPr>
      <w:bookmarkStart w:id="17" w:name="_45q9vjce0e1v" w:colFirst="0" w:colLast="0"/>
      <w:bookmarkEnd w:id="17"/>
      <w:r w:rsidRPr="00CB6EBD">
        <w:rPr>
          <w:rFonts w:ascii="Helvetica" w:hAnsi="Helvetica"/>
          <w:sz w:val="28"/>
          <w:szCs w:val="28"/>
        </w:rPr>
        <w:t>S2.4 Deconvoluting brain tissue gene expression data using single-cell data to estimate cell fractions</w:t>
      </w:r>
    </w:p>
    <w:p w14:paraId="3138B81E" w14:textId="74A3E56D"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We used an unsupervised approach (NMF) to decompose tissue expression and found that NMF-PCs recovered the expression patterns of both neuronal and non-neuronal cells. This suggests that it is highly likely that a linear combination of single cells contributes to the brain tissue expression. Thus, to more accurately identify the single-cell fractions that determine the tissue expression, especially for various phenotypes/disorders, we further applied </w:t>
      </w:r>
      <w:r w:rsidR="00CA5148">
        <w:rPr>
          <w:rFonts w:ascii="Times New Roman" w:eastAsia="Times New Roman" w:hAnsi="Times New Roman" w:cs="Times New Roman"/>
        </w:rPr>
        <w:t>a</w:t>
      </w:r>
      <w:r>
        <w:rPr>
          <w:rFonts w:ascii="Times New Roman" w:eastAsia="Times New Roman" w:hAnsi="Times New Roman" w:cs="Times New Roman"/>
        </w:rPr>
        <w:t xml:space="preserve"> supervised approach that used the single-cell expression data to deconvolve brain tissue expression data to find the fractions of different cell types of individual tissues.</w:t>
      </w:r>
    </w:p>
    <w:p w14:paraId="783F3F8E" w14:textId="5149D553" w:rsidR="0077186D" w:rsidRDefault="00E47411" w:rsidP="00FC4E97">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In particular, we defined the brain tissue gene expression matrix B (N by M) for a phenotype/disorder, where M is the number of tissue samples and N is the number of select genes (e.g., the cell biomarker genes), and the single-cell gene expression matrix C (N by K), where K is the number of select cell types. We used the non-negative least square method to find a non-negative K by M matri</w:t>
      </w:r>
      <w:r w:rsidR="0060253D">
        <w:rPr>
          <w:rFonts w:ascii="Times New Roman" w:eastAsia="Times New Roman" w:hAnsi="Times New Roman" w:cs="Times New Roman"/>
        </w:rPr>
        <w:t>x, with W to minimize ||B-C*W||</w:t>
      </w:r>
      <w:r w:rsidRPr="0060253D">
        <w:rPr>
          <w:rFonts w:ascii="Times New Roman" w:eastAsia="Times New Roman" w:hAnsi="Times New Roman" w:cs="Times New Roman"/>
          <w:vertAlign w:val="superscript"/>
        </w:rPr>
        <w:t>2</w:t>
      </w:r>
      <w:r>
        <w:rPr>
          <w:rFonts w:ascii="Times New Roman" w:eastAsia="Times New Roman" w:hAnsi="Times New Roman" w:cs="Times New Roman"/>
        </w:rPr>
        <w:t>. The (i,j) element of W represents the linear combination coefficient of the ith single-cell type to the jth tissue expression, which is proportional to the jth single-cell fraction. In the deconvolution analysis, the gene expression quantified in TPM was transformed into log scale by log2(TPM+1).</w:t>
      </w:r>
    </w:p>
    <w:p w14:paraId="2ED1980E" w14:textId="65E7DB89" w:rsidR="00162B22" w:rsidRDefault="00162B22" w:rsidP="00162B22">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further evaluated the goodness-of-fit for the deconvolution model by calculating the coefficient of determination (also known as </w:t>
      </w:r>
      <w:r w:rsidR="00003E93">
        <w:rPr>
          <w:rFonts w:ascii="Times New Roman" w:eastAsia="Times New Roman" w:hAnsi="Times New Roman" w:cs="Times New Roman"/>
        </w:rPr>
        <w:t>R</w:t>
      </w:r>
      <w:r w:rsidR="00003E93" w:rsidRPr="0005591E">
        <w:rPr>
          <w:rFonts w:ascii="Times New Roman" w:eastAsia="Times New Roman" w:hAnsi="Times New Roman" w:cs="Times New Roman"/>
          <w:vertAlign w:val="superscript"/>
        </w:rPr>
        <w:t>2</w:t>
      </w:r>
      <w:r>
        <w:rPr>
          <w:rFonts w:ascii="Times New Roman" w:eastAsia="Times New Roman" w:hAnsi="Times New Roman" w:cs="Times New Roman"/>
        </w:rPr>
        <w:t>), which accounts for the percentage of variance in the individual gene expression of tissue samples that has been explained by varying the cell proportions of cell types. Specifically, the variance in the gene express</w:t>
      </w:r>
      <w:r w:rsidR="0060253D">
        <w:rPr>
          <w:rFonts w:ascii="Times New Roman" w:eastAsia="Times New Roman" w:hAnsi="Times New Roman" w:cs="Times New Roman"/>
        </w:rPr>
        <w:t>ion of tissue samples was ||B||</w:t>
      </w:r>
      <w:r w:rsidRPr="0060253D">
        <w:rPr>
          <w:rFonts w:ascii="Times New Roman" w:eastAsia="Times New Roman" w:hAnsi="Times New Roman" w:cs="Times New Roman"/>
          <w:vertAlign w:val="superscript"/>
        </w:rPr>
        <w:t>2</w:t>
      </w:r>
      <w:r>
        <w:rPr>
          <w:rFonts w:ascii="Times New Roman" w:eastAsia="Times New Roman" w:hAnsi="Times New Roman" w:cs="Times New Roman"/>
        </w:rPr>
        <w:t xml:space="preserve"> and the variance that had not been expla</w:t>
      </w:r>
      <w:r w:rsidR="0060253D">
        <w:rPr>
          <w:rFonts w:ascii="Times New Roman" w:eastAsia="Times New Roman" w:hAnsi="Times New Roman" w:cs="Times New Roman"/>
        </w:rPr>
        <w:t>ined by the model was ||B-C*W||</w:t>
      </w:r>
      <w:r w:rsidRPr="0060253D">
        <w:rPr>
          <w:rFonts w:ascii="Times New Roman" w:eastAsia="Times New Roman" w:hAnsi="Times New Roman" w:cs="Times New Roman"/>
          <w:vertAlign w:val="superscript"/>
        </w:rPr>
        <w:t>2</w:t>
      </w:r>
      <w:r w:rsidR="0005591E">
        <w:rPr>
          <w:rFonts w:ascii="Times New Roman" w:eastAsia="Times New Roman" w:hAnsi="Times New Roman" w:cs="Times New Roman"/>
        </w:rPr>
        <w:t>. The R</w:t>
      </w:r>
      <w:r w:rsidRPr="0005591E">
        <w:rPr>
          <w:rFonts w:ascii="Times New Roman" w:eastAsia="Times New Roman" w:hAnsi="Times New Roman" w:cs="Times New Roman"/>
          <w:vertAlign w:val="superscript"/>
        </w:rPr>
        <w:t>2</w:t>
      </w:r>
      <w:r>
        <w:rPr>
          <w:rFonts w:ascii="Times New Roman" w:eastAsia="Times New Roman" w:hAnsi="Times New Roman" w:cs="Times New Roman"/>
        </w:rPr>
        <w:t xml:space="preserve"> cou</w:t>
      </w:r>
      <w:r w:rsidR="0060253D">
        <w:rPr>
          <w:rFonts w:ascii="Times New Roman" w:eastAsia="Times New Roman" w:hAnsi="Times New Roman" w:cs="Times New Roman"/>
        </w:rPr>
        <w:t>ld be calculated as 1-||B-C*W||</w:t>
      </w:r>
      <w:r w:rsidRPr="0060253D">
        <w:rPr>
          <w:rFonts w:ascii="Times New Roman" w:eastAsia="Times New Roman" w:hAnsi="Times New Roman" w:cs="Times New Roman"/>
          <w:vertAlign w:val="superscript"/>
        </w:rPr>
        <w:t>2</w:t>
      </w:r>
      <w:r w:rsidR="0060253D">
        <w:rPr>
          <w:rFonts w:ascii="Times New Roman" w:eastAsia="Times New Roman" w:hAnsi="Times New Roman" w:cs="Times New Roman"/>
        </w:rPr>
        <w:t>/||B||</w:t>
      </w:r>
      <w:r w:rsidRPr="0060253D">
        <w:rPr>
          <w:rFonts w:ascii="Times New Roman" w:eastAsia="Times New Roman" w:hAnsi="Times New Roman" w:cs="Times New Roman"/>
          <w:vertAlign w:val="superscript"/>
        </w:rPr>
        <w:t>2</w:t>
      </w:r>
      <w:r>
        <w:rPr>
          <w:rFonts w:ascii="Times New Roman" w:eastAsia="Times New Roman" w:hAnsi="Times New Roman" w:cs="Times New Roman"/>
        </w:rPr>
        <w:t xml:space="preserve">, which was further normalized to an adjusted </w:t>
      </w:r>
      <w:r w:rsidR="0005591E">
        <w:rPr>
          <w:rFonts w:ascii="Times New Roman" w:eastAsia="Times New Roman" w:hAnsi="Times New Roman" w:cs="Times New Roman"/>
        </w:rPr>
        <w:t>R</w:t>
      </w:r>
      <w:r w:rsidR="0005591E" w:rsidRPr="0005591E">
        <w:rPr>
          <w:rFonts w:ascii="Times New Roman" w:eastAsia="Times New Roman" w:hAnsi="Times New Roman" w:cs="Times New Roman"/>
          <w:vertAlign w:val="superscript"/>
        </w:rPr>
        <w:t>2</w:t>
      </w:r>
      <w:r w:rsidR="0005591E">
        <w:rPr>
          <w:rFonts w:ascii="Times New Roman" w:eastAsia="Times New Roman" w:hAnsi="Times New Roman" w:cs="Times New Roman"/>
          <w:vertAlign w:val="superscript"/>
        </w:rPr>
        <w:t xml:space="preserve"> </w:t>
      </w:r>
      <w:r>
        <w:rPr>
          <w:rFonts w:ascii="Times New Roman" w:eastAsia="Times New Roman" w:hAnsi="Times New Roman" w:cs="Times New Roman"/>
        </w:rPr>
        <w:t>by incorporating the degree of freedom. In addition, we deconvolved the tissue expression data and compared the cell fraction changes for various phenotypes and psychiatric disorders (Figs. S2.6 and S2.7). Fig. S2.8 shows the cell fractions across different ages. We found that Ex3 and Ex4 had a significant increasing trend across age (trend analysis p&lt;6.3e-10 and 1.5e-6), but some non-neuronal types such as oligodendrocytes were found to decrease (p&lt;2.1e-14). Furthermore, these age-related cell changes were potentially associated with differentially expressed genes across age groups; for example, a gene involved in early growth response was down-regulated in older age groups, whereas ceruloplasmin was down-regulated among middle-aged groups (Fig. 2F). In addition, we observed reduced microglia fractions for bipolar disorder and increased astrocyte fractions for SCZ.</w:t>
      </w:r>
    </w:p>
    <w:p w14:paraId="39C312CC" w14:textId="77777777" w:rsidR="00162B22" w:rsidRDefault="00162B22" w:rsidP="00162B22">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We have validated our estimated cell fractions on a subset of samples from the EPIMAP study with experimentally measured NeuN+ fractions. Fig. S2.9 shows the NeuN+ fractions measured in experiments and estimated in our deconvolution analysis on 14 samples with RIN &gt; 7.3. Our estimation was very close to the experimental NeuN+ fractions.</w:t>
      </w:r>
    </w:p>
    <w:p w14:paraId="04C0D060" w14:textId="77777777" w:rsidR="00162B22" w:rsidRDefault="00162B22" w:rsidP="00162B22">
      <w:pPr>
        <w:spacing w:before="0" w:line="240" w:lineRule="auto"/>
        <w:ind w:firstLine="720"/>
        <w:rPr>
          <w:rFonts w:ascii="Times New Roman" w:eastAsia="Times New Roman" w:hAnsi="Times New Roman" w:cs="Times New Roman"/>
          <w:color w:val="222222"/>
        </w:rPr>
      </w:pPr>
      <w:r>
        <w:rPr>
          <w:rFonts w:ascii="Times New Roman" w:eastAsia="Times New Roman" w:hAnsi="Times New Roman" w:cs="Times New Roman"/>
          <w:color w:val="222222"/>
        </w:rPr>
        <w:t>We further compared the performance of deconvolution with one popular deconvolution tool CIBERSORT (Newman et al., 2015). We performed CIBERSORT to deconvolve the tissue expression data with single-cell data of selected 24 types and further calculated the variance as an adjusted R-square; this value (0.8132) was lower than that calculated by our deconvolution method (0.8779).</w:t>
      </w:r>
    </w:p>
    <w:p w14:paraId="6B279266" w14:textId="7406968A" w:rsidR="00162B22" w:rsidRDefault="00162B22" w:rsidP="00162B22">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color w:val="222222"/>
        </w:rPr>
        <w:t>Data files associated with both the decomposition (NMF components and fractions) and deconvolution (cell fractions) analyses are available on the website (adult.psychencode.org).</w:t>
      </w:r>
    </w:p>
    <w:p w14:paraId="68284086" w14:textId="77777777" w:rsidR="00162B22" w:rsidRDefault="00162B22" w:rsidP="00162B22">
      <w:pPr>
        <w:spacing w:before="0" w:line="240" w:lineRule="auto"/>
        <w:ind w:firstLine="720"/>
        <w:rPr>
          <w:rFonts w:ascii="Times New Roman" w:eastAsia="Times New Roman" w:hAnsi="Times New Roman" w:cs="Times New Roman"/>
        </w:rPr>
      </w:pPr>
    </w:p>
    <w:p w14:paraId="6B403D0D" w14:textId="77777777" w:rsidR="00162B22" w:rsidRDefault="00162B22" w:rsidP="00162B22">
      <w:pPr>
        <w:spacing w:before="0" w:line="240" w:lineRule="auto"/>
        <w:ind w:firstLine="720"/>
        <w:rPr>
          <w:rFonts w:ascii="Times New Roman" w:eastAsia="Times New Roman" w:hAnsi="Times New Roman" w:cs="Times New Roman"/>
        </w:rPr>
      </w:pPr>
    </w:p>
    <w:p w14:paraId="1135A263" w14:textId="77777777" w:rsidR="00162B22" w:rsidRDefault="00162B22" w:rsidP="00162B22">
      <w:pPr>
        <w:spacing w:before="0" w:line="240" w:lineRule="auto"/>
        <w:rPr>
          <w:rFonts w:ascii="Times New Roman" w:eastAsia="Times New Roman" w:hAnsi="Times New Roman" w:cs="Times New Roman"/>
        </w:rPr>
      </w:pPr>
    </w:p>
    <w:p w14:paraId="2D761C1B" w14:textId="77777777" w:rsidR="0077186D" w:rsidRDefault="0077186D">
      <w:pPr>
        <w:spacing w:before="0" w:line="240" w:lineRule="auto"/>
        <w:rPr>
          <w:rFonts w:ascii="Times New Roman" w:eastAsia="Times New Roman" w:hAnsi="Times New Roman" w:cs="Times New Roman"/>
        </w:rPr>
      </w:pPr>
    </w:p>
    <w:p w14:paraId="2720F27B"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lastRenderedPageBreak/>
        <w:t xml:space="preserve">Table S2.2 Summary of cell types. </w:t>
      </w:r>
      <w:r w:rsidRPr="00605DD0">
        <w:rPr>
          <w:rFonts w:ascii="Helvetica" w:eastAsia="Helvetica Neue" w:hAnsi="Helvetica" w:cs="Helvetica Neue"/>
          <w:sz w:val="18"/>
          <w:szCs w:val="18"/>
        </w:rPr>
        <w:t>This table includes PsychENCODE developmental cell types and public adult cell types from Lake et al. 2016 and Darmanis et al. 2015.</w:t>
      </w:r>
    </w:p>
    <w:tbl>
      <w:tblPr>
        <w:tblStyle w:val="a0"/>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95"/>
        <w:gridCol w:w="2025"/>
        <w:gridCol w:w="3240"/>
        <w:gridCol w:w="2400"/>
      </w:tblGrid>
      <w:tr w:rsidR="0077186D" w14:paraId="5E967A9A" w14:textId="77777777">
        <w:trPr>
          <w:trHeight w:val="500"/>
        </w:trPr>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0314C7" w14:textId="77777777" w:rsidR="0077186D" w:rsidRDefault="00E47411">
            <w:pPr>
              <w:widowControl w:val="0"/>
              <w:spacing w:before="0" w:line="276" w:lineRule="auto"/>
              <w:rPr>
                <w:rFonts w:ascii="Arial" w:eastAsia="Arial" w:hAnsi="Arial" w:cs="Arial"/>
                <w:b/>
                <w:color w:val="000000"/>
                <w:sz w:val="18"/>
                <w:szCs w:val="18"/>
              </w:rPr>
            </w:pPr>
            <w:r>
              <w:rPr>
                <w:rFonts w:ascii="Arial" w:eastAsia="Arial" w:hAnsi="Arial" w:cs="Arial"/>
                <w:b/>
                <w:color w:val="000000"/>
                <w:sz w:val="18"/>
                <w:szCs w:val="18"/>
              </w:rPr>
              <w:t>Abbreviation</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40E3B2" w14:textId="77777777" w:rsidR="0077186D" w:rsidRDefault="00E47411">
            <w:pPr>
              <w:widowControl w:val="0"/>
              <w:spacing w:before="0" w:line="276" w:lineRule="auto"/>
              <w:rPr>
                <w:rFonts w:ascii="Arial" w:eastAsia="Arial" w:hAnsi="Arial" w:cs="Arial"/>
                <w:b/>
                <w:color w:val="000000"/>
                <w:sz w:val="18"/>
                <w:szCs w:val="18"/>
              </w:rPr>
            </w:pPr>
            <w:r>
              <w:rPr>
                <w:rFonts w:ascii="Arial" w:eastAsia="Arial" w:hAnsi="Arial" w:cs="Arial"/>
                <w:b/>
                <w:color w:val="000000"/>
                <w:sz w:val="18"/>
                <w:szCs w:val="18"/>
              </w:rPr>
              <w:t>Adult/Developmental</w:t>
            </w:r>
          </w:p>
        </w:tc>
        <w:tc>
          <w:tcPr>
            <w:tcW w:w="32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6BEF7D" w14:textId="77777777" w:rsidR="0077186D" w:rsidRDefault="00E47411">
            <w:pPr>
              <w:widowControl w:val="0"/>
              <w:spacing w:before="0" w:line="276" w:lineRule="auto"/>
              <w:rPr>
                <w:rFonts w:ascii="Arial" w:eastAsia="Arial" w:hAnsi="Arial" w:cs="Arial"/>
                <w:b/>
                <w:color w:val="000000"/>
                <w:sz w:val="18"/>
                <w:szCs w:val="18"/>
              </w:rPr>
            </w:pPr>
            <w:r>
              <w:rPr>
                <w:rFonts w:ascii="Arial" w:eastAsia="Arial" w:hAnsi="Arial" w:cs="Arial"/>
                <w:b/>
                <w:color w:val="000000"/>
                <w:sz w:val="18"/>
                <w:szCs w:val="18"/>
              </w:rPr>
              <w:t>Full name</w:t>
            </w:r>
          </w:p>
        </w:tc>
        <w:tc>
          <w:tcPr>
            <w:tcW w:w="24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CF87B8" w14:textId="77777777" w:rsidR="0077186D" w:rsidRDefault="00E47411">
            <w:pPr>
              <w:widowControl w:val="0"/>
              <w:spacing w:before="0" w:line="276" w:lineRule="auto"/>
              <w:rPr>
                <w:rFonts w:ascii="Arial" w:eastAsia="Arial" w:hAnsi="Arial" w:cs="Arial"/>
                <w:b/>
                <w:color w:val="000000"/>
                <w:sz w:val="18"/>
                <w:szCs w:val="18"/>
              </w:rPr>
            </w:pPr>
            <w:r>
              <w:rPr>
                <w:rFonts w:ascii="Arial" w:eastAsia="Arial" w:hAnsi="Arial" w:cs="Arial"/>
                <w:b/>
                <w:color w:val="000000"/>
                <w:sz w:val="18"/>
                <w:szCs w:val="18"/>
              </w:rPr>
              <w:t>Source</w:t>
            </w:r>
          </w:p>
        </w:tc>
      </w:tr>
      <w:tr w:rsidR="0077186D" w14:paraId="3E13775E" w14:textId="77777777">
        <w:trPr>
          <w:trHeight w:val="340"/>
        </w:trPr>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EA6134"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Ex</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9FDA0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7B81EE"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Excitatory Neuron</w:t>
            </w:r>
          </w:p>
        </w:tc>
        <w:tc>
          <w:tcPr>
            <w:tcW w:w="24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343CF6"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Lake et al. 2016</w:t>
            </w:r>
          </w:p>
        </w:tc>
      </w:tr>
      <w:tr w:rsidR="0077186D" w14:paraId="1DB00DDB" w14:textId="77777777">
        <w:trPr>
          <w:trHeight w:val="360"/>
        </w:trPr>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D72E5D"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In</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591A57C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2A5B399"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Inhibitory Neuron</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9E7D3AB"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Lake et al. 2016</w:t>
            </w:r>
          </w:p>
        </w:tc>
      </w:tr>
      <w:tr w:rsidR="0077186D" w14:paraId="70F67B9A" w14:textId="77777777">
        <w:trPr>
          <w:trHeight w:val="360"/>
        </w:trPr>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05005"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OPC</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3ADA91E7"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E1C2CB2"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Oligodendrocyte progenitor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9EBAA71"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1FAD4994"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0B8E2"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Trans</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3FF18C5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0A1E86E"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Transient cell type (nascent neurons)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E5EA35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1EC78CB3"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EC67BD"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NEP</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6954A79B"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FAEDF5D"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Neuroepithelial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22BBEEDE"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2D970A75" w14:textId="77777777">
        <w:trPr>
          <w:trHeight w:val="20"/>
        </w:trPr>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6D5E8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IPC</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46D06764"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41B34F4"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Intermediate progenitor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2CB555F"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06CDB079"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790864"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Quiescent/Quies</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3C43AEA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B904411"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Quiescent newly born neurons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88FFC45"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r w:rsidR="0077186D" w14:paraId="1BEED552"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7B76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Replicating/Repli</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09447D2F"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23832A79"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Replicating neuronal progenitors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A0138D9"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r w:rsidR="0077186D" w14:paraId="07CA46FA"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A614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IntN</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55F2233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53D4FE4"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Inhibitory Neuron</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C2EBB0A"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626118C9"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119E36"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ExtN</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1CEF8311"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2B83E9F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Excitatory Neuron</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EB434F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59EB6FA2"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0B940"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Oligo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30CFAB1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29E4295D"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Oligodendrocyte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113A69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3C14C56B"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6863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Astrocytes/Astro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38F71F0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B6E3AD6"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Astrocytes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ED42824"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75697682"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E679A2"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Pericytes/Peri</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3BD4F49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3B77222"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Pericytes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FA26E2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117DE17E"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F441F9"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Endothelial/Endo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5A93EB4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7B54234"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Endothelial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FB9AF0F"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0FC53475" w14:textId="77777777">
        <w:trPr>
          <w:trHeight w:val="60"/>
        </w:trPr>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048CF"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Microglia/Micro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2E36033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Developmental</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92642E6"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Microglia</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BE15D4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Li, M. et al. (</w:t>
            </w:r>
            <w:r>
              <w:rPr>
                <w:rFonts w:ascii="Arial" w:eastAsia="Arial" w:hAnsi="Arial" w:cs="Arial"/>
                <w:i/>
                <w:color w:val="000000"/>
                <w:sz w:val="18"/>
                <w:szCs w:val="18"/>
              </w:rPr>
              <w:t>submitted</w:t>
            </w:r>
            <w:r>
              <w:rPr>
                <w:rFonts w:ascii="Arial" w:eastAsia="Arial" w:hAnsi="Arial" w:cs="Arial"/>
                <w:color w:val="000000"/>
                <w:sz w:val="18"/>
                <w:szCs w:val="18"/>
              </w:rPr>
              <w:t>)</w:t>
            </w:r>
          </w:p>
        </w:tc>
      </w:tr>
      <w:tr w:rsidR="0077186D" w14:paraId="688EB164"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7A2C1F"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Microglia/Micro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38FB5CE8"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E27FA3D"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Microglia</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EB7B459"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r w:rsidR="0077186D" w14:paraId="127E369F"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83B4B"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OPC</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194790A7"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985196D"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Oligodendrocyte progenitor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22D64BB"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r w:rsidR="0077186D" w14:paraId="5FF939C1"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23FB1"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Endothelial/Endo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6452192E"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C9CD62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Endothelial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7D1355E"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r w:rsidR="0077186D" w14:paraId="33478310"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97C73"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Astrocytes/Astro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0D9831BB"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22B8806B"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Astrocytes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B23462A"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r w:rsidR="0077186D" w14:paraId="352D50EA" w14:textId="77777777">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7BD36E"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Oligo</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7E6AFBE6"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94E97B2"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Oligodendrocyte</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71E6C4C"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r w:rsidR="0077186D" w14:paraId="3CB75408" w14:textId="77777777">
        <w:trPr>
          <w:trHeight w:val="280"/>
        </w:trPr>
        <w:tc>
          <w:tcPr>
            <w:tcW w:w="1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85E86B"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OtherNeuron</w:t>
            </w:r>
          </w:p>
        </w:tc>
        <w:tc>
          <w:tcPr>
            <w:tcW w:w="202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14:paraId="7A320851"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Adult</w:t>
            </w:r>
          </w:p>
        </w:tc>
        <w:tc>
          <w:tcPr>
            <w:tcW w:w="32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C75F526"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Mixed of excitatory and inhibitory neuronal cells</w:t>
            </w:r>
          </w:p>
        </w:tc>
        <w:tc>
          <w:tcPr>
            <w:tcW w:w="240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44A9809" w14:textId="77777777" w:rsidR="0077186D" w:rsidRDefault="00E47411">
            <w:pPr>
              <w:widowControl w:val="0"/>
              <w:spacing w:before="0" w:line="276" w:lineRule="auto"/>
              <w:rPr>
                <w:rFonts w:ascii="Arial" w:eastAsia="Arial" w:hAnsi="Arial" w:cs="Arial"/>
                <w:color w:val="000000"/>
                <w:sz w:val="18"/>
                <w:szCs w:val="18"/>
              </w:rPr>
            </w:pPr>
            <w:r>
              <w:rPr>
                <w:rFonts w:ascii="Arial" w:eastAsia="Arial" w:hAnsi="Arial" w:cs="Arial"/>
                <w:color w:val="000000"/>
                <w:sz w:val="18"/>
                <w:szCs w:val="18"/>
              </w:rPr>
              <w:t>Darmanis et al., 2015</w:t>
            </w:r>
          </w:p>
        </w:tc>
      </w:tr>
    </w:tbl>
    <w:p w14:paraId="138D234E" w14:textId="77777777" w:rsidR="007822DE" w:rsidRDefault="007822DE" w:rsidP="00604D3E">
      <w:pPr>
        <w:jc w:val="center"/>
      </w:pPr>
    </w:p>
    <w:p w14:paraId="601F8AAD" w14:textId="4DF195DF" w:rsidR="0077186D" w:rsidRDefault="00604D3E" w:rsidP="00604D3E">
      <w:pPr>
        <w:jc w:val="center"/>
      </w:pPr>
      <w:r>
        <w:rPr>
          <w:noProof/>
          <w:lang w:val="en-US"/>
        </w:rPr>
        <w:lastRenderedPageBreak/>
        <w:drawing>
          <wp:inline distT="0" distB="0" distL="0" distR="0" wp14:anchorId="336FD2D1" wp14:editId="37E2D188">
            <wp:extent cx="4664583" cy="4115897"/>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S2.3.pdf"/>
                    <pic:cNvPicPr/>
                  </pic:nvPicPr>
                  <pic:blipFill>
                    <a:blip r:embed="rId9">
                      <a:extLst>
                        <a:ext uri="{28A0092B-C50C-407E-A947-70E740481C1C}">
                          <a14:useLocalDpi xmlns:a14="http://schemas.microsoft.com/office/drawing/2010/main" val="0"/>
                        </a:ext>
                      </a:extLst>
                    </a:blip>
                    <a:stretch>
                      <a:fillRect/>
                    </a:stretch>
                  </pic:blipFill>
                  <pic:spPr>
                    <a:xfrm>
                      <a:off x="0" y="0"/>
                      <a:ext cx="4702082" cy="4148985"/>
                    </a:xfrm>
                    <a:prstGeom prst="rect">
                      <a:avLst/>
                    </a:prstGeom>
                  </pic:spPr>
                </pic:pic>
              </a:graphicData>
            </a:graphic>
          </wp:inline>
        </w:drawing>
      </w:r>
    </w:p>
    <w:p w14:paraId="3517EB89"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Times New Roman" w:hAnsi="Helvetica" w:cs="Times New Roman"/>
        </w:rPr>
      </w:pPr>
      <w:r w:rsidRPr="00605DD0">
        <w:rPr>
          <w:rFonts w:ascii="Helvetica" w:eastAsia="Helvetica Neue" w:hAnsi="Helvetica" w:cs="Helvetica Neue"/>
          <w:b/>
          <w:sz w:val="18"/>
          <w:szCs w:val="18"/>
        </w:rPr>
        <w:t xml:space="preserve">Fig. S2.3 t-SNE plot of the PsychENCODE and public single-cell data. </w:t>
      </w:r>
      <w:r w:rsidRPr="00605DD0">
        <w:rPr>
          <w:rFonts w:ascii="Helvetica" w:eastAsia="Helvetica Neue" w:hAnsi="Helvetica" w:cs="Helvetica Neue"/>
          <w:sz w:val="18"/>
          <w:szCs w:val="18"/>
        </w:rPr>
        <w:t xml:space="preserve">Most of the PsychENCODE data were found to be clustered together with public developmental data in Darmanis et al., 2015. </w:t>
      </w:r>
    </w:p>
    <w:p w14:paraId="7C2C2814" w14:textId="77777777" w:rsidR="00194D8E" w:rsidRPr="00194D8E" w:rsidRDefault="00194D8E" w:rsidP="00194D8E"/>
    <w:p w14:paraId="450A71F7" w14:textId="77777777" w:rsidR="00194D8E" w:rsidRPr="00CB6EBD" w:rsidRDefault="00194D8E" w:rsidP="00194D8E">
      <w:pPr>
        <w:pStyle w:val="Heading2"/>
        <w:spacing w:before="200" w:after="160"/>
        <w:rPr>
          <w:rFonts w:ascii="Helvetica" w:hAnsi="Helvetica"/>
          <w:sz w:val="28"/>
          <w:szCs w:val="28"/>
        </w:rPr>
      </w:pPr>
      <w:r w:rsidRPr="00CB6EBD">
        <w:rPr>
          <w:rFonts w:ascii="Helvetica" w:hAnsi="Helvetica"/>
          <w:sz w:val="28"/>
          <w:szCs w:val="28"/>
        </w:rPr>
        <w:t>S2.5 Differentially expressed genes for brain phenotypes</w:t>
      </w:r>
    </w:p>
    <w:p w14:paraId="3CC2DD62" w14:textId="77777777" w:rsidR="00194D8E" w:rsidRDefault="00194D8E" w:rsidP="00194D8E">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We used the limma R package for linear modeling to find genes that are differentially expressed for neuropsychiatric disorders, sex, and brain regions. Normalized gene expression data was partitioned into the control and schizophrenia samples or male and female samples using a merged matrix. We then constructed a design matrix representing these partitions, which we used to fit a linear model and estimate fold changes/standard errors. We then applied empirical Bayes smoothing to the standard errors. The output was represented in a table form or as a heatmap using the heatmap.2 R package. This pipeline was used for brain region analysis using gene expression data from GTEx, where either brain regions (amygdala, anterior cingulate cortex, caudate, cerebellar hemisphere, cerebellum, cortex, frontal cortex, hippocampus, hypothalamus, nucleus accumbens, putamen, spinal cord, and substantia nigra) or all brain samples were compared with select control tissues (liver, colon, lung, esophagus, pancreas, spleen, and stomach) for region-specific or brain-specific differential gene expression, respectively. In addition, the differentially expressed and spliced genes and transcripts for psychiatric disorders were identified by a submitted report (Gandal, M.J. et al., submitted). Associated data files with the differentially expressed (DEX) and spliced genes and transcripts from the both the current manuscript and the submitted report are available on the website (adult.psychencode.org). </w:t>
      </w:r>
    </w:p>
    <w:p w14:paraId="1873F848" w14:textId="47E058F0" w:rsidR="0077186D" w:rsidRDefault="0077186D">
      <w:pPr>
        <w:spacing w:before="0" w:line="240" w:lineRule="auto"/>
        <w:ind w:firstLine="720"/>
        <w:rPr>
          <w:rFonts w:ascii="Times New Roman" w:eastAsia="Times New Roman" w:hAnsi="Times New Roman" w:cs="Times New Roman"/>
          <w:color w:val="222222"/>
        </w:rPr>
      </w:pPr>
    </w:p>
    <w:p w14:paraId="34089782" w14:textId="77777777" w:rsidR="0077186D" w:rsidRDefault="0077186D">
      <w:pPr>
        <w:spacing w:before="0" w:line="240" w:lineRule="auto"/>
        <w:ind w:firstLine="720"/>
        <w:rPr>
          <w:rFonts w:ascii="Times New Roman" w:eastAsia="Times New Roman" w:hAnsi="Times New Roman" w:cs="Times New Roman"/>
          <w:color w:val="222222"/>
        </w:rPr>
      </w:pPr>
    </w:p>
    <w:p w14:paraId="60BE25F2" w14:textId="77777777" w:rsidR="00194D8E" w:rsidRDefault="00194D8E">
      <w:pPr>
        <w:spacing w:before="0" w:line="240" w:lineRule="auto"/>
        <w:ind w:firstLine="720"/>
        <w:rPr>
          <w:rFonts w:ascii="Times New Roman" w:eastAsia="Times New Roman" w:hAnsi="Times New Roman" w:cs="Times New Roman"/>
          <w:color w:val="222222"/>
        </w:rPr>
      </w:pPr>
    </w:p>
    <w:p w14:paraId="79C2A3E1" w14:textId="77777777" w:rsidR="00194D8E" w:rsidRDefault="00194D8E">
      <w:pPr>
        <w:spacing w:before="0" w:line="240" w:lineRule="auto"/>
        <w:ind w:firstLine="720"/>
        <w:rPr>
          <w:rFonts w:ascii="Times New Roman" w:eastAsia="Times New Roman" w:hAnsi="Times New Roman" w:cs="Times New Roman"/>
          <w:color w:val="222222"/>
        </w:rPr>
      </w:pPr>
    </w:p>
    <w:p w14:paraId="3B15EF51" w14:textId="77777777" w:rsidR="00194D8E" w:rsidRDefault="00194D8E">
      <w:pPr>
        <w:spacing w:before="0" w:line="240" w:lineRule="auto"/>
        <w:ind w:firstLine="720"/>
        <w:rPr>
          <w:rFonts w:ascii="Times New Roman" w:eastAsia="Times New Roman" w:hAnsi="Times New Roman" w:cs="Times New Roman"/>
          <w:color w:val="222222"/>
        </w:rPr>
      </w:pPr>
    </w:p>
    <w:p w14:paraId="538AC493" w14:textId="77777777" w:rsidR="00194D8E" w:rsidRDefault="00194D8E">
      <w:pPr>
        <w:spacing w:before="0" w:line="240" w:lineRule="auto"/>
        <w:ind w:firstLine="720"/>
        <w:rPr>
          <w:rFonts w:ascii="Times New Roman" w:eastAsia="Times New Roman" w:hAnsi="Times New Roman" w:cs="Times New Roman"/>
          <w:color w:val="222222"/>
        </w:rPr>
      </w:pPr>
    </w:p>
    <w:p w14:paraId="6D710B03" w14:textId="3C0A96FA" w:rsidR="0077186D" w:rsidRPr="00604D3E" w:rsidRDefault="00604D3E" w:rsidP="007822DE">
      <w:pPr>
        <w:spacing w:before="0"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lang w:val="en-US"/>
        </w:rPr>
        <w:drawing>
          <wp:inline distT="0" distB="0" distL="0" distR="0" wp14:anchorId="3BE197B0" wp14:editId="64B98A17">
            <wp:extent cx="4898815" cy="58958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2.4.pdf"/>
                    <pic:cNvPicPr/>
                  </pic:nvPicPr>
                  <pic:blipFill>
                    <a:blip r:embed="rId10">
                      <a:extLst>
                        <a:ext uri="{28A0092B-C50C-407E-A947-70E740481C1C}">
                          <a14:useLocalDpi xmlns:a14="http://schemas.microsoft.com/office/drawing/2010/main" val="0"/>
                        </a:ext>
                      </a:extLst>
                    </a:blip>
                    <a:stretch>
                      <a:fillRect/>
                    </a:stretch>
                  </pic:blipFill>
                  <pic:spPr>
                    <a:xfrm>
                      <a:off x="0" y="0"/>
                      <a:ext cx="4912877" cy="5912772"/>
                    </a:xfrm>
                    <a:prstGeom prst="rect">
                      <a:avLst/>
                    </a:prstGeom>
                  </pic:spPr>
                </pic:pic>
              </a:graphicData>
            </a:graphic>
          </wp:inline>
        </w:drawing>
      </w:r>
    </w:p>
    <w:p w14:paraId="3C1BDED6" w14:textId="77777777" w:rsidR="0077186D" w:rsidRPr="00605DD0" w:rsidRDefault="00E47411" w:rsidP="007822DE">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Fig. S2.4 Biomarkers show higher expression in the cell type from which they were defined compared to other cell types.</w:t>
      </w:r>
      <w:r w:rsidRPr="00605DD0">
        <w:rPr>
          <w:rFonts w:ascii="Helvetica" w:eastAsia="Helvetica Neue" w:hAnsi="Helvetica" w:cs="Helvetica Neue"/>
          <w:sz w:val="18"/>
          <w:szCs w:val="18"/>
        </w:rPr>
        <w:t xml:space="preserve"> Expression signatures of biomarkers are conserved in the newly constructed expression matrix, which integrates multiple sources of single-cell expression data.</w:t>
      </w:r>
      <w:bookmarkStart w:id="18" w:name="_trth92jrm0of" w:colFirst="0" w:colLast="0"/>
      <w:bookmarkEnd w:id="18"/>
    </w:p>
    <w:p w14:paraId="4F969A22" w14:textId="77777777" w:rsidR="0077186D" w:rsidRDefault="0077186D">
      <w:pPr>
        <w:spacing w:before="0" w:line="240" w:lineRule="auto"/>
        <w:rPr>
          <w:rFonts w:ascii="Times New Roman" w:eastAsia="Times New Roman" w:hAnsi="Times New Roman" w:cs="Times New Roman"/>
        </w:rPr>
      </w:pPr>
      <w:bookmarkStart w:id="19" w:name="_9r94exd8sr8w" w:colFirst="0" w:colLast="0"/>
      <w:bookmarkEnd w:id="19"/>
    </w:p>
    <w:p w14:paraId="5FA3F220" w14:textId="77777777" w:rsidR="0077186D" w:rsidRPr="00CB6EBD" w:rsidRDefault="00E47411">
      <w:pPr>
        <w:pStyle w:val="Heading2"/>
        <w:spacing w:before="200" w:after="160"/>
        <w:rPr>
          <w:rFonts w:ascii="Helvetica" w:hAnsi="Helvetica"/>
          <w:sz w:val="28"/>
          <w:szCs w:val="28"/>
        </w:rPr>
      </w:pPr>
      <w:bookmarkStart w:id="20" w:name="_kkg7nmy36wui" w:colFirst="0" w:colLast="0"/>
      <w:bookmarkEnd w:id="20"/>
      <w:r w:rsidRPr="00CB6EBD">
        <w:rPr>
          <w:rFonts w:ascii="Helvetica" w:hAnsi="Helvetica"/>
          <w:sz w:val="28"/>
          <w:szCs w:val="28"/>
        </w:rPr>
        <w:t>S2.6 Gene co-expression network analysis</w:t>
      </w:r>
    </w:p>
    <w:p w14:paraId="2F8CA56B"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We used WGCNA to identify modules of co-expressed genes, both within and between tissues (Zhang et al., 2005). Briefly, each gene was associated with a vector of normalized expression values across either individuals or tissues (using median expression). A weighted network was constructed where the weight between any two genes had a similar score, calculated by normalizing the Pearson correlation of their expression vectors to lie between 0 and 1, and raising this to the power </w:t>
      </w:r>
      <m:oMath>
        <m:r>
          <w:rPr>
            <w:rFonts w:ascii="Cambria Math" w:hAnsi="Cambria Math"/>
          </w:rPr>
          <m:t>β</m:t>
        </m:r>
      </m:oMath>
      <w:r>
        <w:rPr>
          <w:rFonts w:ascii="Times New Roman" w:eastAsia="Times New Roman" w:hAnsi="Times New Roman" w:cs="Times New Roman"/>
        </w:rPr>
        <w:t>.</w:t>
      </w:r>
    </w:p>
    <w:p w14:paraId="41B2D403" w14:textId="0CAD11D6"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followed Zhang et al. in setting </w:t>
      </w:r>
      <m:oMath>
        <m:r>
          <w:rPr>
            <w:rFonts w:ascii="Cambria Math" w:hAnsi="Cambria Math"/>
          </w:rPr>
          <m:t>β</m:t>
        </m:r>
      </m:oMath>
      <w:r>
        <w:rPr>
          <w:rFonts w:ascii="Times New Roman" w:eastAsia="Times New Roman" w:hAnsi="Times New Roman" w:cs="Times New Roman"/>
        </w:rPr>
        <w:t xml:space="preserve"> such that connectivity of the network was as close to scale-free as possible (using the </w:t>
      </w:r>
      <w:r w:rsidR="0014324A" w:rsidRPr="0014324A">
        <w:rPr>
          <w:rFonts w:ascii="Times New Roman" w:eastAsia="Times New Roman" w:hAnsi="Times New Roman" w:cs="Times New Roman"/>
          <w:i/>
        </w:rPr>
        <w:t>R</w:t>
      </w:r>
      <w:r w:rsidR="0014324A" w:rsidRPr="0005591E">
        <w:rPr>
          <w:rFonts w:ascii="Times New Roman" w:eastAsia="Times New Roman" w:hAnsi="Times New Roman" w:cs="Times New Roman"/>
          <w:vertAlign w:val="superscript"/>
        </w:rPr>
        <w:t>2</w:t>
      </w:r>
      <w:r>
        <w:rPr>
          <w:rFonts w:ascii="Times New Roman" w:eastAsia="Times New Roman" w:hAnsi="Times New Roman" w:cs="Times New Roman"/>
        </w:rPr>
        <w:t xml:space="preserve"> statistic described in Zhang et. al.). The genes were then hierarchically clustered using a</w:t>
      </w:r>
      <w:r>
        <w:rPr>
          <w:rFonts w:ascii="Times New Roman" w:eastAsia="Times New Roman" w:hAnsi="Times New Roman" w:cs="Times New Roman"/>
          <w:i/>
        </w:rPr>
        <w:t xml:space="preserve"> topological overlap score</w:t>
      </w:r>
      <w:r>
        <w:rPr>
          <w:rFonts w:ascii="Times New Roman" w:eastAsia="Times New Roman" w:hAnsi="Times New Roman" w:cs="Times New Roman"/>
        </w:rPr>
        <w:t xml:space="preserve">, which compares how similar the patterns of connection are </w:t>
      </w:r>
      <w:r>
        <w:rPr>
          <w:rFonts w:ascii="Times New Roman" w:eastAsia="Times New Roman" w:hAnsi="Times New Roman" w:cs="Times New Roman"/>
        </w:rPr>
        <w:lastRenderedPageBreak/>
        <w:t xml:space="preserve">from each node to all other nodes. Disjoint modules were extracted using the Dynamic Tree Cut algorithm (Langfelder et al., 2008). We further extracted submodules in addition to the disjoint modules extracted by WGCNA, by adding the subtrees formed on each merge where both left and right subtrees were larger than a minimal size (which we set at 30 genes). To find brain specific modules/submodules using clusters calculated on median expression variation across tissues, we further calculated the </w:t>
      </w:r>
      <w:r>
        <w:rPr>
          <w:rFonts w:ascii="Times New Roman" w:eastAsia="Times New Roman" w:hAnsi="Times New Roman" w:cs="Times New Roman"/>
          <w:i/>
        </w:rPr>
        <w:t>module eigengenes</w:t>
      </w:r>
      <w:r>
        <w:rPr>
          <w:rFonts w:ascii="Times New Roman" w:eastAsia="Times New Roman" w:hAnsi="Times New Roman" w:cs="Times New Roman"/>
        </w:rPr>
        <w:t xml:space="preserve"> (as described in Zhang et al.), and calculated the correlation of each eigengene with a binary vector, which was 1 for brain regions and 0 otherwise. We called a module ‘brain specific’ if this correlation was significant at the 0.001 level (under a permutation test of the tissue labels).</w:t>
      </w:r>
    </w:p>
    <w:p w14:paraId="047C3E47"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Our co-expression analysis indeed found several modules with eigengenes showing very different expression levels between brain and non-brain samples (Fig. S2.5), which suggests that brain-specific regulatory mechanisms drive these brain co-expression modules (Gandal, M.J. et al., submitted). Associated data files with the gene and isoform co-expression modules from the both the current manuscript and the submitted report are available on the website (adult.psychencode.org). </w:t>
      </w:r>
    </w:p>
    <w:p w14:paraId="2D6DCC56" w14:textId="77777777" w:rsidR="0077186D" w:rsidRDefault="0077186D">
      <w:pPr>
        <w:spacing w:before="0" w:line="240" w:lineRule="auto"/>
        <w:ind w:firstLine="720"/>
        <w:rPr>
          <w:rFonts w:ascii="Times New Roman" w:eastAsia="Times New Roman" w:hAnsi="Times New Roman" w:cs="Times New Roman"/>
        </w:rPr>
      </w:pPr>
    </w:p>
    <w:p w14:paraId="6844CEF7" w14:textId="77777777" w:rsidR="0077186D" w:rsidRPr="00CB6EBD" w:rsidRDefault="00E47411">
      <w:pPr>
        <w:pStyle w:val="Heading2"/>
        <w:spacing w:before="200" w:after="160"/>
        <w:rPr>
          <w:rFonts w:ascii="Helvetica" w:hAnsi="Helvetica"/>
          <w:sz w:val="28"/>
          <w:szCs w:val="28"/>
        </w:rPr>
      </w:pPr>
      <w:bookmarkStart w:id="21" w:name="_iq5habw4afud" w:colFirst="0" w:colLast="0"/>
      <w:bookmarkEnd w:id="21"/>
      <w:r w:rsidRPr="00CB6EBD">
        <w:rPr>
          <w:rFonts w:ascii="Helvetica" w:hAnsi="Helvetica"/>
          <w:sz w:val="28"/>
          <w:szCs w:val="28"/>
        </w:rPr>
        <w:t>S2.7 Gene expression and DNA methylation over aging</w:t>
      </w:r>
    </w:p>
    <w:p w14:paraId="32C4BDC3"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To find the effect of age on gene expression, we selected genes that showed significant correlation with age. Samples were segregated by age bins of 20 years, for a total of five bins (0-20, 20-40, 40-60, 60-80, and 80-100). Gene expression was estimated using uniform processing with the PsychENCODE RNA-seq pipeline (See S2.1.3). Fig. S2.10 displays 90 protein-coding and non-coding genes that correlate with age. In particular, EGR1 (</w:t>
      </w:r>
      <w:r>
        <w:rPr>
          <w:rFonts w:ascii="Times New Roman" w:eastAsia="Times New Roman" w:hAnsi="Times New Roman" w:cs="Times New Roman"/>
          <w:color w:val="000000"/>
        </w:rPr>
        <w:t xml:space="preserve">early growth response - </w:t>
      </w:r>
      <w:r>
        <w:rPr>
          <w:rFonts w:ascii="Times New Roman" w:eastAsia="Times New Roman" w:hAnsi="Times New Roman" w:cs="Times New Roman"/>
        </w:rPr>
        <w:t>ENSG00000120738.7) and CP (</w:t>
      </w:r>
      <w:r>
        <w:rPr>
          <w:rFonts w:ascii="Times New Roman" w:eastAsia="Times New Roman" w:hAnsi="Times New Roman" w:cs="Times New Roman"/>
          <w:color w:val="000000"/>
        </w:rPr>
        <w:t xml:space="preserve">ceruloplasmin - </w:t>
      </w:r>
      <w:r>
        <w:rPr>
          <w:rFonts w:ascii="Times New Roman" w:eastAsia="Times New Roman" w:hAnsi="Times New Roman" w:cs="Times New Roman"/>
        </w:rPr>
        <w:t xml:space="preserve">ENSG00000047457.9) are displayed. Similarly, we processed array methylation data to investigate the effect of aging in promoter and enhancer methylation. Published data from (Jaffe et al., 2016) were used. We used the normalized (scaled) proportion of methylated CpGs across individuals’ age bins near gene TSS (Fig. S2.11). </w:t>
      </w:r>
    </w:p>
    <w:p w14:paraId="40B0A81F" w14:textId="77777777" w:rsidR="0077186D" w:rsidRDefault="002C1902" w:rsidP="005F0FAF">
      <w:pPr>
        <w:spacing w:before="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58ED0E38" wp14:editId="132BBC6E">
            <wp:extent cx="5864803" cy="3298952"/>
            <wp:effectExtent l="0" t="0" r="317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_S2.5_coexpression_modules.pdf"/>
                    <pic:cNvPicPr/>
                  </pic:nvPicPr>
                  <pic:blipFill>
                    <a:blip r:embed="rId11">
                      <a:extLst>
                        <a:ext uri="{28A0092B-C50C-407E-A947-70E740481C1C}">
                          <a14:useLocalDpi xmlns:a14="http://schemas.microsoft.com/office/drawing/2010/main" val="0"/>
                        </a:ext>
                      </a:extLst>
                    </a:blip>
                    <a:stretch>
                      <a:fillRect/>
                    </a:stretch>
                  </pic:blipFill>
                  <pic:spPr>
                    <a:xfrm>
                      <a:off x="0" y="0"/>
                      <a:ext cx="5878322" cy="3306557"/>
                    </a:xfrm>
                    <a:prstGeom prst="rect">
                      <a:avLst/>
                    </a:prstGeom>
                  </pic:spPr>
                </pic:pic>
              </a:graphicData>
            </a:graphic>
          </wp:inline>
        </w:drawing>
      </w:r>
    </w:p>
    <w:p w14:paraId="542E95A3"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S2.5 Brain-specific co-expression modules and submodules. </w:t>
      </w:r>
      <w:r w:rsidRPr="00605DD0">
        <w:rPr>
          <w:rFonts w:ascii="Helvetica" w:eastAsia="Helvetica Neue" w:hAnsi="Helvetica" w:cs="Helvetica Neue"/>
          <w:sz w:val="18"/>
          <w:szCs w:val="18"/>
        </w:rPr>
        <w:t xml:space="preserve">Module eigengenes are plotted as columns, which are ordered by the degree to which their expression is specific to the brain (see text). Lines beneath the plot show positive (green) and negative (red) correlations, with correlations that are significant at the p&lt;0.001 level (either positive or negative) highlighted in blue. </w:t>
      </w:r>
    </w:p>
    <w:p w14:paraId="35BBD08E" w14:textId="77777777" w:rsidR="0077186D" w:rsidRDefault="0077186D">
      <w:pPr>
        <w:spacing w:line="240" w:lineRule="auto"/>
        <w:rPr>
          <w:b/>
        </w:rPr>
      </w:pPr>
    </w:p>
    <w:p w14:paraId="013CB09B" w14:textId="77777777" w:rsidR="0077186D" w:rsidRDefault="00E47411">
      <w:pPr>
        <w:spacing w:line="240" w:lineRule="auto"/>
        <w:rPr>
          <w:b/>
        </w:rPr>
      </w:pPr>
      <w:r>
        <w:rPr>
          <w:b/>
          <w:noProof/>
          <w:lang w:val="en-US"/>
        </w:rPr>
        <w:lastRenderedPageBreak/>
        <w:drawing>
          <wp:inline distT="114300" distB="114300" distL="114300" distR="114300" wp14:anchorId="6360BF1F" wp14:editId="1190E45A">
            <wp:extent cx="5943600" cy="3454400"/>
            <wp:effectExtent l="0" t="0" r="0" b="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2"/>
                    <a:srcRect/>
                    <a:stretch>
                      <a:fillRect/>
                    </a:stretch>
                  </pic:blipFill>
                  <pic:spPr>
                    <a:xfrm>
                      <a:off x="0" y="0"/>
                      <a:ext cx="5943600" cy="3454400"/>
                    </a:xfrm>
                    <a:prstGeom prst="rect">
                      <a:avLst/>
                    </a:prstGeom>
                    <a:ln/>
                  </pic:spPr>
                </pic:pic>
              </a:graphicData>
            </a:graphic>
          </wp:inline>
        </w:drawing>
      </w:r>
    </w:p>
    <w:p w14:paraId="104FD5B2" w14:textId="77777777" w:rsidR="0077186D" w:rsidRDefault="00E47411">
      <w:pPr>
        <w:rPr>
          <w:b/>
          <w:sz w:val="20"/>
          <w:szCs w:val="20"/>
        </w:rPr>
      </w:pPr>
      <w:r>
        <w:rPr>
          <w:b/>
          <w:noProof/>
          <w:sz w:val="20"/>
          <w:szCs w:val="20"/>
          <w:lang w:val="en-US"/>
        </w:rPr>
        <w:drawing>
          <wp:inline distT="114300" distB="114300" distL="114300" distR="114300" wp14:anchorId="7E950D3C" wp14:editId="3729AE02">
            <wp:extent cx="3374254" cy="3300095"/>
            <wp:effectExtent l="0" t="0" r="0" b="0"/>
            <wp:docPr id="2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
                    <a:srcRect l="8746" t="4091" r="6762" b="6655"/>
                    <a:stretch>
                      <a:fillRect/>
                    </a:stretch>
                  </pic:blipFill>
                  <pic:spPr>
                    <a:xfrm>
                      <a:off x="0" y="0"/>
                      <a:ext cx="3374254" cy="3300095"/>
                    </a:xfrm>
                    <a:prstGeom prst="rect">
                      <a:avLst/>
                    </a:prstGeom>
                    <a:ln/>
                  </pic:spPr>
                </pic:pic>
              </a:graphicData>
            </a:graphic>
          </wp:inline>
        </w:drawing>
      </w:r>
    </w:p>
    <w:p w14:paraId="61C5C7A8"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S2.6 Estimated cell fractions of 24 selected cell types in control samples. </w:t>
      </w:r>
      <w:r w:rsidRPr="00605DD0">
        <w:rPr>
          <w:rFonts w:ascii="Helvetica" w:eastAsia="Helvetica Neue" w:hAnsi="Helvetica" w:cs="Helvetica Neue"/>
          <w:sz w:val="18"/>
          <w:szCs w:val="18"/>
        </w:rPr>
        <w:t>The cell types with significant changes (FDR &lt; 0.05) between genders after balancing age distribution are labeled with double asterisks (**)..</w:t>
      </w:r>
    </w:p>
    <w:p w14:paraId="4E557E1D" w14:textId="77777777" w:rsidR="00604D3E" w:rsidRDefault="00604D3E"/>
    <w:p w14:paraId="40D3FCB8" w14:textId="77777777" w:rsidR="00604D3E" w:rsidRDefault="00604D3E"/>
    <w:p w14:paraId="12C1807A" w14:textId="77777777" w:rsidR="00604D3E" w:rsidRDefault="00604D3E"/>
    <w:p w14:paraId="7B8973FF" w14:textId="77777777" w:rsidR="0077186D" w:rsidRDefault="00E47411">
      <w:r>
        <w:rPr>
          <w:noProof/>
          <w:lang w:val="en-US"/>
        </w:rPr>
        <w:lastRenderedPageBreak/>
        <w:drawing>
          <wp:inline distT="114300" distB="114300" distL="114300" distR="114300" wp14:anchorId="55055C44" wp14:editId="49B178DD">
            <wp:extent cx="5943600" cy="3364865"/>
            <wp:effectExtent l="0" t="0" r="0" b="0"/>
            <wp:docPr id="3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4"/>
                    <a:srcRect b="4263"/>
                    <a:stretch>
                      <a:fillRect/>
                    </a:stretch>
                  </pic:blipFill>
                  <pic:spPr>
                    <a:xfrm>
                      <a:off x="0" y="0"/>
                      <a:ext cx="5943600" cy="3364865"/>
                    </a:xfrm>
                    <a:prstGeom prst="rect">
                      <a:avLst/>
                    </a:prstGeom>
                    <a:ln/>
                  </pic:spPr>
                </pic:pic>
              </a:graphicData>
            </a:graphic>
          </wp:inline>
        </w:drawing>
      </w:r>
    </w:p>
    <w:p w14:paraId="6333FED0" w14:textId="77777777" w:rsidR="0077186D" w:rsidRDefault="00E47411">
      <w:r>
        <w:rPr>
          <w:noProof/>
          <w:lang w:val="en-US"/>
        </w:rPr>
        <w:drawing>
          <wp:inline distT="114300" distB="114300" distL="114300" distR="114300" wp14:anchorId="3876A029" wp14:editId="39EB119F">
            <wp:extent cx="3295650" cy="3209290"/>
            <wp:effectExtent l="0" t="0" r="0" b="0"/>
            <wp:docPr id="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l="8108" t="3557" r="6879" b="4722"/>
                    <a:stretch>
                      <a:fillRect/>
                    </a:stretch>
                  </pic:blipFill>
                  <pic:spPr>
                    <a:xfrm>
                      <a:off x="0" y="0"/>
                      <a:ext cx="3295650" cy="3209290"/>
                    </a:xfrm>
                    <a:prstGeom prst="rect">
                      <a:avLst/>
                    </a:prstGeom>
                    <a:ln/>
                  </pic:spPr>
                </pic:pic>
              </a:graphicData>
            </a:graphic>
          </wp:inline>
        </w:drawing>
      </w:r>
    </w:p>
    <w:p w14:paraId="5CC35118"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S2.7 Estimated cell fractions of 24 selected cell types in samples with different disorders. </w:t>
      </w:r>
      <w:r w:rsidRPr="00605DD0">
        <w:rPr>
          <w:rFonts w:ascii="Helvetica" w:eastAsia="Helvetica Neue" w:hAnsi="Helvetica" w:cs="Helvetica Neue"/>
          <w:sz w:val="18"/>
          <w:szCs w:val="18"/>
        </w:rPr>
        <w:t>For each cell type, the boxes with double asterisks (**) indicate the disorder types that show significant differences (FDR &lt; 0.05) after balancing the age distribution.</w:t>
      </w:r>
    </w:p>
    <w:p w14:paraId="4C0AF643" w14:textId="77777777" w:rsidR="0077186D" w:rsidRDefault="0077186D">
      <w:pPr>
        <w:rPr>
          <w:b/>
          <w:sz w:val="20"/>
          <w:szCs w:val="20"/>
        </w:rPr>
      </w:pPr>
    </w:p>
    <w:p w14:paraId="2D72FC06" w14:textId="418E035B" w:rsidR="0077186D" w:rsidRPr="00604D3E" w:rsidRDefault="00604D3E" w:rsidP="00604D3E">
      <w:pPr>
        <w:rPr>
          <w:b/>
          <w:sz w:val="20"/>
          <w:szCs w:val="20"/>
        </w:rPr>
      </w:pPr>
      <w:r>
        <w:rPr>
          <w:b/>
          <w:noProof/>
          <w:sz w:val="20"/>
          <w:szCs w:val="20"/>
          <w:lang w:val="en-US"/>
        </w:rPr>
        <w:lastRenderedPageBreak/>
        <w:drawing>
          <wp:inline distT="0" distB="0" distL="0" distR="0" wp14:anchorId="3FE4A82B" wp14:editId="30DD6204">
            <wp:extent cx="5652135" cy="7662387"/>
            <wp:effectExtent l="0" t="0" r="1206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S2.6.pdf"/>
                    <pic:cNvPicPr/>
                  </pic:nvPicPr>
                  <pic:blipFill>
                    <a:blip r:embed="rId16">
                      <a:extLst>
                        <a:ext uri="{28A0092B-C50C-407E-A947-70E740481C1C}">
                          <a14:useLocalDpi xmlns:a14="http://schemas.microsoft.com/office/drawing/2010/main" val="0"/>
                        </a:ext>
                      </a:extLst>
                    </a:blip>
                    <a:stretch>
                      <a:fillRect/>
                    </a:stretch>
                  </pic:blipFill>
                  <pic:spPr>
                    <a:xfrm>
                      <a:off x="0" y="0"/>
                      <a:ext cx="5661072" cy="7674503"/>
                    </a:xfrm>
                    <a:prstGeom prst="rect">
                      <a:avLst/>
                    </a:prstGeom>
                  </pic:spPr>
                </pic:pic>
              </a:graphicData>
            </a:graphic>
          </wp:inline>
        </w:drawing>
      </w:r>
    </w:p>
    <w:p w14:paraId="2F3B3ED5"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S2.8 Estimated cell fractions of 24 selected cell types in control samples with different ages. </w:t>
      </w:r>
      <w:r w:rsidRPr="00605DD0">
        <w:rPr>
          <w:rFonts w:ascii="Helvetica" w:eastAsia="Helvetica Neue" w:hAnsi="Helvetica" w:cs="Helvetica Neue"/>
          <w:sz w:val="18"/>
          <w:szCs w:val="18"/>
        </w:rPr>
        <w:t>The cell types showing significant increasing/decreasing trends across ages (trend analysis p-value &lt; 1e-2) are labeled with double asterisks (**).</w:t>
      </w:r>
    </w:p>
    <w:p w14:paraId="38060DE4" w14:textId="77777777" w:rsidR="00604D3E" w:rsidRDefault="00604D3E">
      <w:pPr>
        <w:jc w:val="center"/>
      </w:pPr>
    </w:p>
    <w:p w14:paraId="0EE64441" w14:textId="77777777" w:rsidR="0077186D" w:rsidRDefault="00E47411">
      <w:pPr>
        <w:jc w:val="center"/>
      </w:pPr>
      <w:r>
        <w:rPr>
          <w:noProof/>
          <w:lang w:val="en-US"/>
        </w:rPr>
        <w:lastRenderedPageBreak/>
        <w:drawing>
          <wp:inline distT="114300" distB="114300" distL="114300" distR="114300" wp14:anchorId="4879BC6D" wp14:editId="013E6D94">
            <wp:extent cx="4844975" cy="3621088"/>
            <wp:effectExtent l="0" t="0" r="0" b="0"/>
            <wp:docPr id="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4844975" cy="3621088"/>
                    </a:xfrm>
                    <a:prstGeom prst="rect">
                      <a:avLst/>
                    </a:prstGeom>
                    <a:ln/>
                  </pic:spPr>
                </pic:pic>
              </a:graphicData>
            </a:graphic>
          </wp:inline>
        </w:drawing>
      </w:r>
    </w:p>
    <w:p w14:paraId="32D5210B"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S2.9 Validation of estimated cell fractions from deconvolution. </w:t>
      </w:r>
      <w:r w:rsidRPr="00605DD0">
        <w:rPr>
          <w:rFonts w:ascii="Helvetica" w:eastAsia="Helvetica Neue" w:hAnsi="Helvetica" w:cs="Helvetica Neue"/>
          <w:sz w:val="18"/>
          <w:szCs w:val="18"/>
        </w:rPr>
        <w:t>The</w:t>
      </w:r>
      <w:r w:rsidRPr="00605DD0">
        <w:rPr>
          <w:rFonts w:ascii="Helvetica" w:eastAsia="Helvetica Neue" w:hAnsi="Helvetica" w:cs="Helvetica Neue"/>
          <w:b/>
          <w:sz w:val="18"/>
          <w:szCs w:val="18"/>
        </w:rPr>
        <w:t xml:space="preserve"> </w:t>
      </w:r>
      <w:r w:rsidRPr="00605DD0">
        <w:rPr>
          <w:rFonts w:ascii="Helvetica" w:eastAsia="Helvetica Neue" w:hAnsi="Helvetica" w:cs="Helvetica Neue"/>
          <w:sz w:val="18"/>
          <w:szCs w:val="18"/>
        </w:rPr>
        <w:t>X-axis shows the NeuN+ cell fractions measured in experiments and the y-axis shows the NeuN+ cell fractions estimated from deconvolution. The median error is 0.04.</w:t>
      </w:r>
    </w:p>
    <w:p w14:paraId="4D2D0219" w14:textId="15880EAC" w:rsidR="0077186D" w:rsidRPr="00E47411" w:rsidRDefault="00E47411" w:rsidP="00E47411">
      <w:pPr>
        <w:spacing w:before="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4A13AECC" wp14:editId="7E4AAC2E">
            <wp:extent cx="3841466" cy="8003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 S2.8 Gene_expression_Aging.pdf"/>
                    <pic:cNvPicPr/>
                  </pic:nvPicPr>
                  <pic:blipFill>
                    <a:blip r:embed="rId18">
                      <a:extLst>
                        <a:ext uri="{28A0092B-C50C-407E-A947-70E740481C1C}">
                          <a14:useLocalDpi xmlns:a14="http://schemas.microsoft.com/office/drawing/2010/main" val="0"/>
                        </a:ext>
                      </a:extLst>
                    </a:blip>
                    <a:stretch>
                      <a:fillRect/>
                    </a:stretch>
                  </pic:blipFill>
                  <pic:spPr>
                    <a:xfrm>
                      <a:off x="0" y="0"/>
                      <a:ext cx="3861414" cy="8045100"/>
                    </a:xfrm>
                    <a:prstGeom prst="rect">
                      <a:avLst/>
                    </a:prstGeom>
                  </pic:spPr>
                </pic:pic>
              </a:graphicData>
            </a:graphic>
          </wp:inline>
        </w:drawing>
      </w:r>
    </w:p>
    <w:p w14:paraId="52B669B3"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S2.10 Gene expression variation in the human brain across ages. </w:t>
      </w:r>
      <w:r w:rsidRPr="00605DD0">
        <w:rPr>
          <w:rFonts w:ascii="Helvetica" w:eastAsia="Helvetica Neue" w:hAnsi="Helvetica" w:cs="Helvetica Neue"/>
          <w:sz w:val="18"/>
          <w:szCs w:val="18"/>
        </w:rPr>
        <w:t>The</w:t>
      </w:r>
      <w:r w:rsidRPr="00605DD0">
        <w:rPr>
          <w:rFonts w:ascii="Helvetica" w:eastAsia="Helvetica Neue" w:hAnsi="Helvetica" w:cs="Helvetica Neue"/>
          <w:b/>
          <w:sz w:val="18"/>
          <w:szCs w:val="18"/>
        </w:rPr>
        <w:t xml:space="preserve"> </w:t>
      </w:r>
      <w:r w:rsidRPr="00605DD0">
        <w:rPr>
          <w:rFonts w:ascii="Helvetica" w:eastAsia="Helvetica Neue" w:hAnsi="Helvetica" w:cs="Helvetica Neue"/>
          <w:sz w:val="18"/>
          <w:szCs w:val="18"/>
        </w:rPr>
        <w:t>X axis shows 5 bins of age and the Y axis shows the log2(rpkm) for genes positively or negatively correlated with age. Each panel refers to a gene, where the identification was made by ENSEMBL ID.</w:t>
      </w:r>
    </w:p>
    <w:p w14:paraId="3B01D217" w14:textId="7978A86B" w:rsidR="0077186D" w:rsidRDefault="00604D3E" w:rsidP="00604D3E">
      <w:pPr>
        <w:spacing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175EF06B" wp14:editId="22171CD4">
            <wp:extent cx="3786605" cy="788924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S2.9 CpGMethylation_Aging genes.pdf"/>
                    <pic:cNvPicPr/>
                  </pic:nvPicPr>
                  <pic:blipFill>
                    <a:blip r:embed="rId19">
                      <a:extLst>
                        <a:ext uri="{28A0092B-C50C-407E-A947-70E740481C1C}">
                          <a14:useLocalDpi xmlns:a14="http://schemas.microsoft.com/office/drawing/2010/main" val="0"/>
                        </a:ext>
                      </a:extLst>
                    </a:blip>
                    <a:stretch>
                      <a:fillRect/>
                    </a:stretch>
                  </pic:blipFill>
                  <pic:spPr>
                    <a:xfrm>
                      <a:off x="0" y="0"/>
                      <a:ext cx="3795488" cy="7907748"/>
                    </a:xfrm>
                    <a:prstGeom prst="rect">
                      <a:avLst/>
                    </a:prstGeom>
                  </pic:spPr>
                </pic:pic>
              </a:graphicData>
            </a:graphic>
          </wp:inline>
        </w:drawing>
      </w:r>
    </w:p>
    <w:p w14:paraId="4FE5A2EF"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S2.11 Promoter and enhancer region methylation of genes correlated to aging. </w:t>
      </w:r>
      <w:r w:rsidRPr="00605DD0">
        <w:rPr>
          <w:rFonts w:ascii="Helvetica" w:eastAsia="Helvetica Neue" w:hAnsi="Helvetica" w:cs="Helvetica Neue"/>
          <w:sz w:val="18"/>
          <w:szCs w:val="18"/>
        </w:rPr>
        <w:t>Genes with methylation data available were assessed for their methylation status. The X axis shows 5 bins of age and the Y axis shows the normalized distribution of methylation near the gene TSS. Each panel refers to a gene, where the identification was made by gene name.</w:t>
      </w:r>
    </w:p>
    <w:p w14:paraId="37A877DA" w14:textId="77777777" w:rsidR="0077186D" w:rsidRPr="00CB6EBD" w:rsidRDefault="00E47411">
      <w:pPr>
        <w:pStyle w:val="Heading1"/>
        <w:spacing w:before="200" w:after="280" w:line="276" w:lineRule="auto"/>
        <w:rPr>
          <w:rFonts w:ascii="Helvetica" w:hAnsi="Helvetica"/>
          <w:sz w:val="44"/>
          <w:szCs w:val="44"/>
        </w:rPr>
      </w:pPr>
      <w:bookmarkStart w:id="22" w:name="_jbpqsphbyea3" w:colFirst="0" w:colLast="0"/>
      <w:bookmarkEnd w:id="22"/>
      <w:r w:rsidRPr="00CB6EBD">
        <w:rPr>
          <w:rFonts w:ascii="Helvetica" w:hAnsi="Helvetica"/>
          <w:sz w:val="44"/>
          <w:szCs w:val="44"/>
        </w:rPr>
        <w:lastRenderedPageBreak/>
        <w:t>S3. Supp. content to main text section "</w:t>
      </w:r>
      <w:r w:rsidRPr="00CB6EBD">
        <w:rPr>
          <w:rFonts w:ascii="Helvetica" w:hAnsi="Helvetica"/>
          <w:sz w:val="44"/>
          <w:szCs w:val="44"/>
          <w:u w:val="single"/>
        </w:rPr>
        <w:t>Enhancers</w:t>
      </w:r>
      <w:r w:rsidRPr="00CB6EBD">
        <w:rPr>
          <w:rFonts w:ascii="Helvetica" w:hAnsi="Helvetica"/>
          <w:sz w:val="44"/>
          <w:szCs w:val="44"/>
        </w:rPr>
        <w:t>"</w:t>
      </w:r>
    </w:p>
    <w:p w14:paraId="550AB58B" w14:textId="77777777" w:rsidR="0077186D" w:rsidRPr="00CB6EBD" w:rsidRDefault="00E47411">
      <w:pPr>
        <w:pStyle w:val="Heading2"/>
        <w:spacing w:before="200" w:after="160"/>
        <w:rPr>
          <w:rFonts w:ascii="Helvetica" w:hAnsi="Helvetica"/>
          <w:sz w:val="28"/>
          <w:szCs w:val="28"/>
        </w:rPr>
      </w:pPr>
      <w:bookmarkStart w:id="23" w:name="_aq8gofcq00tp" w:colFirst="0" w:colLast="0"/>
      <w:bookmarkEnd w:id="23"/>
      <w:r w:rsidRPr="00CB6EBD">
        <w:rPr>
          <w:rFonts w:ascii="Helvetica" w:hAnsi="Helvetica"/>
          <w:sz w:val="28"/>
          <w:szCs w:val="28"/>
        </w:rPr>
        <w:t>S3.1 PsychENCODE ChIP-seq pipeline and processing</w:t>
      </w:r>
    </w:p>
    <w:p w14:paraId="16E37D0D" w14:textId="77777777" w:rsidR="0077186D" w:rsidRDefault="00E47411">
      <w:pPr>
        <w:spacing w:before="0" w:line="240" w:lineRule="auto"/>
        <w:rPr>
          <w:rFonts w:ascii="Times New Roman" w:eastAsia="Times New Roman" w:hAnsi="Times New Roman" w:cs="Times New Roman"/>
          <w:color w:val="24292E"/>
        </w:rPr>
      </w:pPr>
      <w:r>
        <w:rPr>
          <w:rFonts w:ascii="Times New Roman" w:eastAsia="Times New Roman" w:hAnsi="Times New Roman" w:cs="Times New Roman"/>
        </w:rPr>
        <w:t xml:space="preserve">We used the modified parallel version of the ENCODE ChIP-seq pipeline (Fig. S3.1). This </w:t>
      </w:r>
      <w:r>
        <w:rPr>
          <w:rFonts w:ascii="Times New Roman" w:eastAsia="Times New Roman" w:hAnsi="Times New Roman" w:cs="Times New Roman"/>
          <w:color w:val="24292E"/>
        </w:rPr>
        <w:t xml:space="preserve">was improved over the ENCODE pipeline using the workflow system Snakemake for more efficient </w:t>
      </w:r>
      <w:r>
        <w:rPr>
          <w:rFonts w:ascii="Times New Roman" w:eastAsia="Times New Roman" w:hAnsi="Times New Roman" w:cs="Times New Roman"/>
        </w:rPr>
        <w:t>computation (</w:t>
      </w:r>
      <w:hyperlink r:id="rId20">
        <w:r>
          <w:rPr>
            <w:rFonts w:ascii="Times New Roman" w:eastAsia="Times New Roman" w:hAnsi="Times New Roman" w:cs="Times New Roman"/>
            <w:color w:val="1155CC"/>
            <w:u w:val="single"/>
          </w:rPr>
          <w:t>https://github.com/weng-lab/psychip_snakemake</w:t>
        </w:r>
      </w:hyperlink>
      <w:r>
        <w:rPr>
          <w:rFonts w:ascii="Times New Roman" w:eastAsia="Times New Roman" w:hAnsi="Times New Roman" w:cs="Times New Roman"/>
        </w:rPr>
        <w:t>)</w:t>
      </w:r>
      <w:r>
        <w:rPr>
          <w:rFonts w:ascii="Times New Roman" w:eastAsia="Times New Roman" w:hAnsi="Times New Roman" w:cs="Times New Roman"/>
          <w:color w:val="24292E"/>
        </w:rPr>
        <w:t xml:space="preserve">. The original ENCODE pipeline can be found at </w:t>
      </w:r>
      <w:hyperlink r:id="rId21">
        <w:r>
          <w:rPr>
            <w:rFonts w:ascii="Times New Roman" w:eastAsia="Times New Roman" w:hAnsi="Times New Roman" w:cs="Times New Roman"/>
            <w:color w:val="0366D6"/>
            <w:u w:val="single"/>
          </w:rPr>
          <w:t>https://goo.gl/KqHjKH</w:t>
        </w:r>
      </w:hyperlink>
      <w:r>
        <w:rPr>
          <w:rFonts w:ascii="Times New Roman" w:eastAsia="Times New Roman" w:hAnsi="Times New Roman" w:cs="Times New Roman"/>
          <w:color w:val="24292E"/>
        </w:rPr>
        <w:t>. The PsychENCODE ChIP-seq data were processed at the University of Massachusetts and Yale University.</w:t>
      </w:r>
    </w:p>
    <w:p w14:paraId="67534EA2" w14:textId="77777777" w:rsidR="005D59D9" w:rsidRDefault="005D59D9">
      <w:pPr>
        <w:spacing w:before="0" w:line="240" w:lineRule="auto"/>
        <w:rPr>
          <w:rFonts w:ascii="Times New Roman" w:eastAsia="Times New Roman" w:hAnsi="Times New Roman" w:cs="Times New Roman"/>
          <w:color w:val="24292E"/>
        </w:rPr>
      </w:pPr>
    </w:p>
    <w:p w14:paraId="4B192763" w14:textId="71C39EA2" w:rsidR="0077186D" w:rsidRPr="00992D32" w:rsidRDefault="00992D32" w:rsidP="007632D7">
      <w:pPr>
        <w:spacing w:before="0" w:line="240" w:lineRule="auto"/>
        <w:jc w:val="center"/>
        <w:rPr>
          <w:rFonts w:ascii="Times New Roman" w:eastAsia="Times New Roman" w:hAnsi="Times New Roman" w:cs="Times New Roman"/>
          <w:color w:val="24292E"/>
        </w:rPr>
      </w:pPr>
      <w:r>
        <w:rPr>
          <w:rFonts w:ascii="Times New Roman" w:eastAsia="Times New Roman" w:hAnsi="Times New Roman" w:cs="Times New Roman"/>
          <w:noProof/>
          <w:color w:val="24292E"/>
          <w:lang w:val="en-US"/>
        </w:rPr>
        <w:drawing>
          <wp:inline distT="0" distB="0" distL="0" distR="0" wp14:anchorId="19D67E82" wp14:editId="6B900EFB">
            <wp:extent cx="3896487" cy="2843841"/>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_S3.1.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4457" cy="2856956"/>
                    </a:xfrm>
                    <a:prstGeom prst="rect">
                      <a:avLst/>
                    </a:prstGeom>
                  </pic:spPr>
                </pic:pic>
              </a:graphicData>
            </a:graphic>
          </wp:inline>
        </w:drawing>
      </w:r>
    </w:p>
    <w:p w14:paraId="1F08ED63" w14:textId="19E58112"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color w:val="000000"/>
          <w:sz w:val="18"/>
          <w:szCs w:val="18"/>
        </w:rPr>
      </w:pPr>
      <w:r w:rsidRPr="00605DD0">
        <w:rPr>
          <w:rFonts w:ascii="Helvetica" w:eastAsia="Helvetica Neue" w:hAnsi="Helvetica" w:cs="Helvetica Neue"/>
          <w:b/>
          <w:color w:val="000000"/>
          <w:sz w:val="18"/>
          <w:szCs w:val="18"/>
        </w:rPr>
        <w:t xml:space="preserve">Fig. S3.1 PsychENCODE ChIP-seq processing pipeline. </w:t>
      </w:r>
      <w:r w:rsidRPr="00605DD0">
        <w:rPr>
          <w:rFonts w:ascii="Helvetica" w:eastAsia="Helvetica Neue" w:hAnsi="Helvetica" w:cs="Helvetica Neue"/>
          <w:color w:val="000000"/>
          <w:sz w:val="18"/>
          <w:szCs w:val="18"/>
        </w:rPr>
        <w:t>This pipeline flowchart was adapted and modified from the</w:t>
      </w:r>
      <w:r w:rsidRPr="00605DD0">
        <w:rPr>
          <w:rFonts w:ascii="Helvetica" w:eastAsia="Helvetica Neue" w:hAnsi="Helvetica" w:cs="Helvetica Neue"/>
          <w:b/>
          <w:color w:val="000000"/>
          <w:sz w:val="18"/>
          <w:szCs w:val="18"/>
        </w:rPr>
        <w:t xml:space="preserve"> </w:t>
      </w:r>
      <w:r w:rsidRPr="00605DD0">
        <w:rPr>
          <w:rFonts w:ascii="Helvetica" w:eastAsia="Helvetica Neue" w:hAnsi="Helvetica" w:cs="Helvetica Neue"/>
          <w:color w:val="24292E"/>
          <w:sz w:val="18"/>
          <w:szCs w:val="18"/>
        </w:rPr>
        <w:t>ENCODE</w:t>
      </w:r>
      <w:r w:rsidRPr="00605DD0">
        <w:rPr>
          <w:rFonts w:ascii="Helvetica" w:eastAsia="Helvetica Neue" w:hAnsi="Helvetica" w:cs="Helvetica Neue"/>
          <w:b/>
          <w:color w:val="000000"/>
          <w:sz w:val="18"/>
          <w:szCs w:val="18"/>
        </w:rPr>
        <w:t xml:space="preserve"> </w:t>
      </w:r>
      <w:r w:rsidRPr="00605DD0">
        <w:rPr>
          <w:rFonts w:ascii="Helvetica" w:eastAsia="Helvetica Neue" w:hAnsi="Helvetica" w:cs="Helvetica Neue"/>
          <w:color w:val="000000"/>
          <w:sz w:val="18"/>
          <w:szCs w:val="18"/>
        </w:rPr>
        <w:t xml:space="preserve">ChIP-seq </w:t>
      </w:r>
      <w:r w:rsidRPr="00605DD0">
        <w:rPr>
          <w:rFonts w:ascii="Helvetica" w:eastAsia="Helvetica Neue" w:hAnsi="Helvetica" w:cs="Helvetica Neue"/>
          <w:color w:val="24292E"/>
          <w:sz w:val="18"/>
          <w:szCs w:val="18"/>
        </w:rPr>
        <w:t>pipeline (</w:t>
      </w:r>
      <w:hyperlink r:id="rId23">
        <w:r w:rsidRPr="00605DD0">
          <w:rPr>
            <w:rFonts w:ascii="Helvetica" w:eastAsia="Times New Roman" w:hAnsi="Helvetica" w:cs="Times New Roman"/>
            <w:color w:val="0366D6"/>
            <w:sz w:val="18"/>
            <w:szCs w:val="18"/>
            <w:u w:val="single"/>
          </w:rPr>
          <w:t>https://goo.gl/KqHjKH</w:t>
        </w:r>
      </w:hyperlink>
      <w:r w:rsidRPr="00605DD0">
        <w:rPr>
          <w:rFonts w:ascii="Helvetica" w:eastAsia="Helvetica Neue" w:hAnsi="Helvetica" w:cs="Helvetica Neue"/>
          <w:color w:val="24292E"/>
          <w:sz w:val="18"/>
          <w:szCs w:val="18"/>
        </w:rPr>
        <w:t>). FASTQ files were aligned using BWA and the reads were filtered to get only unique mapped reads for peak calling using MACS2. Pseudo-replicates were generated before peak calling for each individual to find robust peaks. NSC, RSC, and PCR bottlenecks were generated for QC.</w:t>
      </w:r>
    </w:p>
    <w:p w14:paraId="3487C270" w14:textId="77777777" w:rsidR="0077186D" w:rsidRPr="00CB6EBD" w:rsidRDefault="00E47411">
      <w:pPr>
        <w:pStyle w:val="Heading2"/>
        <w:spacing w:before="200" w:after="160"/>
        <w:rPr>
          <w:rFonts w:ascii="Helvetica" w:hAnsi="Helvetica"/>
          <w:sz w:val="28"/>
          <w:szCs w:val="28"/>
        </w:rPr>
      </w:pPr>
      <w:bookmarkStart w:id="24" w:name="_mx3d54jqkrpm" w:colFirst="0" w:colLast="0"/>
      <w:bookmarkEnd w:id="24"/>
      <w:r w:rsidRPr="00CB6EBD">
        <w:rPr>
          <w:rFonts w:ascii="Helvetica" w:hAnsi="Helvetica"/>
          <w:sz w:val="28"/>
          <w:szCs w:val="28"/>
        </w:rPr>
        <w:t>S3.2 Epigenomics Roadmap, ENCODE ChIP-seq for identifying regulatory regions</w:t>
      </w:r>
    </w:p>
    <w:p w14:paraId="573B0380"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We incorporated ChIP-seq datasets from the Roadmap Epigenomics Consortium and the ENCODE project in our analysis. To integrate them consistently with the PsychENCODE dataset, ChIP-seq experiments were uniformly processed using the ENCODE standard pipeline (See below, Section S2.3), including alignment, quality control, and peak-calling. Each released experiment consists of the raw sequencing data (in FASTQ) and the processed output, including alignment, signal, and peak files. </w:t>
      </w:r>
    </w:p>
    <w:p w14:paraId="0E0223EA" w14:textId="77777777" w:rsidR="0077186D" w:rsidRDefault="00E47411">
      <w:pPr>
        <w:spacing w:before="0" w:line="240" w:lineRule="auto"/>
        <w:ind w:firstLine="720"/>
        <w:rPr>
          <w:color w:val="000000"/>
          <w:sz w:val="20"/>
          <w:szCs w:val="20"/>
        </w:rPr>
      </w:pPr>
      <w:r>
        <w:rPr>
          <w:rFonts w:ascii="Times New Roman" w:eastAsia="Times New Roman" w:hAnsi="Times New Roman" w:cs="Times New Roman"/>
        </w:rPr>
        <w:t>With the set of uniformly processed ChIP-seq experiments, a comprehensive statistical model was used to generate a registry of candidate regulatory elements (cREs) for major cell lines and tissues (Moore et al., under review). The cREs are based on a combined set of high-quality DHSs. For a particular cell or tissue, z-scores for DNase, H3K4me3, H3K27ac, and CTCF were calculated for these high-quality DHSs. Using the maximum z-score across all cell types and the distance to the nearest TSS, the cREs were classified into promoter-like elements, enhancer-like elements, and regions bound by CTCF only. As described in later sections (S2.6 and S2.10), we used the epigenetics signals of these cREs to annotate enhancers, calculate cQTLs, and perform comparative chromatin signal RCA analysis.</w:t>
      </w:r>
    </w:p>
    <w:p w14:paraId="03287664" w14:textId="77777777" w:rsidR="0077186D" w:rsidRPr="00CB6EBD" w:rsidRDefault="00E47411">
      <w:pPr>
        <w:pStyle w:val="Heading2"/>
        <w:spacing w:before="200" w:after="160"/>
        <w:rPr>
          <w:rFonts w:ascii="Helvetica" w:hAnsi="Helvetica"/>
          <w:sz w:val="28"/>
          <w:szCs w:val="28"/>
        </w:rPr>
      </w:pPr>
      <w:bookmarkStart w:id="25" w:name="_4kd2wvc6c758" w:colFirst="0" w:colLast="0"/>
      <w:bookmarkEnd w:id="25"/>
      <w:r w:rsidRPr="00CB6EBD">
        <w:rPr>
          <w:rFonts w:ascii="Helvetica" w:hAnsi="Helvetica"/>
          <w:sz w:val="28"/>
          <w:szCs w:val="28"/>
        </w:rPr>
        <w:lastRenderedPageBreak/>
        <w:t>S3.3 Activated brain enhancers</w:t>
      </w:r>
    </w:p>
    <w:p w14:paraId="42529E83"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To annotate a set of active enhancers, we uniformly processed the H3K27ac, H3K4me1, and H3K4me3 ChIP-seq data from the reference brain using the standard ENCODE pipeline. We also processed the ATAC-seq data generated on the same reference. Supplemented by the DNase-seq and ChIP-seq data of the </w:t>
      </w:r>
      <w:r>
        <w:rPr>
          <w:rFonts w:ascii="Times New Roman" w:eastAsia="Times New Roman" w:hAnsi="Times New Roman" w:cs="Times New Roman"/>
          <w:color w:val="000000"/>
        </w:rPr>
        <w:t>prefrontal cortex (PFC)</w:t>
      </w:r>
      <w:r>
        <w:rPr>
          <w:rFonts w:ascii="Times New Roman" w:eastAsia="Times New Roman" w:hAnsi="Times New Roman" w:cs="Times New Roman"/>
        </w:rPr>
        <w:t xml:space="preserve"> from the ENCODE and Roadmap Epigenomics projects, we identified 79,056 active enhancers. </w:t>
      </w:r>
      <w:r>
        <w:rPr>
          <w:rFonts w:ascii="Times New Roman" w:eastAsia="Times New Roman" w:hAnsi="Times New Roman" w:cs="Times New Roman"/>
          <w:color w:val="000000"/>
        </w:rPr>
        <w:t>An active enhancer was considered to be in open chromatin regions (ATAC-seq signal or DNase signal Z-score &gt; 1.64), with H3K27ac and H3K4me1 signals (Z-score &gt; 1.64), which are characteristic markers for enhancers. To exclude promoters, we excluded regions with enriched H3K4me3 signals. These identified enhancer regions largely overlapped with ChromHMM enhancer annotations of the PFC (&gt;90%).</w:t>
      </w:r>
    </w:p>
    <w:p w14:paraId="7697ECAB" w14:textId="77777777" w:rsidR="0077186D" w:rsidRDefault="00E47411">
      <w:pPr>
        <w:spacing w:before="0" w:line="240" w:lineRule="auto"/>
        <w:ind w:firstLine="720"/>
        <w:rPr>
          <w:rFonts w:ascii="Times New Roman" w:eastAsia="Times New Roman" w:hAnsi="Times New Roman" w:cs="Times New Roman"/>
          <w:color w:val="000000"/>
        </w:rPr>
      </w:pPr>
      <w:r>
        <w:rPr>
          <w:rFonts w:ascii="Times New Roman" w:eastAsia="Times New Roman" w:hAnsi="Times New Roman" w:cs="Times New Roman"/>
        </w:rPr>
        <w:t xml:space="preserve">We uniformly processed 150 H3K27ac ChIP-seq data from healthy individuals, 50 each from PFC, PC, and CB regions. For each sample, we called H3K27ac peaks using the standard ENCODE ChIP-seq pipeline. The H3K27ac peaks were pooled across the cohort, generating a total of </w:t>
      </w:r>
      <w:r>
        <w:rPr>
          <w:rFonts w:ascii="Times New Roman" w:eastAsia="Times New Roman" w:hAnsi="Times New Roman" w:cs="Times New Roman"/>
          <w:color w:val="000000"/>
        </w:rPr>
        <w:t>37,761 H3K27ac pooled peaks in PFC, 42,683 in TC, and 26,631 in CB.</w:t>
      </w:r>
      <w:r>
        <w:rPr>
          <w:rFonts w:ascii="Times New Roman" w:eastAsia="Times New Roman" w:hAnsi="Times New Roman" w:cs="Times New Roman"/>
        </w:rPr>
        <w:t xml:space="preserve"> Each pooled peak was present in more than half of the samples in its corresponding brain region. </w:t>
      </w:r>
      <w:r>
        <w:rPr>
          <w:rFonts w:ascii="Times New Roman" w:eastAsia="Times New Roman" w:hAnsi="Times New Roman" w:cs="Times New Roman"/>
          <w:color w:val="000000"/>
        </w:rPr>
        <w:t>Note that although the numbers of aggregate peaks were smaller than the number of reference enhancers, they actually covered a larger fraction of the genome, as the average width of H3K27ac peaks was larger than that of reference enhancers.</w:t>
      </w:r>
    </w:p>
    <w:p w14:paraId="0C494637" w14:textId="548B7BE9" w:rsidR="0077186D" w:rsidRDefault="00E47411" w:rsidP="007632D7">
      <w:pPr>
        <w:spacing w:before="0" w:line="24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investigate the enhancer activity across the population, we intersected the set of active enhancers identified in the reference sample with the H3K27ac PFC ChIP-seq peaks in each individual from the cohort. Any H3K27ac peaks intersecting with the reference enhancers were considered to be active enhancers in the corresponding individual. Among the 50 healthy samples, a median of 53,976 (~70%) enhancers from the reference brain were found to be active in the cohort. We also examined the cumulative number of reference enhancers that could be found in the cohort with individuals sorted by the number of overlapping enhancers, as shown in Fig. S3.2. The cumulative number grew fast at the beginning, and saturated at the 20th person of the sorted cohort. Thus, we hypothesize that pooling together the active enhancers of 20 people should recover most of the potential regulatory elements in brain prefrontal cortex. </w:t>
      </w:r>
      <w:r w:rsidR="007632D7">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PsychENCODE enhancer list is available on the website (adult.psychencode.org).</w:t>
      </w:r>
    </w:p>
    <w:p w14:paraId="72176D77" w14:textId="7D9CB38A" w:rsidR="0077186D" w:rsidRDefault="00604D3E" w:rsidP="00604D3E">
      <w:pPr>
        <w:spacing w:before="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drawing>
          <wp:inline distT="0" distB="0" distL="0" distR="0" wp14:anchorId="4297EFF6" wp14:editId="267D33B0">
            <wp:extent cx="2806339" cy="263144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3.2.pdf"/>
                    <pic:cNvPicPr/>
                  </pic:nvPicPr>
                  <pic:blipFill>
                    <a:blip r:embed="rId24">
                      <a:extLst>
                        <a:ext uri="{28A0092B-C50C-407E-A947-70E740481C1C}">
                          <a14:useLocalDpi xmlns:a14="http://schemas.microsoft.com/office/drawing/2010/main" val="0"/>
                        </a:ext>
                      </a:extLst>
                    </a:blip>
                    <a:stretch>
                      <a:fillRect/>
                    </a:stretch>
                  </pic:blipFill>
                  <pic:spPr>
                    <a:xfrm>
                      <a:off x="0" y="0"/>
                      <a:ext cx="2818513" cy="2642855"/>
                    </a:xfrm>
                    <a:prstGeom prst="rect">
                      <a:avLst/>
                    </a:prstGeom>
                  </pic:spPr>
                </pic:pic>
              </a:graphicData>
            </a:graphic>
          </wp:inline>
        </w:drawing>
      </w:r>
    </w:p>
    <w:p w14:paraId="07CF64FF" w14:textId="77777777" w:rsidR="0077186D" w:rsidRPr="00605DD0" w:rsidRDefault="00E47411">
      <w:pPr>
        <w:pBdr>
          <w:top w:val="single" w:sz="8" w:space="2" w:color="000000"/>
          <w:left w:val="single" w:sz="8" w:space="2" w:color="000000"/>
          <w:bottom w:val="single" w:sz="8" w:space="2" w:color="000000"/>
          <w:right w:val="single" w:sz="8" w:space="2" w:color="000000"/>
          <w:between w:val="single" w:sz="8" w:space="2" w:color="000000"/>
        </w:pBdr>
        <w:spacing w:before="80" w:after="120" w:line="240" w:lineRule="auto"/>
        <w:rPr>
          <w:rFonts w:ascii="Helvetica" w:eastAsia="Helvetica Neue" w:hAnsi="Helvetica" w:cs="Helvetica Neue"/>
          <w:color w:val="000000"/>
          <w:sz w:val="18"/>
          <w:szCs w:val="18"/>
        </w:rPr>
      </w:pPr>
      <w:r w:rsidRPr="00605DD0">
        <w:rPr>
          <w:rFonts w:ascii="Helvetica" w:eastAsia="Helvetica Neue" w:hAnsi="Helvetica" w:cs="Helvetica Neue"/>
          <w:b/>
          <w:color w:val="000000"/>
          <w:sz w:val="18"/>
          <w:szCs w:val="18"/>
        </w:rPr>
        <w:t xml:space="preserve">Fig. S3.2 Active reference brain enhancers in the population. </w:t>
      </w:r>
      <w:r w:rsidRPr="00605DD0">
        <w:rPr>
          <w:rFonts w:ascii="Helvetica" w:eastAsia="Helvetica Neue" w:hAnsi="Helvetica" w:cs="Helvetica Neue"/>
          <w:color w:val="000000"/>
          <w:sz w:val="18"/>
          <w:szCs w:val="18"/>
        </w:rPr>
        <w:t>The dotted line shows the cumulative number of identified reference sample enhancers in the cohort, which saturates at the 20th individual from the sorted cohort. The boxplot shows the number of identified reference enhancers found active in each individual, with the lower and the upper boundaries of the box showing the first and the third quantiles.</w:t>
      </w:r>
    </w:p>
    <w:p w14:paraId="3A623A5E" w14:textId="77777777" w:rsidR="0077186D" w:rsidRPr="00CB6EBD" w:rsidRDefault="00E47411">
      <w:pPr>
        <w:pStyle w:val="Heading1"/>
        <w:spacing w:before="200" w:after="280" w:line="276" w:lineRule="auto"/>
        <w:rPr>
          <w:rFonts w:ascii="Helvetica" w:hAnsi="Helvetica"/>
          <w:sz w:val="44"/>
          <w:szCs w:val="44"/>
        </w:rPr>
      </w:pPr>
      <w:bookmarkStart w:id="26" w:name="_h4fef739rh01" w:colFirst="0" w:colLast="0"/>
      <w:bookmarkEnd w:id="26"/>
      <w:r w:rsidRPr="00CB6EBD">
        <w:rPr>
          <w:rFonts w:ascii="Helvetica" w:hAnsi="Helvetica"/>
          <w:sz w:val="44"/>
          <w:szCs w:val="44"/>
        </w:rPr>
        <w:lastRenderedPageBreak/>
        <w:t>S4. Supp. content to main text section "</w:t>
      </w:r>
      <w:r w:rsidRPr="00CB6EBD">
        <w:rPr>
          <w:rFonts w:ascii="Helvetica" w:hAnsi="Helvetica"/>
          <w:sz w:val="44"/>
          <w:szCs w:val="44"/>
          <w:u w:val="single"/>
        </w:rPr>
        <w:t>Consistent comparison</w:t>
      </w:r>
      <w:r w:rsidRPr="00CB6EBD">
        <w:rPr>
          <w:rFonts w:ascii="Helvetica" w:hAnsi="Helvetica"/>
          <w:sz w:val="44"/>
          <w:szCs w:val="44"/>
        </w:rPr>
        <w:t>"</w:t>
      </w:r>
    </w:p>
    <w:p w14:paraId="6565F6AC" w14:textId="77777777" w:rsidR="0077186D" w:rsidRPr="00CB6EBD" w:rsidRDefault="00E47411">
      <w:pPr>
        <w:pStyle w:val="Heading2"/>
        <w:spacing w:before="200" w:after="160"/>
        <w:rPr>
          <w:rFonts w:ascii="Helvetica" w:hAnsi="Helvetica"/>
          <w:sz w:val="28"/>
          <w:szCs w:val="28"/>
        </w:rPr>
      </w:pPr>
      <w:bookmarkStart w:id="27" w:name="_mcvt6eiy7p8j" w:colFirst="0" w:colLast="0"/>
      <w:bookmarkEnd w:id="27"/>
      <w:r w:rsidRPr="00CB6EBD">
        <w:rPr>
          <w:rFonts w:ascii="Helvetica" w:hAnsi="Helvetica"/>
          <w:sz w:val="28"/>
          <w:szCs w:val="28"/>
        </w:rPr>
        <w:t>S4.1 Spectral analytic approaches (PCA, tSNE, RCA) to compare transcriptomic and epigenomic data across brain and other tissues</w:t>
      </w:r>
    </w:p>
    <w:p w14:paraId="13B50C1D" w14:textId="45E2658D"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One key aspect of our analysis is that we, as consistently as possible, processed the transcriptomic and epigenomic data from PEC, GTEx (GTEx Consortium, 2017), and the Epigenetic Roadmap (Kundaje et al., 2015). This approach allowed us to compare the brain to other organs in a consistent fashion to assess if the human brain has unique gene expression and chromatin activities. This comparison could not be achieved without such a large-scale uniform data processing. We attempted several methods for an appropriate comparison; in particular, we used methods to reduce the dimensionality of genes or enhancers to compare the underlying structure of brain and other tissues. PCA and t-SNE are two popular techniques, but PCA tends to capture global structures, ignoring most of the local structure, but be overly influenced by data outliers (Johnstone et al., 2009). In contrast, t-SNE tends to separate samples from the same tissue so that the cluster distances on the t-SNE space are not proportional to real gene expression dissimilarities, and thus does not give a sense of overall effects (Maaten et al., 2008). As an alternative, we found another very useful technique to be reference component analysis (RCA), which projects the gene expression in an individual sample against a reference panel, and then essentially reduces dimensionality of individual projections (Li et al., 2017). Moreover, as shown in Fig. 3E, all the brain tissue samples from the different projects tend to </w:t>
      </w:r>
      <w:r w:rsidR="00206B4E">
        <w:rPr>
          <w:rFonts w:ascii="Times New Roman" w:eastAsia="Times New Roman" w:hAnsi="Times New Roman" w:cs="Times New Roman"/>
        </w:rPr>
        <w:t>group</w:t>
      </w:r>
      <w:r>
        <w:rPr>
          <w:rFonts w:ascii="Times New Roman" w:eastAsia="Times New Roman" w:hAnsi="Times New Roman" w:cs="Times New Roman"/>
        </w:rPr>
        <w:t xml:space="preserve"> together, which is a consequence of our uniform processing.</w:t>
      </w:r>
    </w:p>
    <w:p w14:paraId="239E7008"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In order to perform an RCA analysis, we first built a reference gene expression panel based on GTEx, which consisted of the average expression of genes across a panel of tissues. To select the genes in this panel, we searched for expression outliers (i.e., genes for which at least one sample had a delta log10(rpkm) higher than 1). This yielded 4,162 coding and non-coding genes in the reference panel. The average expression level for these genes was extracted from the GTEx v6 average expression file. We next used the gene expression from uniformly processed PsychENCODE and GTEx samples and selected only the 4,162 genes in the reference panel. We then calculated the correlation between each sample x reference tissue pair and built a correlation matrix.</w:t>
      </w:r>
    </w:p>
    <w:p w14:paraId="103C9EED"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Finally, to extract structures from the dataset, we performed PCA on the correlation matrix. Median sample was defined as the median PC1 and PC2. In order to account for sample variance within tissues, we fit the PC1 and PC2 to a multivariable Gaussian distribution and plotted the ellipse defined by median PC1, PC2, with width and height equal to one standard deviation in PC1 and PC2 space, respectively. We calculated the distances between tissues and samples. Overall, the distance of the brain centroid to other tissues was approximately one order of magnitude higher than the distance between brain samples. Distance was calculated using Euclidean distance on RCA space (Fig. S4.1, Table S4.1, and S4.2). </w:t>
      </w:r>
    </w:p>
    <w:p w14:paraId="00A9B089"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In order to assess which genes were responsible for differences in RCA PC1, we simulated RNA-seq samples with a step function equal to discrete changes in gene expression. For each step, we selected the gene representing the biggest change in the PC1 dimension. We simulated 5,253 steps (Fig. S4.2; the path is represented by the dark like moving from the brain to other tissues). In total 1,226 gene were selected multiple times as the biggest change in the PC1 dimension. Selecting top-ranked genes and performing Reactome term enrichment analysis with Panther resulted in enrichment for brain pathways.</w:t>
      </w:r>
      <w:r>
        <w:rPr>
          <w:rFonts w:ascii="Times New Roman" w:eastAsia="Times New Roman" w:hAnsi="Times New Roman" w:cs="Times New Roman"/>
        </w:rPr>
        <w:tab/>
      </w:r>
    </w:p>
    <w:p w14:paraId="08E6215C"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Similar to the transcriptome RCA analysis, we built a reference panel using H3K27ac signals overlapping CREs as previously defined. For reference tissues, we used uniformly processed Epigenome RoadMap samples and calculated the average H3K27ac signals across CREs. We further filtered outlier CREs to select informative CREs. Similar to the transcriptome analysis, we selected CREs with average signal across the CRE higher than 0.1 from 40 tissues. That filter yielded 5,506 reference CREs. We calculated the correlation between each sample and the reference tissue pair, built a correlation matrix, </w:t>
      </w:r>
      <w:r>
        <w:rPr>
          <w:rFonts w:ascii="Times New Roman" w:eastAsia="Times New Roman" w:hAnsi="Times New Roman" w:cs="Times New Roman"/>
        </w:rPr>
        <w:lastRenderedPageBreak/>
        <w:t>and performed PCA analysis at the correlation space. Median and ellipses were calculated as described above. To remove batch effects from H3K27Ac, we used well-established methods. First, we computed the PCA in the RCA space and selected the first principal component; indeed, most of the variance in the first component was derived from experimental differences. In order to consistently compare the transcriptome and epigenome, we selected tissues on roadmap that were also represented in the transcriptome RCA analysis. Namely, we used roadmap_brain, esophagus, liver, lung, pancreas, spleen, and uterus. We also performed a PCA analysis for these samples (Fig. S4.3).</w:t>
      </w:r>
    </w:p>
    <w:p w14:paraId="7F9A72A1" w14:textId="77777777" w:rsidR="0077186D" w:rsidRDefault="0077186D" w:rsidP="00604D3E">
      <w:pPr>
        <w:spacing w:before="0" w:line="240" w:lineRule="auto"/>
        <w:rPr>
          <w:rFonts w:ascii="Times New Roman" w:eastAsia="Times New Roman" w:hAnsi="Times New Roman" w:cs="Times New Roman"/>
        </w:rPr>
      </w:pPr>
    </w:p>
    <w:p w14:paraId="0ED43DCE" w14:textId="0705E447" w:rsidR="0077186D" w:rsidRDefault="00604D3E" w:rsidP="007632D7">
      <w:pPr>
        <w:spacing w:before="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584A7858" wp14:editId="1D27F118">
            <wp:extent cx="4345940" cy="4345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4.1 RCA distances.pdf"/>
                    <pic:cNvPicPr/>
                  </pic:nvPicPr>
                  <pic:blipFill>
                    <a:blip r:embed="rId25">
                      <a:extLst>
                        <a:ext uri="{28A0092B-C50C-407E-A947-70E740481C1C}">
                          <a14:useLocalDpi xmlns:a14="http://schemas.microsoft.com/office/drawing/2010/main" val="0"/>
                        </a:ext>
                      </a:extLst>
                    </a:blip>
                    <a:stretch>
                      <a:fillRect/>
                    </a:stretch>
                  </pic:blipFill>
                  <pic:spPr>
                    <a:xfrm>
                      <a:off x="0" y="0"/>
                      <a:ext cx="4345940" cy="4345940"/>
                    </a:xfrm>
                    <a:prstGeom prst="rect">
                      <a:avLst/>
                    </a:prstGeom>
                  </pic:spPr>
                </pic:pic>
              </a:graphicData>
            </a:graphic>
          </wp:inline>
        </w:drawing>
      </w:r>
    </w:p>
    <w:p w14:paraId="08133C82" w14:textId="77777777" w:rsidR="007632D7" w:rsidRDefault="007632D7" w:rsidP="007632D7">
      <w:pPr>
        <w:spacing w:before="0" w:line="240" w:lineRule="auto"/>
        <w:jc w:val="center"/>
        <w:rPr>
          <w:rFonts w:ascii="Times New Roman" w:eastAsia="Times New Roman" w:hAnsi="Times New Roman" w:cs="Times New Roman"/>
        </w:rPr>
      </w:pPr>
    </w:p>
    <w:p w14:paraId="6504E9FE" w14:textId="5E0F0025" w:rsidR="007632D7" w:rsidRDefault="007632D7" w:rsidP="007632D7">
      <w:pPr>
        <w:spacing w:before="0" w:line="240" w:lineRule="auto"/>
        <w:rPr>
          <w:rFonts w:ascii="Times New Roman" w:eastAsia="Times New Roman" w:hAnsi="Times New Roman" w:cs="Times New Roman"/>
        </w:rPr>
      </w:pPr>
    </w:p>
    <w:p w14:paraId="4C49959D" w14:textId="77777777" w:rsidR="007632D7" w:rsidRDefault="007632D7" w:rsidP="007632D7">
      <w:pPr>
        <w:spacing w:before="0" w:line="240" w:lineRule="auto"/>
        <w:rPr>
          <w:rFonts w:ascii="Times New Roman" w:eastAsia="Times New Roman" w:hAnsi="Times New Roman" w:cs="Times New Roman"/>
        </w:rPr>
      </w:pPr>
    </w:p>
    <w:p w14:paraId="3DFD973B" w14:textId="77777777" w:rsidR="007632D7" w:rsidRDefault="007632D7" w:rsidP="007632D7">
      <w:pPr>
        <w:spacing w:before="0" w:line="240" w:lineRule="auto"/>
        <w:jc w:val="center"/>
        <w:rPr>
          <w:rFonts w:ascii="Times New Roman" w:eastAsia="Times New Roman" w:hAnsi="Times New Roman" w:cs="Times New Roman"/>
        </w:rPr>
      </w:pPr>
    </w:p>
    <w:p w14:paraId="4056628B" w14:textId="1C6B0037" w:rsidR="007632D7" w:rsidRPr="00605DD0" w:rsidRDefault="007632D7" w:rsidP="007632D7">
      <w:pPr>
        <w:pBdr>
          <w:top w:val="single" w:sz="4" w:space="2" w:color="000000"/>
          <w:left w:val="single" w:sz="4" w:space="2" w:color="000000"/>
          <w:bottom w:val="single" w:sz="4" w:space="2" w:color="000000"/>
          <w:right w:val="single" w:sz="4" w:space="2" w:color="000000"/>
        </w:pBdr>
        <w:spacing w:before="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S4.1 Distances between brain to other tissues centroids. </w:t>
      </w:r>
      <w:r w:rsidRPr="00605DD0">
        <w:rPr>
          <w:rFonts w:ascii="Helvetica" w:eastAsia="Helvetica Neue" w:hAnsi="Helvetica" w:cs="Helvetica Neue"/>
          <w:sz w:val="18"/>
          <w:szCs w:val="18"/>
        </w:rPr>
        <w:t>Transcriptome RCA plot as in Fig. 3. Brain samples’ distributions are displayed in green and orange. Other tissues are shown in red. Euclidean distance was calculated between all centroids (Table S4.1) and normalized by the median brain distance (Table S4.2).</w:t>
      </w:r>
    </w:p>
    <w:p w14:paraId="3294A324" w14:textId="77777777" w:rsidR="007632D7" w:rsidRDefault="007632D7" w:rsidP="007632D7">
      <w:pPr>
        <w:spacing w:before="0" w:line="240" w:lineRule="auto"/>
        <w:jc w:val="center"/>
        <w:rPr>
          <w:rFonts w:ascii="Times New Roman" w:eastAsia="Times New Roman" w:hAnsi="Times New Roman" w:cs="Times New Roman"/>
        </w:rPr>
      </w:pPr>
    </w:p>
    <w:p w14:paraId="0B4377DE" w14:textId="77777777" w:rsidR="007632D7" w:rsidRDefault="007632D7" w:rsidP="007632D7">
      <w:pPr>
        <w:spacing w:before="0" w:line="240" w:lineRule="auto"/>
        <w:jc w:val="center"/>
        <w:rPr>
          <w:rFonts w:ascii="Times New Roman" w:eastAsia="Times New Roman" w:hAnsi="Times New Roman" w:cs="Times New Roman"/>
        </w:rPr>
      </w:pPr>
    </w:p>
    <w:p w14:paraId="365A46AE" w14:textId="77777777" w:rsidR="007632D7" w:rsidRDefault="007632D7" w:rsidP="007632D7">
      <w:pPr>
        <w:spacing w:before="0" w:line="240" w:lineRule="auto"/>
        <w:jc w:val="center"/>
        <w:rPr>
          <w:rFonts w:ascii="Times New Roman" w:eastAsia="Times New Roman" w:hAnsi="Times New Roman" w:cs="Times New Roman"/>
        </w:rPr>
      </w:pPr>
    </w:p>
    <w:p w14:paraId="449F7B30" w14:textId="77777777" w:rsidR="007632D7" w:rsidRDefault="007632D7" w:rsidP="007632D7">
      <w:pPr>
        <w:spacing w:before="0" w:line="240" w:lineRule="auto"/>
        <w:jc w:val="center"/>
        <w:rPr>
          <w:rFonts w:ascii="Times New Roman" w:eastAsia="Times New Roman" w:hAnsi="Times New Roman" w:cs="Times New Roman"/>
        </w:rPr>
      </w:pPr>
    </w:p>
    <w:p w14:paraId="3545C897" w14:textId="77777777" w:rsidR="007632D7" w:rsidRDefault="007632D7" w:rsidP="007632D7">
      <w:pPr>
        <w:spacing w:before="0" w:line="240" w:lineRule="auto"/>
        <w:jc w:val="center"/>
        <w:rPr>
          <w:rFonts w:ascii="Times New Roman" w:eastAsia="Times New Roman" w:hAnsi="Times New Roman" w:cs="Times New Roman"/>
        </w:rPr>
      </w:pPr>
    </w:p>
    <w:p w14:paraId="54CA0A95" w14:textId="77777777" w:rsidR="007632D7" w:rsidRDefault="007632D7" w:rsidP="007632D7">
      <w:pPr>
        <w:spacing w:before="0" w:line="240" w:lineRule="auto"/>
        <w:jc w:val="center"/>
        <w:rPr>
          <w:rFonts w:ascii="Times New Roman" w:eastAsia="Times New Roman" w:hAnsi="Times New Roman" w:cs="Times New Roman"/>
        </w:rPr>
      </w:pPr>
    </w:p>
    <w:p w14:paraId="6604E3E6" w14:textId="77777777" w:rsidR="007632D7" w:rsidRDefault="007632D7" w:rsidP="007632D7">
      <w:pPr>
        <w:spacing w:before="0" w:line="240" w:lineRule="auto"/>
        <w:jc w:val="center"/>
        <w:rPr>
          <w:rFonts w:ascii="Times New Roman" w:eastAsia="Times New Roman" w:hAnsi="Times New Roman" w:cs="Times New Roman"/>
        </w:rPr>
      </w:pPr>
    </w:p>
    <w:p w14:paraId="64A7CC5D" w14:textId="77777777" w:rsidR="007632D7" w:rsidRDefault="007632D7" w:rsidP="007632D7">
      <w:pPr>
        <w:spacing w:before="0" w:line="240" w:lineRule="auto"/>
        <w:jc w:val="center"/>
        <w:rPr>
          <w:rFonts w:ascii="Times New Roman" w:eastAsia="Times New Roman" w:hAnsi="Times New Roman" w:cs="Times New Roman"/>
        </w:rPr>
      </w:pPr>
    </w:p>
    <w:p w14:paraId="1457F583" w14:textId="77777777" w:rsidR="007632D7" w:rsidRDefault="007632D7" w:rsidP="007632D7">
      <w:pPr>
        <w:spacing w:before="0" w:line="240" w:lineRule="auto"/>
        <w:jc w:val="center"/>
        <w:rPr>
          <w:rFonts w:ascii="Times New Roman" w:eastAsia="Times New Roman" w:hAnsi="Times New Roman" w:cs="Times New Roman"/>
        </w:rPr>
      </w:pPr>
    </w:p>
    <w:p w14:paraId="0D726162" w14:textId="77777777" w:rsidR="007632D7" w:rsidRDefault="007632D7" w:rsidP="007632D7">
      <w:pPr>
        <w:spacing w:before="0" w:line="240" w:lineRule="auto"/>
        <w:jc w:val="center"/>
        <w:rPr>
          <w:rFonts w:ascii="Times New Roman" w:eastAsia="Times New Roman" w:hAnsi="Times New Roman" w:cs="Times New Roman"/>
        </w:rPr>
      </w:pPr>
    </w:p>
    <w:p w14:paraId="780EA851" w14:textId="77777777" w:rsidR="007632D7" w:rsidRDefault="007632D7" w:rsidP="007632D7">
      <w:pPr>
        <w:spacing w:before="0" w:line="240" w:lineRule="auto"/>
        <w:jc w:val="center"/>
        <w:rPr>
          <w:rFonts w:ascii="Times New Roman" w:eastAsia="Times New Roman" w:hAnsi="Times New Roman" w:cs="Times New Roman"/>
        </w:rPr>
      </w:pPr>
    </w:p>
    <w:p w14:paraId="655C22B6" w14:textId="77777777" w:rsidR="007632D7" w:rsidRDefault="007632D7" w:rsidP="007632D7">
      <w:pPr>
        <w:spacing w:before="0" w:line="240" w:lineRule="auto"/>
        <w:jc w:val="center"/>
        <w:rPr>
          <w:rFonts w:ascii="Times New Roman" w:eastAsia="Times New Roman" w:hAnsi="Times New Roman" w:cs="Times New Roman"/>
        </w:rPr>
      </w:pPr>
    </w:p>
    <w:p w14:paraId="1AAC808D" w14:textId="77777777" w:rsidR="007632D7" w:rsidRDefault="007632D7" w:rsidP="007632D7">
      <w:pPr>
        <w:spacing w:before="0" w:line="240" w:lineRule="auto"/>
        <w:jc w:val="center"/>
        <w:rPr>
          <w:rFonts w:ascii="Times New Roman" w:eastAsia="Times New Roman" w:hAnsi="Times New Roman" w:cs="Times New Roman"/>
        </w:rPr>
      </w:pPr>
    </w:p>
    <w:p w14:paraId="66CC724B" w14:textId="77777777" w:rsidR="007632D7" w:rsidRPr="007632D7" w:rsidRDefault="007632D7" w:rsidP="007632D7">
      <w:pPr>
        <w:spacing w:before="0" w:line="240" w:lineRule="auto"/>
        <w:jc w:val="center"/>
        <w:rPr>
          <w:rFonts w:ascii="Times New Roman" w:eastAsia="Times New Roman" w:hAnsi="Times New Roman" w:cs="Times New Roman"/>
        </w:rPr>
      </w:pPr>
    </w:p>
    <w:tbl>
      <w:tblPr>
        <w:tblStyle w:val="a1"/>
        <w:tblW w:w="924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230"/>
        <w:gridCol w:w="510"/>
        <w:gridCol w:w="870"/>
        <w:gridCol w:w="1125"/>
        <w:gridCol w:w="630"/>
        <w:gridCol w:w="720"/>
        <w:gridCol w:w="795"/>
        <w:gridCol w:w="1035"/>
        <w:gridCol w:w="1215"/>
        <w:gridCol w:w="1110"/>
      </w:tblGrid>
      <w:tr w:rsidR="0077186D" w14:paraId="7F1A97CB"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53C71C" w14:textId="77777777" w:rsidR="007632D7" w:rsidRDefault="007632D7">
            <w:pPr>
              <w:widowControl w:val="0"/>
              <w:spacing w:before="0" w:line="276" w:lineRule="auto"/>
              <w:rPr>
                <w:rFonts w:ascii="Arial" w:eastAsia="Arial" w:hAnsi="Arial" w:cs="Arial"/>
                <w:color w:val="000000"/>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0A795D"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PEC</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DED481"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Adipose</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8B2C09"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Esophagus</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52093"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Liver</w:t>
            </w: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5F6FEF"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Lung</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55F711"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Nerve</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F43FD0"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Pancreas</w:t>
            </w: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0D320"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Spleen</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F02DD2"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Uterus</w:t>
            </w:r>
          </w:p>
        </w:tc>
      </w:tr>
      <w:tr w:rsidR="0077186D" w14:paraId="11243B0A"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3E4407"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PEC</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C48EFF"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E86EE" w14:textId="77777777" w:rsidR="0077186D" w:rsidRDefault="0077186D">
            <w:pPr>
              <w:widowControl w:val="0"/>
              <w:spacing w:before="0" w:line="276" w:lineRule="auto"/>
              <w:rPr>
                <w:rFonts w:ascii="Arial" w:eastAsia="Arial" w:hAnsi="Arial" w:cs="Arial"/>
                <w:color w:val="000000"/>
                <w:sz w:val="20"/>
                <w:szCs w:val="20"/>
              </w:rPr>
            </w:pP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B3E70" w14:textId="77777777" w:rsidR="0077186D" w:rsidRDefault="0077186D">
            <w:pPr>
              <w:widowControl w:val="0"/>
              <w:spacing w:before="0" w:line="276" w:lineRule="auto"/>
              <w:rPr>
                <w:rFonts w:ascii="Arial" w:eastAsia="Arial" w:hAnsi="Arial" w:cs="Arial"/>
                <w:color w:val="000000"/>
                <w:sz w:val="20"/>
                <w:szCs w:val="20"/>
              </w:rPr>
            </w:pP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1747B2" w14:textId="77777777" w:rsidR="0077186D" w:rsidRDefault="0077186D">
            <w:pPr>
              <w:widowControl w:val="0"/>
              <w:spacing w:before="0" w:line="276" w:lineRule="auto"/>
              <w:rPr>
                <w:rFonts w:ascii="Arial" w:eastAsia="Arial" w:hAnsi="Arial" w:cs="Arial"/>
                <w:color w:val="000000"/>
                <w:sz w:val="20"/>
                <w:szCs w:val="20"/>
              </w:rPr>
            </w:pP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65EFD" w14:textId="77777777" w:rsidR="0077186D" w:rsidRDefault="0077186D">
            <w:pPr>
              <w:widowControl w:val="0"/>
              <w:spacing w:before="0" w:line="276" w:lineRule="auto"/>
              <w:rPr>
                <w:rFonts w:ascii="Arial" w:eastAsia="Arial" w:hAnsi="Arial" w:cs="Arial"/>
                <w:color w:val="000000"/>
                <w:sz w:val="20"/>
                <w:szCs w:val="20"/>
              </w:rPr>
            </w:pP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16FC41" w14:textId="77777777" w:rsidR="0077186D" w:rsidRDefault="0077186D">
            <w:pPr>
              <w:widowControl w:val="0"/>
              <w:spacing w:before="0" w:line="276" w:lineRule="auto"/>
              <w:rPr>
                <w:rFonts w:ascii="Arial" w:eastAsia="Arial" w:hAnsi="Arial" w:cs="Arial"/>
                <w:color w:val="000000"/>
                <w:sz w:val="20"/>
                <w:szCs w:val="20"/>
              </w:rPr>
            </w:pP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D83CA1" w14:textId="77777777" w:rsidR="0077186D" w:rsidRDefault="0077186D">
            <w:pPr>
              <w:widowControl w:val="0"/>
              <w:spacing w:before="0" w:line="276" w:lineRule="auto"/>
              <w:rPr>
                <w:rFonts w:ascii="Arial" w:eastAsia="Arial" w:hAnsi="Arial" w:cs="Arial"/>
                <w:color w:val="000000"/>
                <w:sz w:val="20"/>
                <w:szCs w:val="20"/>
              </w:rPr>
            </w:pP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ABF6E"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AEE216" w14:textId="77777777" w:rsidR="0077186D" w:rsidRDefault="0077186D">
            <w:pPr>
              <w:widowControl w:val="0"/>
              <w:spacing w:before="0" w:line="276" w:lineRule="auto"/>
              <w:rPr>
                <w:rFonts w:ascii="Arial" w:eastAsia="Arial" w:hAnsi="Arial" w:cs="Arial"/>
                <w:color w:val="000000"/>
                <w:sz w:val="20"/>
                <w:szCs w:val="20"/>
              </w:rPr>
            </w:pPr>
          </w:p>
        </w:tc>
      </w:tr>
      <w:tr w:rsidR="0077186D" w14:paraId="6F2D37D4"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F9A854"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Adipose</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BB731C"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4.32</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3BD5C9"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546F9" w14:textId="77777777" w:rsidR="0077186D" w:rsidRDefault="0077186D">
            <w:pPr>
              <w:widowControl w:val="0"/>
              <w:spacing w:before="0" w:line="276" w:lineRule="auto"/>
              <w:rPr>
                <w:rFonts w:ascii="Arial" w:eastAsia="Arial" w:hAnsi="Arial" w:cs="Arial"/>
                <w:color w:val="000000"/>
                <w:sz w:val="20"/>
                <w:szCs w:val="20"/>
              </w:rPr>
            </w:pP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00BF2F" w14:textId="77777777" w:rsidR="0077186D" w:rsidRDefault="0077186D">
            <w:pPr>
              <w:widowControl w:val="0"/>
              <w:spacing w:before="0" w:line="276" w:lineRule="auto"/>
              <w:rPr>
                <w:rFonts w:ascii="Arial" w:eastAsia="Arial" w:hAnsi="Arial" w:cs="Arial"/>
                <w:color w:val="000000"/>
                <w:sz w:val="20"/>
                <w:szCs w:val="20"/>
              </w:rPr>
            </w:pP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34A29" w14:textId="77777777" w:rsidR="0077186D" w:rsidRDefault="0077186D">
            <w:pPr>
              <w:widowControl w:val="0"/>
              <w:spacing w:before="0" w:line="276" w:lineRule="auto"/>
              <w:rPr>
                <w:rFonts w:ascii="Arial" w:eastAsia="Arial" w:hAnsi="Arial" w:cs="Arial"/>
                <w:color w:val="000000"/>
                <w:sz w:val="20"/>
                <w:szCs w:val="20"/>
              </w:rPr>
            </w:pP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0E9CD" w14:textId="77777777" w:rsidR="0077186D" w:rsidRDefault="0077186D">
            <w:pPr>
              <w:widowControl w:val="0"/>
              <w:spacing w:before="0" w:line="276" w:lineRule="auto"/>
              <w:rPr>
                <w:rFonts w:ascii="Arial" w:eastAsia="Arial" w:hAnsi="Arial" w:cs="Arial"/>
                <w:color w:val="000000"/>
                <w:sz w:val="20"/>
                <w:szCs w:val="20"/>
              </w:rPr>
            </w:pP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862E52" w14:textId="77777777" w:rsidR="0077186D" w:rsidRDefault="0077186D">
            <w:pPr>
              <w:widowControl w:val="0"/>
              <w:spacing w:before="0" w:line="276" w:lineRule="auto"/>
              <w:rPr>
                <w:rFonts w:ascii="Arial" w:eastAsia="Arial" w:hAnsi="Arial" w:cs="Arial"/>
                <w:color w:val="000000"/>
                <w:sz w:val="20"/>
                <w:szCs w:val="20"/>
              </w:rPr>
            </w:pP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ABD941"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BA67CF" w14:textId="77777777" w:rsidR="0077186D" w:rsidRDefault="0077186D">
            <w:pPr>
              <w:widowControl w:val="0"/>
              <w:spacing w:before="0" w:line="276" w:lineRule="auto"/>
              <w:rPr>
                <w:rFonts w:ascii="Arial" w:eastAsia="Arial" w:hAnsi="Arial" w:cs="Arial"/>
                <w:color w:val="000000"/>
                <w:sz w:val="20"/>
                <w:szCs w:val="20"/>
              </w:rPr>
            </w:pPr>
          </w:p>
        </w:tc>
      </w:tr>
      <w:tr w:rsidR="0077186D" w14:paraId="13FC2195"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C3B2BB"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Esophagus</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AC8D5E"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4.01</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B83C65"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0.56</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F1C215"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AFA634" w14:textId="77777777" w:rsidR="0077186D" w:rsidRDefault="0077186D">
            <w:pPr>
              <w:widowControl w:val="0"/>
              <w:spacing w:before="0" w:line="276" w:lineRule="auto"/>
              <w:rPr>
                <w:rFonts w:ascii="Arial" w:eastAsia="Arial" w:hAnsi="Arial" w:cs="Arial"/>
                <w:color w:val="000000"/>
                <w:sz w:val="20"/>
                <w:szCs w:val="20"/>
              </w:rPr>
            </w:pP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87D50E" w14:textId="77777777" w:rsidR="0077186D" w:rsidRDefault="0077186D">
            <w:pPr>
              <w:widowControl w:val="0"/>
              <w:spacing w:before="0" w:line="276" w:lineRule="auto"/>
              <w:rPr>
                <w:rFonts w:ascii="Arial" w:eastAsia="Arial" w:hAnsi="Arial" w:cs="Arial"/>
                <w:color w:val="000000"/>
                <w:sz w:val="20"/>
                <w:szCs w:val="20"/>
              </w:rPr>
            </w:pP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0574D2" w14:textId="77777777" w:rsidR="0077186D" w:rsidRDefault="0077186D">
            <w:pPr>
              <w:widowControl w:val="0"/>
              <w:spacing w:before="0" w:line="276" w:lineRule="auto"/>
              <w:rPr>
                <w:rFonts w:ascii="Arial" w:eastAsia="Arial" w:hAnsi="Arial" w:cs="Arial"/>
                <w:color w:val="000000"/>
                <w:sz w:val="20"/>
                <w:szCs w:val="20"/>
              </w:rPr>
            </w:pP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5F6425" w14:textId="77777777" w:rsidR="0077186D" w:rsidRDefault="0077186D">
            <w:pPr>
              <w:widowControl w:val="0"/>
              <w:spacing w:before="0" w:line="276" w:lineRule="auto"/>
              <w:rPr>
                <w:rFonts w:ascii="Arial" w:eastAsia="Arial" w:hAnsi="Arial" w:cs="Arial"/>
                <w:color w:val="000000"/>
                <w:sz w:val="20"/>
                <w:szCs w:val="20"/>
              </w:rPr>
            </w:pP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91C0B4"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A6406" w14:textId="77777777" w:rsidR="0077186D" w:rsidRDefault="0077186D">
            <w:pPr>
              <w:widowControl w:val="0"/>
              <w:spacing w:before="0" w:line="276" w:lineRule="auto"/>
              <w:rPr>
                <w:rFonts w:ascii="Arial" w:eastAsia="Arial" w:hAnsi="Arial" w:cs="Arial"/>
                <w:color w:val="000000"/>
                <w:sz w:val="20"/>
                <w:szCs w:val="20"/>
              </w:rPr>
            </w:pPr>
          </w:p>
        </w:tc>
      </w:tr>
      <w:tr w:rsidR="0077186D" w14:paraId="694A6571"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A11E14"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Liver</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0BD403"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3.32</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D13C66"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1.69</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6EF92"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1.85</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2177B4"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F9E8B0" w14:textId="77777777" w:rsidR="0077186D" w:rsidRDefault="0077186D">
            <w:pPr>
              <w:widowControl w:val="0"/>
              <w:spacing w:before="0" w:line="276" w:lineRule="auto"/>
              <w:rPr>
                <w:rFonts w:ascii="Arial" w:eastAsia="Arial" w:hAnsi="Arial" w:cs="Arial"/>
                <w:color w:val="000000"/>
                <w:sz w:val="20"/>
                <w:szCs w:val="20"/>
              </w:rPr>
            </w:pP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609FE6" w14:textId="77777777" w:rsidR="0077186D" w:rsidRDefault="0077186D">
            <w:pPr>
              <w:widowControl w:val="0"/>
              <w:spacing w:before="0" w:line="276" w:lineRule="auto"/>
              <w:rPr>
                <w:rFonts w:ascii="Arial" w:eastAsia="Arial" w:hAnsi="Arial" w:cs="Arial"/>
                <w:color w:val="000000"/>
                <w:sz w:val="20"/>
                <w:szCs w:val="20"/>
              </w:rPr>
            </w:pP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E30CF9" w14:textId="77777777" w:rsidR="0077186D" w:rsidRDefault="0077186D">
            <w:pPr>
              <w:widowControl w:val="0"/>
              <w:spacing w:before="0" w:line="276" w:lineRule="auto"/>
              <w:rPr>
                <w:rFonts w:ascii="Arial" w:eastAsia="Arial" w:hAnsi="Arial" w:cs="Arial"/>
                <w:color w:val="000000"/>
                <w:sz w:val="20"/>
                <w:szCs w:val="20"/>
              </w:rPr>
            </w:pP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75A52A"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4E2E14" w14:textId="77777777" w:rsidR="0077186D" w:rsidRDefault="0077186D">
            <w:pPr>
              <w:widowControl w:val="0"/>
              <w:spacing w:before="0" w:line="276" w:lineRule="auto"/>
              <w:rPr>
                <w:rFonts w:ascii="Arial" w:eastAsia="Arial" w:hAnsi="Arial" w:cs="Arial"/>
                <w:color w:val="000000"/>
                <w:sz w:val="20"/>
                <w:szCs w:val="20"/>
              </w:rPr>
            </w:pPr>
          </w:p>
        </w:tc>
      </w:tr>
      <w:tr w:rsidR="0077186D" w14:paraId="29136CCE"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229863"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Lung</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3CF3DE"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4.25</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466B0"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0.37</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43C03"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0.84</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3F2344"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1.39</w:t>
            </w: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38E24A"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4DEAA7" w14:textId="77777777" w:rsidR="0077186D" w:rsidRDefault="0077186D">
            <w:pPr>
              <w:widowControl w:val="0"/>
              <w:spacing w:before="0" w:line="276" w:lineRule="auto"/>
              <w:rPr>
                <w:rFonts w:ascii="Arial" w:eastAsia="Arial" w:hAnsi="Arial" w:cs="Arial"/>
                <w:color w:val="000000"/>
                <w:sz w:val="20"/>
                <w:szCs w:val="20"/>
              </w:rPr>
            </w:pP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FE43B" w14:textId="77777777" w:rsidR="0077186D" w:rsidRDefault="0077186D">
            <w:pPr>
              <w:widowControl w:val="0"/>
              <w:spacing w:before="0" w:line="276" w:lineRule="auto"/>
              <w:rPr>
                <w:rFonts w:ascii="Arial" w:eastAsia="Arial" w:hAnsi="Arial" w:cs="Arial"/>
                <w:color w:val="000000"/>
                <w:sz w:val="20"/>
                <w:szCs w:val="20"/>
              </w:rPr>
            </w:pP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5383EC"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F8E26E" w14:textId="77777777" w:rsidR="0077186D" w:rsidRDefault="0077186D">
            <w:pPr>
              <w:widowControl w:val="0"/>
              <w:spacing w:before="0" w:line="276" w:lineRule="auto"/>
              <w:rPr>
                <w:rFonts w:ascii="Arial" w:eastAsia="Arial" w:hAnsi="Arial" w:cs="Arial"/>
                <w:color w:val="000000"/>
                <w:sz w:val="20"/>
                <w:szCs w:val="20"/>
              </w:rPr>
            </w:pPr>
          </w:p>
        </w:tc>
      </w:tr>
      <w:tr w:rsidR="0077186D" w14:paraId="1184AE5E"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41E251"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Nerve</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942235"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3.86</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F10A7F"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0.67</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2C694E"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0.15</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D08D88"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1.78</w:t>
            </w: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D27D17"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0.90</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15974D"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5A2471" w14:textId="77777777" w:rsidR="0077186D" w:rsidRDefault="0077186D">
            <w:pPr>
              <w:widowControl w:val="0"/>
              <w:spacing w:before="0" w:line="276" w:lineRule="auto"/>
              <w:rPr>
                <w:rFonts w:ascii="Arial" w:eastAsia="Arial" w:hAnsi="Arial" w:cs="Arial"/>
                <w:color w:val="000000"/>
                <w:sz w:val="20"/>
                <w:szCs w:val="20"/>
              </w:rPr>
            </w:pP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34B0C1"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6DD4AC" w14:textId="77777777" w:rsidR="0077186D" w:rsidRDefault="0077186D">
            <w:pPr>
              <w:widowControl w:val="0"/>
              <w:spacing w:before="0" w:line="276" w:lineRule="auto"/>
              <w:rPr>
                <w:rFonts w:ascii="Arial" w:eastAsia="Arial" w:hAnsi="Arial" w:cs="Arial"/>
                <w:color w:val="000000"/>
                <w:sz w:val="20"/>
                <w:szCs w:val="20"/>
              </w:rPr>
            </w:pPr>
          </w:p>
        </w:tc>
      </w:tr>
      <w:tr w:rsidR="0077186D" w14:paraId="65CD0CD4"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220492"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Pancreas</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162642"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3.35</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C6AE48"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1.13</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18E72F"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1.17</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69C68C"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0.69</w:t>
            </w: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F2C5D8"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0.93</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CD944"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1.10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47F1D4"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1509AF"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217D33" w14:textId="77777777" w:rsidR="0077186D" w:rsidRDefault="0077186D">
            <w:pPr>
              <w:widowControl w:val="0"/>
              <w:spacing w:before="0" w:line="276" w:lineRule="auto"/>
              <w:rPr>
                <w:rFonts w:ascii="Arial" w:eastAsia="Arial" w:hAnsi="Arial" w:cs="Arial"/>
                <w:color w:val="000000"/>
                <w:sz w:val="20"/>
                <w:szCs w:val="20"/>
              </w:rPr>
            </w:pPr>
          </w:p>
        </w:tc>
      </w:tr>
      <w:tr w:rsidR="0077186D" w14:paraId="781D8993"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72123C"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Spleen</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324CE1"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3.66</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BC3FB5"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1.38</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4F925"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1.63</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36B39F"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0.39</w:t>
            </w: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95908F"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1.05</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D7A7D3"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1.59</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4E1662"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0.61</w:t>
            </w: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BD6115"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20DF0" w14:textId="77777777" w:rsidR="0077186D" w:rsidRDefault="0077186D">
            <w:pPr>
              <w:widowControl w:val="0"/>
              <w:spacing w:before="0" w:line="276" w:lineRule="auto"/>
              <w:rPr>
                <w:rFonts w:ascii="Arial" w:eastAsia="Arial" w:hAnsi="Arial" w:cs="Arial"/>
                <w:color w:val="000000"/>
                <w:sz w:val="20"/>
                <w:szCs w:val="20"/>
              </w:rPr>
            </w:pPr>
          </w:p>
        </w:tc>
      </w:tr>
      <w:tr w:rsidR="0077186D" w14:paraId="6029CD4E" w14:textId="77777777">
        <w:trPr>
          <w:trHeight w:val="30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33C0FE"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Uterus</w:t>
            </w:r>
          </w:p>
        </w:tc>
        <w:tc>
          <w:tcPr>
            <w:tcW w:w="5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7F9C06"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4.07</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918485"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0.46</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95C359"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0.10</w:t>
            </w:r>
          </w:p>
        </w:tc>
        <w:tc>
          <w:tcPr>
            <w:tcW w:w="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740FCA"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1.82</w:t>
            </w:r>
          </w:p>
        </w:tc>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8E85C9"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0.76</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AF3BD9"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0.23</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97C6C7"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1.16</w:t>
            </w:r>
          </w:p>
        </w:tc>
        <w:tc>
          <w:tcPr>
            <w:tcW w:w="1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B19D0F"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1.58</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E2F6FB"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r>
    </w:tbl>
    <w:p w14:paraId="3EB6062C" w14:textId="77777777" w:rsidR="0077186D" w:rsidRDefault="0077186D">
      <w:pPr>
        <w:rPr>
          <w:rFonts w:ascii="Helvetica Neue" w:eastAsia="Helvetica Neue" w:hAnsi="Helvetica Neue" w:cs="Helvetica Neue"/>
          <w:b/>
          <w:sz w:val="18"/>
          <w:szCs w:val="18"/>
        </w:rPr>
      </w:pPr>
    </w:p>
    <w:p w14:paraId="6817A1D8" w14:textId="77777777" w:rsidR="0077186D" w:rsidRPr="00605DD0" w:rsidRDefault="00E47411">
      <w:pPr>
        <w:pBdr>
          <w:top w:val="single" w:sz="4" w:space="2" w:color="000000"/>
          <w:left w:val="single" w:sz="4" w:space="2" w:color="000000"/>
          <w:bottom w:val="single" w:sz="4" w:space="2" w:color="000000"/>
          <w:right w:val="single" w:sz="4" w:space="2" w:color="000000"/>
        </w:pBdr>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Table S4.1 RCA centroid distances. </w:t>
      </w:r>
      <w:r w:rsidRPr="00605DD0">
        <w:rPr>
          <w:rFonts w:ascii="Helvetica" w:eastAsia="Helvetica Neue" w:hAnsi="Helvetica" w:cs="Helvetica Neue"/>
          <w:sz w:val="18"/>
          <w:szCs w:val="18"/>
        </w:rPr>
        <w:t>Euclidean distance was calculated between all tissue centroids in RCA space.</w:t>
      </w:r>
    </w:p>
    <w:p w14:paraId="6DA8CFD4" w14:textId="77777777" w:rsidR="0077186D" w:rsidRDefault="0077186D">
      <w:pPr>
        <w:rPr>
          <w:rFonts w:ascii="Helvetica Neue" w:eastAsia="Helvetica Neue" w:hAnsi="Helvetica Neue" w:cs="Helvetica Neue"/>
          <w:b/>
          <w:sz w:val="18"/>
          <w:szCs w:val="18"/>
        </w:rPr>
      </w:pPr>
    </w:p>
    <w:p w14:paraId="4B75A832" w14:textId="77777777" w:rsidR="0077186D" w:rsidRDefault="0077186D">
      <w:pPr>
        <w:rPr>
          <w:rFonts w:ascii="Helvetica Neue" w:eastAsia="Helvetica Neue" w:hAnsi="Helvetica Neue" w:cs="Helvetica Neue"/>
          <w:b/>
          <w:sz w:val="18"/>
          <w:szCs w:val="18"/>
        </w:rPr>
      </w:pPr>
    </w:p>
    <w:tbl>
      <w:tblPr>
        <w:tblStyle w:val="a2"/>
        <w:tblW w:w="931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170"/>
        <w:gridCol w:w="660"/>
        <w:gridCol w:w="1020"/>
        <w:gridCol w:w="1110"/>
        <w:gridCol w:w="705"/>
        <w:gridCol w:w="990"/>
        <w:gridCol w:w="900"/>
        <w:gridCol w:w="1020"/>
        <w:gridCol w:w="885"/>
        <w:gridCol w:w="855"/>
      </w:tblGrid>
      <w:tr w:rsidR="0077186D" w14:paraId="2F629A38" w14:textId="77777777">
        <w:trPr>
          <w:trHeight w:val="30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C265EC" w14:textId="77777777" w:rsidR="0077186D" w:rsidRDefault="0077186D">
            <w:pPr>
              <w:widowControl w:val="0"/>
              <w:spacing w:before="0" w:line="276" w:lineRule="auto"/>
              <w:rPr>
                <w:rFonts w:ascii="Arial" w:eastAsia="Arial" w:hAnsi="Arial" w:cs="Arial"/>
                <w:color w:val="000000"/>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CCFC34"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PEC</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F43F44"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Adipose</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2BEE98"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Esophagus</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6CFD5B"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Liver</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0787B"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Lung</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5AF128"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Nerve</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E269B7"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Pancreas</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FE77B0"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Spleen</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42451F"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Uterus</w:t>
            </w:r>
          </w:p>
        </w:tc>
      </w:tr>
      <w:tr w:rsidR="0077186D" w14:paraId="15E046ED"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C315A8"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PEC</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2BA86"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5AA77A" w14:textId="77777777" w:rsidR="0077186D" w:rsidRDefault="0077186D">
            <w:pPr>
              <w:widowControl w:val="0"/>
              <w:spacing w:before="0" w:line="276" w:lineRule="auto"/>
              <w:rPr>
                <w:rFonts w:ascii="Arial" w:eastAsia="Arial" w:hAnsi="Arial" w:cs="Arial"/>
                <w:color w:val="000000"/>
                <w:sz w:val="20"/>
                <w:szCs w:val="20"/>
              </w:rPr>
            </w:pP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D7FCD0" w14:textId="77777777" w:rsidR="0077186D" w:rsidRDefault="0077186D">
            <w:pPr>
              <w:widowControl w:val="0"/>
              <w:spacing w:before="0" w:line="276" w:lineRule="auto"/>
              <w:rPr>
                <w:rFonts w:ascii="Arial" w:eastAsia="Arial" w:hAnsi="Arial" w:cs="Arial"/>
                <w:color w:val="000000"/>
                <w:sz w:val="20"/>
                <w:szCs w:val="20"/>
              </w:rPr>
            </w:pP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0A9D64" w14:textId="77777777" w:rsidR="0077186D" w:rsidRDefault="0077186D">
            <w:pPr>
              <w:widowControl w:val="0"/>
              <w:spacing w:before="0" w:line="276" w:lineRule="auto"/>
              <w:rPr>
                <w:rFonts w:ascii="Arial" w:eastAsia="Arial" w:hAnsi="Arial" w:cs="Arial"/>
                <w:color w:val="000000"/>
                <w:sz w:val="20"/>
                <w:szCs w:val="20"/>
              </w:rPr>
            </w:pP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44D979" w14:textId="77777777" w:rsidR="0077186D" w:rsidRDefault="0077186D">
            <w:pPr>
              <w:widowControl w:val="0"/>
              <w:spacing w:before="0" w:line="276" w:lineRule="auto"/>
              <w:rPr>
                <w:rFonts w:ascii="Arial" w:eastAsia="Arial" w:hAnsi="Arial" w:cs="Arial"/>
                <w:color w:val="000000"/>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57D01F" w14:textId="77777777" w:rsidR="0077186D" w:rsidRDefault="0077186D">
            <w:pPr>
              <w:widowControl w:val="0"/>
              <w:spacing w:before="0" w:line="276" w:lineRule="auto"/>
              <w:rPr>
                <w:rFonts w:ascii="Arial" w:eastAsia="Arial" w:hAnsi="Arial" w:cs="Arial"/>
                <w:color w:val="000000"/>
                <w:sz w:val="20"/>
                <w:szCs w:val="20"/>
              </w:rPr>
            </w:pP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D814F1" w14:textId="77777777" w:rsidR="0077186D" w:rsidRDefault="0077186D">
            <w:pPr>
              <w:widowControl w:val="0"/>
              <w:spacing w:before="0" w:line="276" w:lineRule="auto"/>
              <w:rPr>
                <w:rFonts w:ascii="Arial" w:eastAsia="Arial" w:hAnsi="Arial" w:cs="Arial"/>
                <w:color w:val="000000"/>
                <w:sz w:val="20"/>
                <w:szCs w:val="20"/>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A86008" w14:textId="77777777" w:rsidR="0077186D" w:rsidRDefault="0077186D">
            <w:pPr>
              <w:widowControl w:val="0"/>
              <w:spacing w:before="0" w:line="276" w:lineRule="auto"/>
              <w:rPr>
                <w:rFonts w:ascii="Arial" w:eastAsia="Arial" w:hAnsi="Arial" w:cs="Arial"/>
                <w:color w:val="000000"/>
                <w:sz w:val="20"/>
                <w:szCs w:val="20"/>
              </w:rPr>
            </w:pP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8DDC2" w14:textId="77777777" w:rsidR="0077186D" w:rsidRDefault="0077186D">
            <w:pPr>
              <w:widowControl w:val="0"/>
              <w:spacing w:before="0" w:line="276" w:lineRule="auto"/>
              <w:rPr>
                <w:rFonts w:ascii="Arial" w:eastAsia="Arial" w:hAnsi="Arial" w:cs="Arial"/>
                <w:color w:val="000000"/>
                <w:sz w:val="20"/>
                <w:szCs w:val="20"/>
              </w:rPr>
            </w:pPr>
          </w:p>
        </w:tc>
      </w:tr>
      <w:tr w:rsidR="0077186D" w14:paraId="2F9F92A1"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0DB7DB"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Adipose</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32A85"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9.80</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93019E"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B1C0F2" w14:textId="77777777" w:rsidR="0077186D" w:rsidRDefault="0077186D">
            <w:pPr>
              <w:widowControl w:val="0"/>
              <w:spacing w:before="0" w:line="276" w:lineRule="auto"/>
              <w:rPr>
                <w:rFonts w:ascii="Arial" w:eastAsia="Arial" w:hAnsi="Arial" w:cs="Arial"/>
                <w:color w:val="000000"/>
                <w:sz w:val="20"/>
                <w:szCs w:val="20"/>
              </w:rPr>
            </w:pP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43E6BF" w14:textId="77777777" w:rsidR="0077186D" w:rsidRDefault="0077186D">
            <w:pPr>
              <w:widowControl w:val="0"/>
              <w:spacing w:before="0" w:line="276" w:lineRule="auto"/>
              <w:rPr>
                <w:rFonts w:ascii="Arial" w:eastAsia="Arial" w:hAnsi="Arial" w:cs="Arial"/>
                <w:color w:val="000000"/>
                <w:sz w:val="20"/>
                <w:szCs w:val="20"/>
              </w:rPr>
            </w:pP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F7F744" w14:textId="77777777" w:rsidR="0077186D" w:rsidRDefault="0077186D">
            <w:pPr>
              <w:widowControl w:val="0"/>
              <w:spacing w:before="0" w:line="276" w:lineRule="auto"/>
              <w:rPr>
                <w:rFonts w:ascii="Arial" w:eastAsia="Arial" w:hAnsi="Arial" w:cs="Arial"/>
                <w:color w:val="000000"/>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D5C94A" w14:textId="77777777" w:rsidR="0077186D" w:rsidRDefault="0077186D">
            <w:pPr>
              <w:widowControl w:val="0"/>
              <w:spacing w:before="0" w:line="276" w:lineRule="auto"/>
              <w:rPr>
                <w:rFonts w:ascii="Arial" w:eastAsia="Arial" w:hAnsi="Arial" w:cs="Arial"/>
                <w:color w:val="000000"/>
                <w:sz w:val="20"/>
                <w:szCs w:val="20"/>
              </w:rPr>
            </w:pP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97F0B4" w14:textId="77777777" w:rsidR="0077186D" w:rsidRDefault="0077186D">
            <w:pPr>
              <w:widowControl w:val="0"/>
              <w:spacing w:before="0" w:line="276" w:lineRule="auto"/>
              <w:rPr>
                <w:rFonts w:ascii="Arial" w:eastAsia="Arial" w:hAnsi="Arial" w:cs="Arial"/>
                <w:color w:val="000000"/>
                <w:sz w:val="20"/>
                <w:szCs w:val="20"/>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9F48B" w14:textId="77777777" w:rsidR="0077186D" w:rsidRDefault="0077186D">
            <w:pPr>
              <w:widowControl w:val="0"/>
              <w:spacing w:before="0" w:line="276" w:lineRule="auto"/>
              <w:rPr>
                <w:rFonts w:ascii="Arial" w:eastAsia="Arial" w:hAnsi="Arial" w:cs="Arial"/>
                <w:color w:val="000000"/>
                <w:sz w:val="20"/>
                <w:szCs w:val="20"/>
              </w:rPr>
            </w:pP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75973" w14:textId="77777777" w:rsidR="0077186D" w:rsidRDefault="0077186D">
            <w:pPr>
              <w:widowControl w:val="0"/>
              <w:spacing w:before="0" w:line="276" w:lineRule="auto"/>
              <w:rPr>
                <w:rFonts w:ascii="Arial" w:eastAsia="Arial" w:hAnsi="Arial" w:cs="Arial"/>
                <w:color w:val="000000"/>
                <w:sz w:val="20"/>
                <w:szCs w:val="20"/>
              </w:rPr>
            </w:pPr>
          </w:p>
        </w:tc>
      </w:tr>
      <w:tr w:rsidR="0077186D" w14:paraId="7B67D184"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C8FC17"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Esophagus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7BAA6B"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9.11</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4576DA"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1.27</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ED7AEF"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218B0" w14:textId="77777777" w:rsidR="0077186D" w:rsidRDefault="0077186D">
            <w:pPr>
              <w:widowControl w:val="0"/>
              <w:spacing w:before="0" w:line="276" w:lineRule="auto"/>
              <w:rPr>
                <w:rFonts w:ascii="Arial" w:eastAsia="Arial" w:hAnsi="Arial" w:cs="Arial"/>
                <w:color w:val="000000"/>
                <w:sz w:val="20"/>
                <w:szCs w:val="20"/>
              </w:rPr>
            </w:pP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C9E723" w14:textId="77777777" w:rsidR="0077186D" w:rsidRDefault="0077186D">
            <w:pPr>
              <w:widowControl w:val="0"/>
              <w:spacing w:before="0" w:line="276" w:lineRule="auto"/>
              <w:rPr>
                <w:rFonts w:ascii="Arial" w:eastAsia="Arial" w:hAnsi="Arial" w:cs="Arial"/>
                <w:color w:val="000000"/>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B50355" w14:textId="77777777" w:rsidR="0077186D" w:rsidRDefault="0077186D">
            <w:pPr>
              <w:widowControl w:val="0"/>
              <w:spacing w:before="0" w:line="276" w:lineRule="auto"/>
              <w:rPr>
                <w:rFonts w:ascii="Arial" w:eastAsia="Arial" w:hAnsi="Arial" w:cs="Arial"/>
                <w:color w:val="000000"/>
                <w:sz w:val="20"/>
                <w:szCs w:val="20"/>
              </w:rPr>
            </w:pP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4D90A6" w14:textId="77777777" w:rsidR="0077186D" w:rsidRDefault="0077186D">
            <w:pPr>
              <w:widowControl w:val="0"/>
              <w:spacing w:before="0" w:line="276" w:lineRule="auto"/>
              <w:rPr>
                <w:rFonts w:ascii="Arial" w:eastAsia="Arial" w:hAnsi="Arial" w:cs="Arial"/>
                <w:color w:val="000000"/>
                <w:sz w:val="20"/>
                <w:szCs w:val="20"/>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B2EFB2" w14:textId="77777777" w:rsidR="0077186D" w:rsidRDefault="0077186D">
            <w:pPr>
              <w:widowControl w:val="0"/>
              <w:spacing w:before="0" w:line="276" w:lineRule="auto"/>
              <w:rPr>
                <w:rFonts w:ascii="Arial" w:eastAsia="Arial" w:hAnsi="Arial" w:cs="Arial"/>
                <w:color w:val="000000"/>
                <w:sz w:val="20"/>
                <w:szCs w:val="20"/>
              </w:rPr>
            </w:pP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A24CC3" w14:textId="77777777" w:rsidR="0077186D" w:rsidRDefault="0077186D">
            <w:pPr>
              <w:widowControl w:val="0"/>
              <w:spacing w:before="0" w:line="276" w:lineRule="auto"/>
              <w:rPr>
                <w:rFonts w:ascii="Arial" w:eastAsia="Arial" w:hAnsi="Arial" w:cs="Arial"/>
                <w:color w:val="000000"/>
                <w:sz w:val="20"/>
                <w:szCs w:val="20"/>
              </w:rPr>
            </w:pPr>
          </w:p>
        </w:tc>
      </w:tr>
      <w:tr w:rsidR="0077186D" w14:paraId="2E687DE9"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DDBEBF"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Liver</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EB80B9"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7.54</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B62327"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3.83</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6F893B"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4.19</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F04BCA"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98566D" w14:textId="77777777" w:rsidR="0077186D" w:rsidRDefault="0077186D">
            <w:pPr>
              <w:widowControl w:val="0"/>
              <w:spacing w:before="0" w:line="276" w:lineRule="auto"/>
              <w:rPr>
                <w:rFonts w:ascii="Arial" w:eastAsia="Arial" w:hAnsi="Arial" w:cs="Arial"/>
                <w:color w:val="000000"/>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88FD4" w14:textId="77777777" w:rsidR="0077186D" w:rsidRDefault="0077186D">
            <w:pPr>
              <w:widowControl w:val="0"/>
              <w:spacing w:before="0" w:line="276" w:lineRule="auto"/>
              <w:rPr>
                <w:rFonts w:ascii="Arial" w:eastAsia="Arial" w:hAnsi="Arial" w:cs="Arial"/>
                <w:color w:val="000000"/>
                <w:sz w:val="20"/>
                <w:szCs w:val="20"/>
              </w:rPr>
            </w:pP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F29827" w14:textId="77777777" w:rsidR="0077186D" w:rsidRDefault="0077186D">
            <w:pPr>
              <w:widowControl w:val="0"/>
              <w:spacing w:before="0" w:line="276" w:lineRule="auto"/>
              <w:rPr>
                <w:rFonts w:ascii="Arial" w:eastAsia="Arial" w:hAnsi="Arial" w:cs="Arial"/>
                <w:color w:val="000000"/>
                <w:sz w:val="20"/>
                <w:szCs w:val="20"/>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C3C55E" w14:textId="77777777" w:rsidR="0077186D" w:rsidRDefault="0077186D">
            <w:pPr>
              <w:widowControl w:val="0"/>
              <w:spacing w:before="0" w:line="276" w:lineRule="auto"/>
              <w:rPr>
                <w:rFonts w:ascii="Arial" w:eastAsia="Arial" w:hAnsi="Arial" w:cs="Arial"/>
                <w:color w:val="000000"/>
                <w:sz w:val="20"/>
                <w:szCs w:val="20"/>
              </w:rPr>
            </w:pP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777FA4" w14:textId="77777777" w:rsidR="0077186D" w:rsidRDefault="0077186D">
            <w:pPr>
              <w:widowControl w:val="0"/>
              <w:spacing w:before="0" w:line="276" w:lineRule="auto"/>
              <w:rPr>
                <w:rFonts w:ascii="Arial" w:eastAsia="Arial" w:hAnsi="Arial" w:cs="Arial"/>
                <w:color w:val="000000"/>
                <w:sz w:val="20"/>
                <w:szCs w:val="20"/>
              </w:rPr>
            </w:pPr>
          </w:p>
        </w:tc>
      </w:tr>
      <w:tr w:rsidR="0077186D" w14:paraId="60AB8431"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B32A7C"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Lung</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71C4E4"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9.64</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9B43C2"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0.83</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8336A6"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1.91</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D481F3"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3.16</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A4D06"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B9C1DC" w14:textId="77777777" w:rsidR="0077186D" w:rsidRDefault="0077186D">
            <w:pPr>
              <w:widowControl w:val="0"/>
              <w:spacing w:before="0" w:line="276" w:lineRule="auto"/>
              <w:rPr>
                <w:rFonts w:ascii="Arial" w:eastAsia="Arial" w:hAnsi="Arial" w:cs="Arial"/>
                <w:color w:val="000000"/>
                <w:sz w:val="20"/>
                <w:szCs w:val="20"/>
              </w:rPr>
            </w:pP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4EF739" w14:textId="77777777" w:rsidR="0077186D" w:rsidRDefault="0077186D">
            <w:pPr>
              <w:widowControl w:val="0"/>
              <w:spacing w:before="0" w:line="276" w:lineRule="auto"/>
              <w:rPr>
                <w:rFonts w:ascii="Arial" w:eastAsia="Arial" w:hAnsi="Arial" w:cs="Arial"/>
                <w:color w:val="000000"/>
                <w:sz w:val="20"/>
                <w:szCs w:val="20"/>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F51E7" w14:textId="77777777" w:rsidR="0077186D" w:rsidRDefault="0077186D">
            <w:pPr>
              <w:widowControl w:val="0"/>
              <w:spacing w:before="0" w:line="276" w:lineRule="auto"/>
              <w:rPr>
                <w:rFonts w:ascii="Arial" w:eastAsia="Arial" w:hAnsi="Arial" w:cs="Arial"/>
                <w:color w:val="000000"/>
                <w:sz w:val="20"/>
                <w:szCs w:val="20"/>
              </w:rPr>
            </w:pP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A5B8B3" w14:textId="77777777" w:rsidR="0077186D" w:rsidRDefault="0077186D">
            <w:pPr>
              <w:widowControl w:val="0"/>
              <w:spacing w:before="0" w:line="276" w:lineRule="auto"/>
              <w:rPr>
                <w:rFonts w:ascii="Arial" w:eastAsia="Arial" w:hAnsi="Arial" w:cs="Arial"/>
                <w:color w:val="000000"/>
                <w:sz w:val="20"/>
                <w:szCs w:val="20"/>
              </w:rPr>
            </w:pPr>
          </w:p>
        </w:tc>
      </w:tr>
      <w:tr w:rsidR="0077186D" w14:paraId="1D870662"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FB2B7C"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Nerve</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C00C29"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8.76</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9F721D"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1.51</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987B2"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0.35</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7843D"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4.05</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690A6E"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2.05</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C1D197"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92471B" w14:textId="77777777" w:rsidR="0077186D" w:rsidRDefault="0077186D">
            <w:pPr>
              <w:widowControl w:val="0"/>
              <w:spacing w:before="0" w:line="276" w:lineRule="auto"/>
              <w:rPr>
                <w:rFonts w:ascii="Arial" w:eastAsia="Arial" w:hAnsi="Arial" w:cs="Arial"/>
                <w:color w:val="000000"/>
                <w:sz w:val="20"/>
                <w:szCs w:val="20"/>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BE9898" w14:textId="77777777" w:rsidR="0077186D" w:rsidRDefault="0077186D">
            <w:pPr>
              <w:widowControl w:val="0"/>
              <w:spacing w:before="0" w:line="276" w:lineRule="auto"/>
              <w:rPr>
                <w:rFonts w:ascii="Arial" w:eastAsia="Arial" w:hAnsi="Arial" w:cs="Arial"/>
                <w:color w:val="000000"/>
                <w:sz w:val="20"/>
                <w:szCs w:val="20"/>
              </w:rPr>
            </w:pP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F0EB7E" w14:textId="77777777" w:rsidR="0077186D" w:rsidRDefault="0077186D">
            <w:pPr>
              <w:widowControl w:val="0"/>
              <w:spacing w:before="0" w:line="276" w:lineRule="auto"/>
              <w:rPr>
                <w:rFonts w:ascii="Arial" w:eastAsia="Arial" w:hAnsi="Arial" w:cs="Arial"/>
                <w:color w:val="000000"/>
                <w:sz w:val="20"/>
                <w:szCs w:val="20"/>
              </w:rPr>
            </w:pPr>
          </w:p>
        </w:tc>
      </w:tr>
      <w:tr w:rsidR="0077186D" w14:paraId="6E9CBDD4"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0CADA0"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Pancreas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6DACAA"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7.61</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85D1EB"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2.56</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D30E3E"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2.66</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D6539E"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1.57</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5287DF"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2.12</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336E0D"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2.49</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11B2D4"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063B25" w14:textId="77777777" w:rsidR="0077186D" w:rsidRDefault="0077186D">
            <w:pPr>
              <w:widowControl w:val="0"/>
              <w:spacing w:before="0" w:line="276" w:lineRule="auto"/>
              <w:rPr>
                <w:rFonts w:ascii="Arial" w:eastAsia="Arial" w:hAnsi="Arial" w:cs="Arial"/>
                <w:color w:val="000000"/>
                <w:sz w:val="20"/>
                <w:szCs w:val="20"/>
              </w:rPr>
            </w:pP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17C2E6" w14:textId="77777777" w:rsidR="0077186D" w:rsidRDefault="0077186D">
            <w:pPr>
              <w:widowControl w:val="0"/>
              <w:spacing w:before="0" w:line="276" w:lineRule="auto"/>
              <w:rPr>
                <w:rFonts w:ascii="Arial" w:eastAsia="Arial" w:hAnsi="Arial" w:cs="Arial"/>
                <w:color w:val="000000"/>
                <w:sz w:val="20"/>
                <w:szCs w:val="20"/>
              </w:rPr>
            </w:pPr>
          </w:p>
        </w:tc>
      </w:tr>
      <w:tr w:rsidR="0077186D" w14:paraId="77FA35BD"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B6AC6"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Spleen</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BF20A"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8.31</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7147BF"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3.12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DA2342"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3.69</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876FA6"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0.89</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D2F086"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2.38</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620784"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3.61</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C72DB0"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1.39</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30B7DF"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0.00</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0A8E19" w14:textId="77777777" w:rsidR="0077186D" w:rsidRDefault="0077186D">
            <w:pPr>
              <w:widowControl w:val="0"/>
              <w:spacing w:before="0" w:line="276" w:lineRule="auto"/>
              <w:rPr>
                <w:rFonts w:ascii="Arial" w:eastAsia="Arial" w:hAnsi="Arial" w:cs="Arial"/>
                <w:color w:val="000000"/>
                <w:sz w:val="20"/>
                <w:szCs w:val="20"/>
              </w:rPr>
            </w:pPr>
          </w:p>
        </w:tc>
      </w:tr>
      <w:tr w:rsidR="0077186D" w14:paraId="797C84B0" w14:textId="77777777">
        <w:trPr>
          <w:trHeight w:val="340"/>
        </w:trPr>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EC8806" w14:textId="77777777" w:rsidR="0077186D" w:rsidRDefault="00E47411">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Uterus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2B2B78"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9.24</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F538A"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1.05</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A4B0C4"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0.22</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1E5507"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4.13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B0B0E8"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1.72</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7F7312"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0.53</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6E5B9F"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2.63</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BDB3C2" w14:textId="77777777" w:rsidR="0077186D" w:rsidRDefault="00E47411">
            <w:pPr>
              <w:widowControl w:val="0"/>
              <w:spacing w:before="0" w:line="276" w:lineRule="auto"/>
              <w:jc w:val="right"/>
              <w:rPr>
                <w:rFonts w:ascii="Arial" w:eastAsia="Arial" w:hAnsi="Arial" w:cs="Arial"/>
                <w:color w:val="000000"/>
                <w:sz w:val="20"/>
                <w:szCs w:val="20"/>
              </w:rPr>
            </w:pPr>
            <w:r>
              <w:rPr>
                <w:rFonts w:ascii="Calibri" w:eastAsia="Calibri" w:hAnsi="Calibri" w:cs="Calibri"/>
                <w:color w:val="000000"/>
                <w:sz w:val="24"/>
                <w:szCs w:val="24"/>
              </w:rPr>
              <w:t>3.59</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A600E1" w14:textId="77777777" w:rsidR="0077186D" w:rsidRDefault="00E47411">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0.00</w:t>
            </w:r>
          </w:p>
        </w:tc>
      </w:tr>
    </w:tbl>
    <w:p w14:paraId="38FB42AF" w14:textId="77777777" w:rsidR="0077186D" w:rsidRDefault="0077186D"/>
    <w:p w14:paraId="3295D4D7" w14:textId="4019F7C8" w:rsidR="0077186D" w:rsidRPr="00605DD0" w:rsidRDefault="00E47411" w:rsidP="00FC4E97">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b/>
          <w:sz w:val="18"/>
          <w:szCs w:val="18"/>
        </w:rPr>
      </w:pPr>
      <w:r w:rsidRPr="00605DD0">
        <w:rPr>
          <w:rFonts w:ascii="Helvetica" w:eastAsia="Helvetica Neue" w:hAnsi="Helvetica" w:cs="Helvetica Neue"/>
          <w:b/>
          <w:sz w:val="18"/>
          <w:szCs w:val="18"/>
        </w:rPr>
        <w:t xml:space="preserve">Table S4.2 RCA centroid distances normalized by median interbrain distance. </w:t>
      </w:r>
      <w:r w:rsidRPr="00605DD0">
        <w:rPr>
          <w:rFonts w:ascii="Helvetica" w:eastAsia="Helvetica Neue" w:hAnsi="Helvetica" w:cs="Helvetica Neue"/>
          <w:sz w:val="18"/>
          <w:szCs w:val="18"/>
        </w:rPr>
        <w:t>Euclidean distance was calculated between all tissue centroids in RCA space and normalized by median brain distance.</w:t>
      </w:r>
    </w:p>
    <w:p w14:paraId="2C7A13DF" w14:textId="6E344AF9" w:rsidR="0077186D" w:rsidRPr="00604D3E" w:rsidRDefault="00604D3E" w:rsidP="00604D3E">
      <w:pPr>
        <w:jc w:val="center"/>
      </w:pPr>
      <w:r>
        <w:rPr>
          <w:noProof/>
          <w:lang w:val="en-US"/>
        </w:rPr>
        <w:lastRenderedPageBreak/>
        <w:drawing>
          <wp:inline distT="0" distB="0" distL="0" distR="0" wp14:anchorId="18EE35C8" wp14:editId="58EA37E5">
            <wp:extent cx="3317240" cy="3317240"/>
            <wp:effectExtent l="0" t="0" r="1016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4.2 RCA walking PC1.pdf"/>
                    <pic:cNvPicPr/>
                  </pic:nvPicPr>
                  <pic:blipFill>
                    <a:blip r:embed="rId26">
                      <a:extLst>
                        <a:ext uri="{28A0092B-C50C-407E-A947-70E740481C1C}">
                          <a14:useLocalDpi xmlns:a14="http://schemas.microsoft.com/office/drawing/2010/main" val="0"/>
                        </a:ext>
                      </a:extLst>
                    </a:blip>
                    <a:stretch>
                      <a:fillRect/>
                    </a:stretch>
                  </pic:blipFill>
                  <pic:spPr>
                    <a:xfrm>
                      <a:off x="0" y="0"/>
                      <a:ext cx="3318547" cy="3318547"/>
                    </a:xfrm>
                    <a:prstGeom prst="rect">
                      <a:avLst/>
                    </a:prstGeom>
                  </pic:spPr>
                </pic:pic>
              </a:graphicData>
            </a:graphic>
          </wp:inline>
        </w:drawing>
      </w:r>
    </w:p>
    <w:p w14:paraId="62592195"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S4.2 Assessment of the most impactful genes in the PC1 dimension. </w:t>
      </w:r>
      <w:r w:rsidRPr="00605DD0">
        <w:rPr>
          <w:rFonts w:ascii="Helvetica" w:eastAsia="Helvetica Neue" w:hAnsi="Helvetica" w:cs="Helvetica Neue"/>
          <w:sz w:val="18"/>
          <w:szCs w:val="18"/>
        </w:rPr>
        <w:t xml:space="preserve">All analyzed RNA-seq samples are displayed. Green and yellow samples are brain samples and pink samples were extracted from other tissues. Dark line represents hypothetical samples with gene expression changes. </w:t>
      </w:r>
    </w:p>
    <w:p w14:paraId="106A4D97" w14:textId="597167A4" w:rsidR="0077186D" w:rsidRDefault="00100FEF" w:rsidP="00FC4E97">
      <w:pPr>
        <w:widowControl w:val="0"/>
        <w:spacing w:before="0" w:line="276" w:lineRule="auto"/>
        <w:jc w:val="center"/>
        <w:rPr>
          <w:b/>
          <w:color w:val="000000"/>
          <w:sz w:val="20"/>
          <w:szCs w:val="20"/>
        </w:rPr>
      </w:pPr>
      <w:r>
        <w:rPr>
          <w:b/>
          <w:noProof/>
          <w:color w:val="000000"/>
          <w:sz w:val="20"/>
          <w:szCs w:val="20"/>
          <w:lang w:val="en-US"/>
        </w:rPr>
        <w:drawing>
          <wp:inline distT="0" distB="0" distL="0" distR="0" wp14:anchorId="6EA1E4ED" wp14:editId="09FBD588">
            <wp:extent cx="3888740" cy="38887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4.3 brain enhancers PCA.pdf"/>
                    <pic:cNvPicPr/>
                  </pic:nvPicPr>
                  <pic:blipFill>
                    <a:blip r:embed="rId27">
                      <a:extLst>
                        <a:ext uri="{28A0092B-C50C-407E-A947-70E740481C1C}">
                          <a14:useLocalDpi xmlns:a14="http://schemas.microsoft.com/office/drawing/2010/main" val="0"/>
                        </a:ext>
                      </a:extLst>
                    </a:blip>
                    <a:stretch>
                      <a:fillRect/>
                    </a:stretch>
                  </pic:blipFill>
                  <pic:spPr>
                    <a:xfrm>
                      <a:off x="0" y="0"/>
                      <a:ext cx="3888740" cy="3888740"/>
                    </a:xfrm>
                    <a:prstGeom prst="rect">
                      <a:avLst/>
                    </a:prstGeom>
                  </pic:spPr>
                </pic:pic>
              </a:graphicData>
            </a:graphic>
          </wp:inline>
        </w:drawing>
      </w:r>
    </w:p>
    <w:p w14:paraId="592F4204" w14:textId="1D3B7C2E" w:rsidR="0077186D" w:rsidRDefault="0077186D">
      <w:pPr>
        <w:widowControl w:val="0"/>
        <w:spacing w:before="0" w:line="276" w:lineRule="auto"/>
        <w:jc w:val="center"/>
        <w:rPr>
          <w:b/>
          <w:color w:val="000000"/>
          <w:sz w:val="20"/>
          <w:szCs w:val="20"/>
        </w:rPr>
      </w:pPr>
    </w:p>
    <w:p w14:paraId="05047B15"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S4.3 PCA plot for regulatory data. </w:t>
      </w:r>
      <w:r w:rsidRPr="00605DD0">
        <w:rPr>
          <w:rFonts w:ascii="Helvetica" w:eastAsia="Helvetica Neue" w:hAnsi="Helvetica" w:cs="Helvetica Neue"/>
          <w:sz w:val="18"/>
          <w:szCs w:val="18"/>
        </w:rPr>
        <w:t>H3K27Ac signals were used to calculate the PCA after batch correction. Brain samples are scattered in both PC1 and PC2, whereas the roadmap samples are clustered together.</w:t>
      </w:r>
    </w:p>
    <w:p w14:paraId="17F29020" w14:textId="77777777" w:rsidR="0077186D" w:rsidRDefault="0077186D">
      <w:pPr>
        <w:widowControl w:val="0"/>
        <w:spacing w:before="0" w:line="276" w:lineRule="auto"/>
        <w:rPr>
          <w:b/>
          <w:color w:val="000000"/>
          <w:sz w:val="20"/>
          <w:szCs w:val="20"/>
        </w:rPr>
      </w:pPr>
    </w:p>
    <w:p w14:paraId="4F8FD7A4" w14:textId="77777777" w:rsidR="0077186D" w:rsidRDefault="0077186D">
      <w:pPr>
        <w:widowControl w:val="0"/>
        <w:spacing w:before="0" w:line="276" w:lineRule="auto"/>
        <w:rPr>
          <w:b/>
          <w:color w:val="000000"/>
          <w:sz w:val="20"/>
          <w:szCs w:val="20"/>
        </w:rPr>
      </w:pPr>
    </w:p>
    <w:tbl>
      <w:tblPr>
        <w:tblStyle w:val="a3"/>
        <w:tblW w:w="70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460"/>
        <w:gridCol w:w="460"/>
        <w:gridCol w:w="900"/>
        <w:gridCol w:w="1180"/>
        <w:gridCol w:w="480"/>
        <w:gridCol w:w="1240"/>
      </w:tblGrid>
      <w:tr w:rsidR="0077186D" w14:paraId="4DA248BA" w14:textId="77777777" w:rsidTr="00B6058E">
        <w:trPr>
          <w:trHeight w:val="580"/>
          <w:jc w:val="center"/>
        </w:trPr>
        <w:tc>
          <w:tcPr>
            <w:tcW w:w="2340" w:type="dxa"/>
            <w:tcBorders>
              <w:right w:val="single" w:sz="8" w:space="0" w:color="9FA09F"/>
            </w:tcBorders>
            <w:shd w:val="clear" w:color="auto" w:fill="EFEFEF"/>
            <w:tcMar>
              <w:top w:w="60" w:type="dxa"/>
              <w:left w:w="60" w:type="dxa"/>
              <w:bottom w:w="60" w:type="dxa"/>
              <w:right w:w="60" w:type="dxa"/>
            </w:tcMar>
          </w:tcPr>
          <w:p w14:paraId="5C509B5F" w14:textId="77777777" w:rsidR="0077186D" w:rsidRDefault="00E47411">
            <w:pPr>
              <w:widowControl w:val="0"/>
              <w:spacing w:before="0" w:line="276" w:lineRule="auto"/>
              <w:rPr>
                <w:rFonts w:ascii="Arial" w:eastAsia="Arial" w:hAnsi="Arial" w:cs="Arial"/>
                <w:color w:val="325F99"/>
                <w:sz w:val="18"/>
                <w:szCs w:val="18"/>
                <w:u w:val="single"/>
              </w:rPr>
            </w:pPr>
            <w:r>
              <w:fldChar w:fldCharType="begin"/>
            </w:r>
            <w:r>
              <w:instrText xml:space="preserve"> HYPERLINK "http://pantherdb.org/tools/compareToRefList.jsp?sortOrder=1&amp;sortList=categories" </w:instrText>
            </w:r>
            <w:r>
              <w:fldChar w:fldCharType="separate"/>
            </w:r>
            <w:r>
              <w:rPr>
                <w:rFonts w:ascii="Arial" w:eastAsia="Arial" w:hAnsi="Arial" w:cs="Arial"/>
                <w:color w:val="325F99"/>
                <w:sz w:val="18"/>
                <w:szCs w:val="18"/>
                <w:u w:val="single"/>
              </w:rPr>
              <w:t>Reactome pathways</w:t>
            </w:r>
          </w:p>
        </w:tc>
        <w:tc>
          <w:tcPr>
            <w:tcW w:w="460" w:type="dxa"/>
            <w:tcBorders>
              <w:left w:val="single" w:sz="8" w:space="0" w:color="9FA09F"/>
              <w:right w:val="single" w:sz="8" w:space="0" w:color="9FA09F"/>
            </w:tcBorders>
            <w:shd w:val="clear" w:color="auto" w:fill="EFEFEF"/>
            <w:tcMar>
              <w:top w:w="60" w:type="dxa"/>
              <w:left w:w="60" w:type="dxa"/>
              <w:bottom w:w="60" w:type="dxa"/>
              <w:right w:w="60" w:type="dxa"/>
            </w:tcMar>
          </w:tcPr>
          <w:p w14:paraId="1B6581D3"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"http://pantherdb.org/tools/compareToRefList.jsp?sortOrder=2&amp;sortList=Homo%20sapiens" </w:instrText>
            </w:r>
            <w:r>
              <w:fldChar w:fldCharType="separate"/>
            </w:r>
            <w:r>
              <w:rPr>
                <w:rFonts w:ascii="Arial" w:eastAsia="Arial" w:hAnsi="Arial" w:cs="Arial"/>
                <w:color w:val="325F99"/>
                <w:sz w:val="18"/>
                <w:szCs w:val="18"/>
                <w:u w:val="single"/>
              </w:rPr>
              <w:t>#</w:t>
            </w:r>
          </w:p>
        </w:tc>
        <w:tc>
          <w:tcPr>
            <w:tcW w:w="460" w:type="dxa"/>
            <w:tcBorders>
              <w:left w:val="single" w:sz="8" w:space="0" w:color="9FA09F"/>
            </w:tcBorders>
            <w:shd w:val="clear" w:color="auto" w:fill="EFEFEF"/>
            <w:tcMar>
              <w:top w:w="60" w:type="dxa"/>
              <w:left w:w="60" w:type="dxa"/>
              <w:bottom w:w="60" w:type="dxa"/>
              <w:right w:w="60" w:type="dxa"/>
            </w:tcMar>
          </w:tcPr>
          <w:p w14:paraId="20324E3A"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"http://pantherdb.org/tools/compareToRefList.jsp?sortOrder=2&amp;sortList=c&amp;sortField=num" </w:instrText>
            </w:r>
            <w:r>
              <w:fldChar w:fldCharType="separate"/>
            </w:r>
            <w:r>
              <w:rPr>
                <w:rFonts w:ascii="Arial" w:eastAsia="Arial" w:hAnsi="Arial" w:cs="Arial"/>
                <w:color w:val="325F99"/>
                <w:sz w:val="18"/>
                <w:szCs w:val="18"/>
                <w:u w:val="single"/>
              </w:rPr>
              <w:t>#</w:t>
            </w:r>
          </w:p>
        </w:tc>
        <w:tc>
          <w:tcPr>
            <w:tcW w:w="900" w:type="dxa"/>
            <w:shd w:val="clear" w:color="auto" w:fill="EFEFEF"/>
            <w:tcMar>
              <w:top w:w="60" w:type="dxa"/>
              <w:left w:w="60" w:type="dxa"/>
              <w:bottom w:w="60" w:type="dxa"/>
              <w:right w:w="60" w:type="dxa"/>
            </w:tcMar>
          </w:tcPr>
          <w:p w14:paraId="44EFC0FD"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"http://pantherdb.org/tools/compareToRefList.jsp?sortOrder=2&amp;sortList=c&amp;sortField=exp" </w:instrText>
            </w:r>
            <w:r>
              <w:fldChar w:fldCharType="separate"/>
            </w:r>
            <w:r>
              <w:rPr>
                <w:rFonts w:ascii="Arial" w:eastAsia="Arial" w:hAnsi="Arial" w:cs="Arial"/>
                <w:color w:val="325F99"/>
                <w:sz w:val="18"/>
                <w:szCs w:val="18"/>
                <w:u w:val="single"/>
              </w:rPr>
              <w:t>expected</w:t>
            </w:r>
          </w:p>
        </w:tc>
        <w:tc>
          <w:tcPr>
            <w:tcW w:w="1180" w:type="dxa"/>
            <w:shd w:val="clear" w:color="auto" w:fill="EFEFEF"/>
            <w:tcMar>
              <w:top w:w="60" w:type="dxa"/>
              <w:left w:w="60" w:type="dxa"/>
              <w:bottom w:w="60" w:type="dxa"/>
              <w:right w:w="60" w:type="dxa"/>
            </w:tcMar>
          </w:tcPr>
          <w:p w14:paraId="3CCB9369"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"http://pantherdb.org/tools/compareToRefList.jsp?sortOrder=2&amp;sortList=c&amp;sortField=foldEnrich" </w:instrText>
            </w:r>
            <w:r>
              <w:fldChar w:fldCharType="separate"/>
            </w:r>
            <w:r>
              <w:rPr>
                <w:rFonts w:ascii="Arial" w:eastAsia="Arial" w:hAnsi="Arial" w:cs="Arial"/>
                <w:color w:val="325F99"/>
                <w:sz w:val="18"/>
                <w:szCs w:val="18"/>
                <w:u w:val="single"/>
              </w:rPr>
              <w:t>Fold Enrichment</w:t>
            </w:r>
          </w:p>
        </w:tc>
        <w:tc>
          <w:tcPr>
            <w:tcW w:w="480" w:type="dxa"/>
            <w:shd w:val="clear" w:color="auto" w:fill="EFEFEF"/>
            <w:tcMar>
              <w:top w:w="60" w:type="dxa"/>
              <w:left w:w="60" w:type="dxa"/>
              <w:bottom w:w="60" w:type="dxa"/>
              <w:right w:w="60" w:type="dxa"/>
            </w:tcMar>
          </w:tcPr>
          <w:p w14:paraId="68E2F364"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"http://pantherdb.org/tools/compareToRefList.jsp?sortOrder=1&amp;sortList=c&amp;sortField=rep" </w:instrText>
            </w:r>
            <w:r>
              <w:fldChar w:fldCharType="separate"/>
            </w:r>
            <w:r>
              <w:rPr>
                <w:rFonts w:ascii="Arial" w:eastAsia="Arial" w:hAnsi="Arial" w:cs="Arial"/>
                <w:color w:val="325F99"/>
                <w:sz w:val="18"/>
                <w:szCs w:val="18"/>
                <w:u w:val="single"/>
              </w:rPr>
              <w:t>+/-</w:t>
            </w:r>
          </w:p>
        </w:tc>
        <w:tc>
          <w:tcPr>
            <w:tcW w:w="1240" w:type="dxa"/>
            <w:shd w:val="clear" w:color="auto" w:fill="EFEFEF"/>
            <w:tcMar>
              <w:top w:w="60" w:type="dxa"/>
              <w:left w:w="60" w:type="dxa"/>
              <w:bottom w:w="60" w:type="dxa"/>
              <w:right w:w="60" w:type="dxa"/>
            </w:tcMar>
          </w:tcPr>
          <w:p w14:paraId="65A031C5"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"http://pantherdb.org/tools/compareToRefList.jsp?sortOrder=1&amp;sortList=c&amp;sortField=pval" </w:instrText>
            </w:r>
            <w:r>
              <w:fldChar w:fldCharType="separate"/>
            </w:r>
            <w:r>
              <w:rPr>
                <w:rFonts w:ascii="Arial" w:eastAsia="Arial" w:hAnsi="Arial" w:cs="Arial"/>
                <w:color w:val="325F99"/>
                <w:sz w:val="18"/>
                <w:szCs w:val="18"/>
                <w:u w:val="single"/>
              </w:rPr>
              <w:t>P value</w:t>
            </w:r>
          </w:p>
        </w:tc>
      </w:tr>
      <w:tr w:rsidR="0077186D" w14:paraId="0C57EFAA" w14:textId="77777777" w:rsidTr="00B6058E">
        <w:trPr>
          <w:trHeight w:val="340"/>
          <w:jc w:val="center"/>
        </w:trPr>
        <w:tc>
          <w:tcPr>
            <w:tcW w:w="2340" w:type="dxa"/>
            <w:tcBorders>
              <w:right w:val="single" w:sz="8" w:space="0" w:color="9FA09F"/>
            </w:tcBorders>
            <w:tcMar>
              <w:top w:w="60" w:type="dxa"/>
              <w:left w:w="60" w:type="dxa"/>
              <w:bottom w:w="60" w:type="dxa"/>
              <w:right w:w="60" w:type="dxa"/>
            </w:tcMar>
          </w:tcPr>
          <w:p w14:paraId="65CCF291" w14:textId="77777777" w:rsidR="0077186D" w:rsidRDefault="00E47411">
            <w:pPr>
              <w:widowControl w:val="0"/>
              <w:spacing w:before="0" w:line="276" w:lineRule="auto"/>
              <w:rPr>
                <w:rFonts w:ascii="Arial" w:eastAsia="Arial" w:hAnsi="Arial" w:cs="Arial"/>
                <w:color w:val="325F99"/>
                <w:sz w:val="18"/>
                <w:szCs w:val="18"/>
                <w:u w:val="single"/>
              </w:rPr>
            </w:pPr>
            <w:r>
              <w:fldChar w:fldCharType="end"/>
            </w:r>
            <w:r>
              <w:fldChar w:fldCharType="begin"/>
            </w:r>
            <w:r>
              <w:instrText xml:space="preserve"> HYPERLINK "http://www.reactome.org/PathwayBrowser/#/R-HSA-181429" </w:instrText>
            </w:r>
            <w:r>
              <w:fldChar w:fldCharType="separate"/>
            </w:r>
            <w:r>
              <w:rPr>
                <w:rFonts w:ascii="Arial" w:eastAsia="Arial" w:hAnsi="Arial" w:cs="Arial"/>
                <w:color w:val="325F99"/>
                <w:sz w:val="18"/>
                <w:szCs w:val="18"/>
                <w:u w:val="single"/>
              </w:rPr>
              <w:t>Serotonin Neurotransmitter Release Cycle</w:t>
            </w:r>
          </w:p>
        </w:tc>
        <w:tc>
          <w:tcPr>
            <w:tcW w:w="460" w:type="dxa"/>
            <w:tcBorders>
              <w:left w:val="single" w:sz="8" w:space="0" w:color="9FA09F"/>
              <w:right w:val="single" w:sz="8" w:space="0" w:color="9FA09F"/>
            </w:tcBorders>
            <w:tcMar>
              <w:top w:w="60" w:type="dxa"/>
              <w:left w:w="60" w:type="dxa"/>
              <w:bottom w:w="60" w:type="dxa"/>
              <w:right w:w="60" w:type="dxa"/>
            </w:tcMar>
          </w:tcPr>
          <w:p w14:paraId="02828D34"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"http://pantherdb.org/tools/gxIdsList.do?acc=R-HSA-181429&amp;reflist=1" </w:instrText>
            </w:r>
            <w:r>
              <w:fldChar w:fldCharType="separate"/>
            </w:r>
            <w:r>
              <w:rPr>
                <w:rFonts w:ascii="Arial" w:eastAsia="Arial" w:hAnsi="Arial" w:cs="Arial"/>
                <w:color w:val="325F99"/>
                <w:sz w:val="18"/>
                <w:szCs w:val="18"/>
                <w:u w:val="single"/>
              </w:rPr>
              <w:t>17</w:t>
            </w:r>
          </w:p>
        </w:tc>
        <w:tc>
          <w:tcPr>
            <w:tcW w:w="460" w:type="dxa"/>
            <w:tcBorders>
              <w:left w:val="single" w:sz="8" w:space="0" w:color="9FA09F"/>
            </w:tcBorders>
            <w:tcMar>
              <w:top w:w="60" w:type="dxa"/>
              <w:left w:w="60" w:type="dxa"/>
              <w:bottom w:w="60" w:type="dxa"/>
              <w:right w:w="60" w:type="dxa"/>
            </w:tcMar>
          </w:tcPr>
          <w:p w14:paraId="656FC646"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"http://pantherdb.org/tools/gxIdsList.do?acc=R-HSA-181429&amp;list=c&amp;organism=Homo%20sapiens" </w:instrText>
            </w:r>
            <w:r>
              <w:fldChar w:fldCharType="separate"/>
            </w:r>
            <w:r>
              <w:rPr>
                <w:rFonts w:ascii="Arial" w:eastAsia="Arial" w:hAnsi="Arial" w:cs="Arial"/>
                <w:color w:val="325F99"/>
                <w:sz w:val="18"/>
                <w:szCs w:val="18"/>
                <w:u w:val="single"/>
              </w:rPr>
              <w:t>4</w:t>
            </w:r>
          </w:p>
        </w:tc>
        <w:tc>
          <w:tcPr>
            <w:tcW w:w="900" w:type="dxa"/>
            <w:tcMar>
              <w:top w:w="60" w:type="dxa"/>
              <w:left w:w="60" w:type="dxa"/>
              <w:bottom w:w="60" w:type="dxa"/>
              <w:right w:w="60" w:type="dxa"/>
            </w:tcMar>
          </w:tcPr>
          <w:p w14:paraId="0C166917" w14:textId="77777777" w:rsidR="0077186D" w:rsidRDefault="00E47411">
            <w:pPr>
              <w:widowControl w:val="0"/>
              <w:spacing w:before="0" w:line="276" w:lineRule="auto"/>
              <w:jc w:val="center"/>
              <w:rPr>
                <w:rFonts w:ascii="Arial" w:eastAsia="Arial" w:hAnsi="Arial" w:cs="Arial"/>
                <w:color w:val="414141"/>
                <w:sz w:val="18"/>
                <w:szCs w:val="18"/>
              </w:rPr>
            </w:pPr>
            <w:r>
              <w:fldChar w:fldCharType="end"/>
            </w:r>
            <w:r>
              <w:rPr>
                <w:rFonts w:ascii="Arial" w:eastAsia="Arial" w:hAnsi="Arial" w:cs="Arial"/>
                <w:color w:val="414141"/>
                <w:sz w:val="18"/>
                <w:szCs w:val="18"/>
              </w:rPr>
              <w:t>.16</w:t>
            </w:r>
          </w:p>
        </w:tc>
        <w:tc>
          <w:tcPr>
            <w:tcW w:w="1180" w:type="dxa"/>
            <w:tcMar>
              <w:top w:w="60" w:type="dxa"/>
              <w:left w:w="60" w:type="dxa"/>
              <w:bottom w:w="60" w:type="dxa"/>
              <w:right w:w="60" w:type="dxa"/>
            </w:tcMar>
          </w:tcPr>
          <w:p w14:paraId="52CA52EC"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25.01</w:t>
            </w:r>
          </w:p>
        </w:tc>
        <w:tc>
          <w:tcPr>
            <w:tcW w:w="480" w:type="dxa"/>
            <w:tcMar>
              <w:top w:w="60" w:type="dxa"/>
              <w:left w:w="60" w:type="dxa"/>
              <w:bottom w:w="60" w:type="dxa"/>
              <w:right w:w="60" w:type="dxa"/>
            </w:tcMar>
          </w:tcPr>
          <w:p w14:paraId="36DC1116"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w:t>
            </w:r>
          </w:p>
        </w:tc>
        <w:tc>
          <w:tcPr>
            <w:tcW w:w="1240" w:type="dxa"/>
            <w:tcMar>
              <w:top w:w="60" w:type="dxa"/>
              <w:left w:w="60" w:type="dxa"/>
              <w:bottom w:w="60" w:type="dxa"/>
              <w:right w:w="60" w:type="dxa"/>
            </w:tcMar>
          </w:tcPr>
          <w:p w14:paraId="33883B4E"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4.14E-02</w:t>
            </w:r>
          </w:p>
        </w:tc>
      </w:tr>
      <w:tr w:rsidR="0077186D" w14:paraId="692B7166" w14:textId="77777777" w:rsidTr="00B6058E">
        <w:trPr>
          <w:trHeight w:val="360"/>
          <w:jc w:val="center"/>
        </w:trPr>
        <w:tc>
          <w:tcPr>
            <w:tcW w:w="2340" w:type="dxa"/>
            <w:tcBorders>
              <w:right w:val="single" w:sz="8" w:space="0" w:color="9FA09F"/>
            </w:tcBorders>
            <w:shd w:val="clear" w:color="auto" w:fill="EFEFEF"/>
            <w:tcMar>
              <w:top w:w="60" w:type="dxa"/>
              <w:left w:w="60" w:type="dxa"/>
              <w:bottom w:w="60" w:type="dxa"/>
              <w:right w:w="60" w:type="dxa"/>
            </w:tcMar>
          </w:tcPr>
          <w:p w14:paraId="2491F572" w14:textId="77777777" w:rsidR="0077186D" w:rsidRDefault="00E47411">
            <w:pPr>
              <w:widowControl w:val="0"/>
              <w:spacing w:before="0" w:line="276" w:lineRule="auto"/>
              <w:rPr>
                <w:rFonts w:ascii="Arial" w:eastAsia="Arial" w:hAnsi="Arial" w:cs="Arial"/>
                <w:color w:val="325F99"/>
                <w:sz w:val="18"/>
                <w:szCs w:val="18"/>
                <w:u w:val="single"/>
              </w:rPr>
            </w:pPr>
            <w:r>
              <w:fldChar w:fldCharType="begin"/>
            </w:r>
            <w:r>
              <w:instrText xml:space="preserve"> HYPERLINK "http://www.reactome.org/PathwayBrowser/#/R-HSA-112310" </w:instrText>
            </w:r>
            <w:r>
              <w:fldChar w:fldCharType="separate"/>
            </w:r>
            <w:r>
              <w:rPr>
                <w:rFonts w:ascii="Arial" w:eastAsia="Arial" w:hAnsi="Arial" w:cs="Arial"/>
                <w:color w:val="325F99"/>
                <w:sz w:val="18"/>
                <w:szCs w:val="18"/>
                <w:u w:val="single"/>
              </w:rPr>
              <w:t>Neurotransmitter Release Cycle</w:t>
            </w:r>
          </w:p>
        </w:tc>
        <w:tc>
          <w:tcPr>
            <w:tcW w:w="460" w:type="dxa"/>
            <w:tcBorders>
              <w:left w:val="single" w:sz="8" w:space="0" w:color="9FA09F"/>
              <w:right w:val="single" w:sz="8" w:space="0" w:color="9FA09F"/>
            </w:tcBorders>
            <w:shd w:val="clear" w:color="auto" w:fill="EFEFEF"/>
            <w:tcMar>
              <w:top w:w="60" w:type="dxa"/>
              <w:left w:w="60" w:type="dxa"/>
              <w:bottom w:w="60" w:type="dxa"/>
              <w:right w:w="60" w:type="dxa"/>
            </w:tcMar>
          </w:tcPr>
          <w:p w14:paraId="0E81E218"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"http://pantherdb.org/tools/gxIdsList.do?acc=R-HSA-112310&amp;reflist=1" </w:instrText>
            </w:r>
            <w:r>
              <w:fldChar w:fldCharType="separate"/>
            </w:r>
            <w:r>
              <w:rPr>
                <w:rFonts w:ascii="Arial" w:eastAsia="Arial" w:hAnsi="Arial" w:cs="Arial"/>
                <w:color w:val="325F99"/>
                <w:sz w:val="18"/>
                <w:szCs w:val="18"/>
                <w:u w:val="single"/>
              </w:rPr>
              <w:t>50</w:t>
            </w:r>
          </w:p>
        </w:tc>
        <w:tc>
          <w:tcPr>
            <w:tcW w:w="460" w:type="dxa"/>
            <w:tcBorders>
              <w:left w:val="single" w:sz="8" w:space="0" w:color="9FA09F"/>
            </w:tcBorders>
            <w:shd w:val="clear" w:color="auto" w:fill="EFEFEF"/>
            <w:tcMar>
              <w:top w:w="60" w:type="dxa"/>
              <w:left w:w="60" w:type="dxa"/>
              <w:bottom w:w="60" w:type="dxa"/>
              <w:right w:w="60" w:type="dxa"/>
            </w:tcMar>
          </w:tcPr>
          <w:p w14:paraId="27CB77BB"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"http://pantherdb.org/tools/gxIdsList.do?acc=R-HSA-112310&amp;list=c&amp;organism=Homo%20sapiens" </w:instrText>
            </w:r>
            <w:r>
              <w:fldChar w:fldCharType="separate"/>
            </w:r>
            <w:r>
              <w:rPr>
                <w:rFonts w:ascii="Arial" w:eastAsia="Arial" w:hAnsi="Arial" w:cs="Arial"/>
                <w:color w:val="325F99"/>
                <w:sz w:val="18"/>
                <w:szCs w:val="18"/>
                <w:u w:val="single"/>
              </w:rPr>
              <w:t>6</w:t>
            </w:r>
          </w:p>
        </w:tc>
        <w:tc>
          <w:tcPr>
            <w:tcW w:w="900" w:type="dxa"/>
            <w:shd w:val="clear" w:color="auto" w:fill="EFEFEF"/>
            <w:tcMar>
              <w:top w:w="60" w:type="dxa"/>
              <w:left w:w="60" w:type="dxa"/>
              <w:bottom w:w="60" w:type="dxa"/>
              <w:right w:w="60" w:type="dxa"/>
            </w:tcMar>
          </w:tcPr>
          <w:p w14:paraId="43BCFF93" w14:textId="77777777" w:rsidR="0077186D" w:rsidRDefault="00E47411">
            <w:pPr>
              <w:widowControl w:val="0"/>
              <w:spacing w:before="0" w:line="276" w:lineRule="auto"/>
              <w:jc w:val="center"/>
              <w:rPr>
                <w:rFonts w:ascii="Arial" w:eastAsia="Arial" w:hAnsi="Arial" w:cs="Arial"/>
                <w:color w:val="414141"/>
                <w:sz w:val="18"/>
                <w:szCs w:val="18"/>
              </w:rPr>
            </w:pPr>
            <w:r>
              <w:fldChar w:fldCharType="end"/>
            </w:r>
            <w:r>
              <w:rPr>
                <w:rFonts w:ascii="Arial" w:eastAsia="Arial" w:hAnsi="Arial" w:cs="Arial"/>
                <w:color w:val="414141"/>
                <w:sz w:val="18"/>
                <w:szCs w:val="18"/>
              </w:rPr>
              <w:t>.47</w:t>
            </w:r>
          </w:p>
        </w:tc>
        <w:tc>
          <w:tcPr>
            <w:tcW w:w="1180" w:type="dxa"/>
            <w:shd w:val="clear" w:color="auto" w:fill="EFEFEF"/>
            <w:tcMar>
              <w:top w:w="60" w:type="dxa"/>
              <w:left w:w="60" w:type="dxa"/>
              <w:bottom w:w="60" w:type="dxa"/>
              <w:right w:w="60" w:type="dxa"/>
            </w:tcMar>
          </w:tcPr>
          <w:p w14:paraId="44A57E8C"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12.75</w:t>
            </w:r>
          </w:p>
        </w:tc>
        <w:tc>
          <w:tcPr>
            <w:tcW w:w="480" w:type="dxa"/>
            <w:shd w:val="clear" w:color="auto" w:fill="EFEFEF"/>
            <w:tcMar>
              <w:top w:w="60" w:type="dxa"/>
              <w:left w:w="60" w:type="dxa"/>
              <w:bottom w:w="60" w:type="dxa"/>
              <w:right w:w="60" w:type="dxa"/>
            </w:tcMar>
          </w:tcPr>
          <w:p w14:paraId="1BF49A07"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w:t>
            </w:r>
          </w:p>
        </w:tc>
        <w:tc>
          <w:tcPr>
            <w:tcW w:w="1240" w:type="dxa"/>
            <w:shd w:val="clear" w:color="auto" w:fill="EFEFEF"/>
            <w:tcMar>
              <w:top w:w="60" w:type="dxa"/>
              <w:left w:w="60" w:type="dxa"/>
              <w:bottom w:w="60" w:type="dxa"/>
              <w:right w:w="60" w:type="dxa"/>
            </w:tcMar>
          </w:tcPr>
          <w:p w14:paraId="11C5B7DE"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1.68E-02</w:t>
            </w:r>
          </w:p>
        </w:tc>
      </w:tr>
      <w:tr w:rsidR="0077186D" w14:paraId="71489D33" w14:textId="77777777" w:rsidTr="00B6058E">
        <w:trPr>
          <w:trHeight w:val="360"/>
          <w:jc w:val="center"/>
        </w:trPr>
        <w:tc>
          <w:tcPr>
            <w:tcW w:w="2340" w:type="dxa"/>
            <w:tcBorders>
              <w:right w:val="single" w:sz="8" w:space="0" w:color="9FA09F"/>
            </w:tcBorders>
            <w:tcMar>
              <w:top w:w="60" w:type="dxa"/>
              <w:left w:w="60" w:type="dxa"/>
              <w:bottom w:w="60" w:type="dxa"/>
              <w:right w:w="60" w:type="dxa"/>
            </w:tcMar>
          </w:tcPr>
          <w:p w14:paraId="42AA4746" w14:textId="77777777" w:rsidR="0077186D" w:rsidRDefault="00E47411">
            <w:pPr>
              <w:widowControl w:val="0"/>
              <w:spacing w:before="0" w:line="276" w:lineRule="auto"/>
              <w:rPr>
                <w:rFonts w:ascii="Arial" w:eastAsia="Arial" w:hAnsi="Arial" w:cs="Arial"/>
                <w:color w:val="325F99"/>
                <w:sz w:val="18"/>
                <w:szCs w:val="18"/>
                <w:u w:val="single"/>
              </w:rPr>
            </w:pPr>
            <w:r>
              <w:fldChar w:fldCharType="begin"/>
            </w:r>
            <w:r>
              <w:instrText xml:space="preserve"> HYPERLINK "http://www.reactome.org/PathwayBrowser/#/R-HSA-112316" </w:instrText>
            </w:r>
            <w:r>
              <w:fldChar w:fldCharType="separate"/>
            </w:r>
            <w:r>
              <w:rPr>
                <w:rFonts w:ascii="Arial" w:eastAsia="Arial" w:hAnsi="Arial" w:cs="Arial"/>
                <w:color w:val="325F99"/>
                <w:sz w:val="18"/>
                <w:szCs w:val="18"/>
                <w:u w:val="single"/>
              </w:rPr>
              <w:t>Neuronal System</w:t>
            </w:r>
          </w:p>
        </w:tc>
        <w:tc>
          <w:tcPr>
            <w:tcW w:w="460" w:type="dxa"/>
            <w:tcBorders>
              <w:left w:val="single" w:sz="8" w:space="0" w:color="9FA09F"/>
              <w:right w:val="single" w:sz="8" w:space="0" w:color="9FA09F"/>
            </w:tcBorders>
            <w:tcMar>
              <w:top w:w="60" w:type="dxa"/>
              <w:left w:w="60" w:type="dxa"/>
              <w:bottom w:w="60" w:type="dxa"/>
              <w:right w:w="60" w:type="dxa"/>
            </w:tcMar>
          </w:tcPr>
          <w:p w14:paraId="197D0D84"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"http://pantherdb.org/tools/gxIdsList.do?acc=R-HSA-112316&amp;reflist=1" </w:instrText>
            </w:r>
            <w:r>
              <w:fldChar w:fldCharType="separate"/>
            </w:r>
            <w:r>
              <w:rPr>
                <w:rFonts w:ascii="Arial" w:eastAsia="Arial" w:hAnsi="Arial" w:cs="Arial"/>
                <w:color w:val="325F99"/>
                <w:sz w:val="18"/>
                <w:szCs w:val="18"/>
                <w:u w:val="single"/>
              </w:rPr>
              <w:t>337</w:t>
            </w:r>
          </w:p>
        </w:tc>
        <w:tc>
          <w:tcPr>
            <w:tcW w:w="460" w:type="dxa"/>
            <w:tcBorders>
              <w:left w:val="single" w:sz="8" w:space="0" w:color="9FA09F"/>
            </w:tcBorders>
            <w:tcMar>
              <w:top w:w="60" w:type="dxa"/>
              <w:left w:w="60" w:type="dxa"/>
              <w:bottom w:w="60" w:type="dxa"/>
              <w:right w:w="60" w:type="dxa"/>
            </w:tcMar>
          </w:tcPr>
          <w:p w14:paraId="6D7C468F"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"http://pantherdb.org/tools/gxIdsList.do?acc=R-HSA-112316&amp;list=c&amp;organism=Homo%20sapiens" </w:instrText>
            </w:r>
            <w:r>
              <w:fldChar w:fldCharType="separate"/>
            </w:r>
            <w:r>
              <w:rPr>
                <w:rFonts w:ascii="Arial" w:eastAsia="Arial" w:hAnsi="Arial" w:cs="Arial"/>
                <w:color w:val="325F99"/>
                <w:sz w:val="18"/>
                <w:szCs w:val="18"/>
                <w:u w:val="single"/>
              </w:rPr>
              <w:t>14</w:t>
            </w:r>
          </w:p>
        </w:tc>
        <w:tc>
          <w:tcPr>
            <w:tcW w:w="900" w:type="dxa"/>
            <w:tcMar>
              <w:top w:w="60" w:type="dxa"/>
              <w:left w:w="60" w:type="dxa"/>
              <w:bottom w:w="60" w:type="dxa"/>
              <w:right w:w="60" w:type="dxa"/>
            </w:tcMar>
          </w:tcPr>
          <w:p w14:paraId="53ABD256" w14:textId="77777777" w:rsidR="0077186D" w:rsidRDefault="00E47411">
            <w:pPr>
              <w:widowControl w:val="0"/>
              <w:spacing w:before="0" w:line="276" w:lineRule="auto"/>
              <w:jc w:val="center"/>
              <w:rPr>
                <w:rFonts w:ascii="Arial" w:eastAsia="Arial" w:hAnsi="Arial" w:cs="Arial"/>
                <w:color w:val="414141"/>
                <w:sz w:val="18"/>
                <w:szCs w:val="18"/>
              </w:rPr>
            </w:pPr>
            <w:r>
              <w:fldChar w:fldCharType="end"/>
            </w:r>
            <w:r>
              <w:rPr>
                <w:rFonts w:ascii="Arial" w:eastAsia="Arial" w:hAnsi="Arial" w:cs="Arial"/>
                <w:color w:val="414141"/>
                <w:sz w:val="18"/>
                <w:szCs w:val="18"/>
              </w:rPr>
              <w:t>3.17</w:t>
            </w:r>
          </w:p>
        </w:tc>
        <w:tc>
          <w:tcPr>
            <w:tcW w:w="1180" w:type="dxa"/>
            <w:tcMar>
              <w:top w:w="60" w:type="dxa"/>
              <w:left w:w="60" w:type="dxa"/>
              <w:bottom w:w="60" w:type="dxa"/>
              <w:right w:w="60" w:type="dxa"/>
            </w:tcMar>
          </w:tcPr>
          <w:p w14:paraId="01B106C9"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4.41</w:t>
            </w:r>
          </w:p>
        </w:tc>
        <w:tc>
          <w:tcPr>
            <w:tcW w:w="480" w:type="dxa"/>
            <w:tcMar>
              <w:top w:w="60" w:type="dxa"/>
              <w:left w:w="60" w:type="dxa"/>
              <w:bottom w:w="60" w:type="dxa"/>
              <w:right w:w="60" w:type="dxa"/>
            </w:tcMar>
          </w:tcPr>
          <w:p w14:paraId="7F5E02D1"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w:t>
            </w:r>
          </w:p>
        </w:tc>
        <w:tc>
          <w:tcPr>
            <w:tcW w:w="1240" w:type="dxa"/>
            <w:tcMar>
              <w:top w:w="60" w:type="dxa"/>
              <w:left w:w="60" w:type="dxa"/>
              <w:bottom w:w="60" w:type="dxa"/>
              <w:right w:w="60" w:type="dxa"/>
            </w:tcMar>
          </w:tcPr>
          <w:p w14:paraId="549EF5CD"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8.43E-03</w:t>
            </w:r>
          </w:p>
        </w:tc>
      </w:tr>
      <w:tr w:rsidR="0077186D" w14:paraId="55DAE75C" w14:textId="77777777" w:rsidTr="00B6058E">
        <w:trPr>
          <w:trHeight w:val="340"/>
          <w:jc w:val="center"/>
        </w:trPr>
        <w:tc>
          <w:tcPr>
            <w:tcW w:w="2340" w:type="dxa"/>
            <w:tcBorders>
              <w:right w:val="single" w:sz="8" w:space="0" w:color="9FA09F"/>
            </w:tcBorders>
            <w:shd w:val="clear" w:color="auto" w:fill="EFEFEF"/>
            <w:tcMar>
              <w:top w:w="60" w:type="dxa"/>
              <w:left w:w="60" w:type="dxa"/>
              <w:bottom w:w="60" w:type="dxa"/>
              <w:right w:w="60" w:type="dxa"/>
            </w:tcMar>
          </w:tcPr>
          <w:p w14:paraId="09C3A4AB" w14:textId="77777777" w:rsidR="0077186D" w:rsidRDefault="00E47411">
            <w:pPr>
              <w:widowControl w:val="0"/>
              <w:spacing w:before="0" w:line="276" w:lineRule="auto"/>
              <w:rPr>
                <w:rFonts w:ascii="Arial" w:eastAsia="Arial" w:hAnsi="Arial" w:cs="Arial"/>
                <w:color w:val="325F99"/>
                <w:sz w:val="18"/>
                <w:szCs w:val="18"/>
                <w:u w:val="single"/>
              </w:rPr>
            </w:pPr>
            <w:r>
              <w:fldChar w:fldCharType="begin"/>
            </w:r>
            <w:r>
              <w:instrText xml:space="preserve"> HYPERLINK "http://www.reactome.org/PathwayBrowser/#/R-HSA-212676" </w:instrText>
            </w:r>
            <w:r>
              <w:fldChar w:fldCharType="separate"/>
            </w:r>
            <w:r>
              <w:rPr>
                <w:rFonts w:ascii="Arial" w:eastAsia="Arial" w:hAnsi="Arial" w:cs="Arial"/>
                <w:color w:val="325F99"/>
                <w:sz w:val="18"/>
                <w:szCs w:val="18"/>
                <w:u w:val="single"/>
              </w:rPr>
              <w:t>Dopamine Neurotransmitter Release Cycle</w:t>
            </w:r>
          </w:p>
        </w:tc>
        <w:tc>
          <w:tcPr>
            <w:tcW w:w="460" w:type="dxa"/>
            <w:tcBorders>
              <w:left w:val="single" w:sz="8" w:space="0" w:color="9FA09F"/>
              <w:right w:val="single" w:sz="8" w:space="0" w:color="9FA09F"/>
            </w:tcBorders>
            <w:shd w:val="clear" w:color="auto" w:fill="EFEFEF"/>
            <w:tcMar>
              <w:top w:w="60" w:type="dxa"/>
              <w:left w:w="60" w:type="dxa"/>
              <w:bottom w:w="60" w:type="dxa"/>
              <w:right w:w="60" w:type="dxa"/>
            </w:tcMar>
          </w:tcPr>
          <w:p w14:paraId="3190E068"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"http://pantherdb.org/tools/gxIdsList.do?acc=R-HSA-212676&amp;reflist=1" </w:instrText>
            </w:r>
            <w:r>
              <w:fldChar w:fldCharType="separate"/>
            </w:r>
            <w:r>
              <w:rPr>
                <w:rFonts w:ascii="Arial" w:eastAsia="Arial" w:hAnsi="Arial" w:cs="Arial"/>
                <w:color w:val="325F99"/>
                <w:sz w:val="18"/>
                <w:szCs w:val="18"/>
                <w:u w:val="single"/>
              </w:rPr>
              <w:t>22</w:t>
            </w:r>
          </w:p>
        </w:tc>
        <w:tc>
          <w:tcPr>
            <w:tcW w:w="460" w:type="dxa"/>
            <w:tcBorders>
              <w:left w:val="single" w:sz="8" w:space="0" w:color="9FA09F"/>
            </w:tcBorders>
            <w:shd w:val="clear" w:color="auto" w:fill="EFEFEF"/>
            <w:tcMar>
              <w:top w:w="60" w:type="dxa"/>
              <w:left w:w="60" w:type="dxa"/>
              <w:bottom w:w="60" w:type="dxa"/>
              <w:right w:w="60" w:type="dxa"/>
            </w:tcMar>
          </w:tcPr>
          <w:p w14:paraId="1DFDB6AC" w14:textId="77777777" w:rsidR="0077186D" w:rsidRDefault="00E47411">
            <w:pPr>
              <w:widowControl w:val="0"/>
              <w:spacing w:before="0" w:line="276" w:lineRule="auto"/>
              <w:jc w:val="center"/>
              <w:rPr>
                <w:rFonts w:ascii="Arial" w:eastAsia="Arial" w:hAnsi="Arial" w:cs="Arial"/>
                <w:color w:val="325F99"/>
                <w:sz w:val="18"/>
                <w:szCs w:val="18"/>
                <w:u w:val="single"/>
              </w:rPr>
            </w:pPr>
            <w:r>
              <w:fldChar w:fldCharType="end"/>
            </w:r>
            <w:r>
              <w:fldChar w:fldCharType="begin"/>
            </w:r>
            <w:r>
              <w:instrText xml:space="preserve"> HYPERLINK "http://pantherdb.org/tools/gxIdsList.do?acc=R-HSA-212676&amp;list=c&amp;organism=Homo%20sapiens" </w:instrText>
            </w:r>
            <w:r>
              <w:fldChar w:fldCharType="separate"/>
            </w:r>
            <w:r>
              <w:rPr>
                <w:rFonts w:ascii="Arial" w:eastAsia="Arial" w:hAnsi="Arial" w:cs="Arial"/>
                <w:color w:val="325F99"/>
                <w:sz w:val="18"/>
                <w:szCs w:val="18"/>
                <w:u w:val="single"/>
              </w:rPr>
              <w:t>5</w:t>
            </w:r>
          </w:p>
        </w:tc>
        <w:tc>
          <w:tcPr>
            <w:tcW w:w="900" w:type="dxa"/>
            <w:shd w:val="clear" w:color="auto" w:fill="EFEFEF"/>
            <w:tcMar>
              <w:top w:w="60" w:type="dxa"/>
              <w:left w:w="60" w:type="dxa"/>
              <w:bottom w:w="60" w:type="dxa"/>
              <w:right w:w="60" w:type="dxa"/>
            </w:tcMar>
          </w:tcPr>
          <w:p w14:paraId="2955A380" w14:textId="77777777" w:rsidR="0077186D" w:rsidRDefault="00E47411">
            <w:pPr>
              <w:widowControl w:val="0"/>
              <w:spacing w:before="0" w:line="276" w:lineRule="auto"/>
              <w:jc w:val="center"/>
              <w:rPr>
                <w:rFonts w:ascii="Arial" w:eastAsia="Arial" w:hAnsi="Arial" w:cs="Arial"/>
                <w:color w:val="414141"/>
                <w:sz w:val="18"/>
                <w:szCs w:val="18"/>
              </w:rPr>
            </w:pPr>
            <w:r>
              <w:fldChar w:fldCharType="end"/>
            </w:r>
            <w:r>
              <w:rPr>
                <w:rFonts w:ascii="Arial" w:eastAsia="Arial" w:hAnsi="Arial" w:cs="Arial"/>
                <w:color w:val="414141"/>
                <w:sz w:val="18"/>
                <w:szCs w:val="18"/>
              </w:rPr>
              <w:t>.21</w:t>
            </w:r>
          </w:p>
        </w:tc>
        <w:tc>
          <w:tcPr>
            <w:tcW w:w="1180" w:type="dxa"/>
            <w:shd w:val="clear" w:color="auto" w:fill="EFEFEF"/>
            <w:tcMar>
              <w:top w:w="60" w:type="dxa"/>
              <w:left w:w="60" w:type="dxa"/>
              <w:bottom w:w="60" w:type="dxa"/>
              <w:right w:w="60" w:type="dxa"/>
            </w:tcMar>
          </w:tcPr>
          <w:p w14:paraId="556E361F"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24.15</w:t>
            </w:r>
          </w:p>
        </w:tc>
        <w:tc>
          <w:tcPr>
            <w:tcW w:w="480" w:type="dxa"/>
            <w:shd w:val="clear" w:color="auto" w:fill="EFEFEF"/>
            <w:tcMar>
              <w:top w:w="60" w:type="dxa"/>
              <w:left w:w="60" w:type="dxa"/>
              <w:bottom w:w="60" w:type="dxa"/>
              <w:right w:w="60" w:type="dxa"/>
            </w:tcMar>
          </w:tcPr>
          <w:p w14:paraId="001F2E30"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w:t>
            </w:r>
          </w:p>
        </w:tc>
        <w:tc>
          <w:tcPr>
            <w:tcW w:w="1240" w:type="dxa"/>
            <w:shd w:val="clear" w:color="auto" w:fill="EFEFEF"/>
            <w:tcMar>
              <w:top w:w="60" w:type="dxa"/>
              <w:left w:w="60" w:type="dxa"/>
              <w:bottom w:w="60" w:type="dxa"/>
              <w:right w:w="60" w:type="dxa"/>
            </w:tcMar>
          </w:tcPr>
          <w:p w14:paraId="473BA2A1" w14:textId="77777777" w:rsidR="0077186D" w:rsidRDefault="00E47411">
            <w:pPr>
              <w:widowControl w:val="0"/>
              <w:spacing w:before="0" w:line="276" w:lineRule="auto"/>
              <w:jc w:val="center"/>
              <w:rPr>
                <w:rFonts w:ascii="Arial" w:eastAsia="Arial" w:hAnsi="Arial" w:cs="Arial"/>
                <w:color w:val="414141"/>
                <w:sz w:val="18"/>
                <w:szCs w:val="18"/>
              </w:rPr>
            </w:pPr>
            <w:r>
              <w:rPr>
                <w:rFonts w:ascii="Arial" w:eastAsia="Arial" w:hAnsi="Arial" w:cs="Arial"/>
                <w:color w:val="414141"/>
                <w:sz w:val="18"/>
                <w:szCs w:val="18"/>
              </w:rPr>
              <w:t>4.52E-03</w:t>
            </w:r>
          </w:p>
        </w:tc>
      </w:tr>
    </w:tbl>
    <w:p w14:paraId="48183E3A" w14:textId="77777777" w:rsidR="0077186D" w:rsidRPr="00605DD0" w:rsidRDefault="00E47411">
      <w:pPr>
        <w:widowControl w:val="0"/>
        <w:pBdr>
          <w:top w:val="single" w:sz="4" w:space="2" w:color="000000"/>
          <w:left w:val="single" w:sz="4" w:space="2" w:color="000000"/>
          <w:bottom w:val="single" w:sz="4" w:space="2" w:color="000000"/>
          <w:right w:val="single" w:sz="4" w:space="2" w:color="000000"/>
        </w:pBdr>
        <w:spacing w:before="80" w:after="120" w:line="240" w:lineRule="auto"/>
        <w:rPr>
          <w:rFonts w:ascii="Helvetica" w:hAnsi="Helvetica"/>
          <w:sz w:val="26"/>
          <w:szCs w:val="26"/>
        </w:rPr>
      </w:pPr>
      <w:r w:rsidRPr="00605DD0">
        <w:rPr>
          <w:rFonts w:ascii="Helvetica" w:eastAsia="Helvetica Neue" w:hAnsi="Helvetica" w:cs="Helvetica Neue"/>
          <w:b/>
          <w:color w:val="000000"/>
          <w:sz w:val="18"/>
          <w:szCs w:val="18"/>
        </w:rPr>
        <w:t>Table S4.3 Reactome pathway enrichment for most impactful genes in the RCA PC1 dimension.</w:t>
      </w:r>
      <w:r w:rsidRPr="00605DD0">
        <w:rPr>
          <w:rFonts w:ascii="Helvetica" w:eastAsia="Helvetica Neue" w:hAnsi="Helvetica" w:cs="Helvetica Neue"/>
          <w:color w:val="000000"/>
          <w:sz w:val="18"/>
          <w:szCs w:val="18"/>
        </w:rPr>
        <w:t xml:space="preserve"> Pathway enrichment for the top genes selected in the Fig. S4.2 analysis. </w:t>
      </w:r>
    </w:p>
    <w:p w14:paraId="6517FFC0" w14:textId="77777777" w:rsidR="0077186D" w:rsidRPr="00CB6EBD" w:rsidRDefault="00E47411">
      <w:pPr>
        <w:pStyle w:val="Heading2"/>
        <w:spacing w:before="200" w:after="160"/>
        <w:rPr>
          <w:rFonts w:ascii="Helvetica" w:hAnsi="Helvetica"/>
          <w:sz w:val="28"/>
          <w:szCs w:val="28"/>
        </w:rPr>
      </w:pPr>
      <w:bookmarkStart w:id="28" w:name="_a7de51yfspg8" w:colFirst="0" w:colLast="0"/>
      <w:bookmarkEnd w:id="28"/>
      <w:r w:rsidRPr="00CB6EBD">
        <w:rPr>
          <w:rFonts w:ascii="Helvetica" w:hAnsi="Helvetica"/>
          <w:sz w:val="28"/>
          <w:szCs w:val="28"/>
        </w:rPr>
        <w:t>S4.2 Non-coding RNAs and TARs</w:t>
      </w:r>
    </w:p>
    <w:p w14:paraId="64BB49EE"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We used uniformly processed RNA-seq signal data from healthy individuals from GTEx 6p and PsychENCODE to quantify the expression activity of annotated and non-annotated regions of the human genome. In order to create signal files, we used alignment files (bam files) as input to RSEM to create both uniquely aligned and multiple aligned signal tracks. Signal values were normalized within samples using the total number of reads mapped to the genome and by generating RPM values. We divided the genome into bins of 100 base pairs and calculated the average expression (RPM) in windows. We finally selected regions in the genome with an RPM higher than 0.1 to filter transcriptionally active regions. The union of all bins in the human genome above the threshold was used to build a resource of active regions of the human brain. To estimate the proportion of coding and non-coding (i.e., non-coding and unannotated) regions, we overlapped active regions to the GENCODE v19 annotation. For each annotation class, we estimated the cumulative proportion of coding and non-coding regions (Fig. S4.4). </w:t>
      </w:r>
    </w:p>
    <w:p w14:paraId="00101FDC" w14:textId="36D50F88" w:rsidR="0077186D" w:rsidRPr="00FC4E97" w:rsidRDefault="00FC4E97" w:rsidP="00FC4E97">
      <w:pPr>
        <w:spacing w:before="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0FA23872" wp14:editId="035D5861">
            <wp:extent cx="2860040" cy="2860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4.4 cumulative trancriptome diversity.pdf"/>
                    <pic:cNvPicPr/>
                  </pic:nvPicPr>
                  <pic:blipFill>
                    <a:blip r:embed="rId28">
                      <a:extLst>
                        <a:ext uri="{28A0092B-C50C-407E-A947-70E740481C1C}">
                          <a14:useLocalDpi xmlns:a14="http://schemas.microsoft.com/office/drawing/2010/main" val="0"/>
                        </a:ext>
                      </a:extLst>
                    </a:blip>
                    <a:stretch>
                      <a:fillRect/>
                    </a:stretch>
                  </pic:blipFill>
                  <pic:spPr>
                    <a:xfrm>
                      <a:off x="0" y="0"/>
                      <a:ext cx="2860040" cy="2860040"/>
                    </a:xfrm>
                    <a:prstGeom prst="rect">
                      <a:avLst/>
                    </a:prstGeom>
                  </pic:spPr>
                </pic:pic>
              </a:graphicData>
            </a:graphic>
          </wp:inline>
        </w:drawing>
      </w:r>
    </w:p>
    <w:p w14:paraId="05A2D9B9"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S4.4 Cumulative distribution of transcribed regions in the human brain and other tissues. </w:t>
      </w:r>
      <w:r w:rsidRPr="00605DD0">
        <w:rPr>
          <w:rFonts w:ascii="Helvetica" w:eastAsia="Helvetica Neue" w:hAnsi="Helvetica" w:cs="Helvetica Neue"/>
          <w:sz w:val="18"/>
          <w:szCs w:val="18"/>
        </w:rPr>
        <w:t>The</w:t>
      </w:r>
      <w:r w:rsidRPr="00605DD0">
        <w:rPr>
          <w:rFonts w:ascii="Helvetica" w:eastAsia="Helvetica Neue" w:hAnsi="Helvetica" w:cs="Helvetica Neue"/>
          <w:b/>
          <w:sz w:val="18"/>
          <w:szCs w:val="18"/>
        </w:rPr>
        <w:t xml:space="preserve"> </w:t>
      </w:r>
      <w:r w:rsidRPr="00605DD0">
        <w:rPr>
          <w:rFonts w:ascii="Helvetica" w:eastAsia="Helvetica Neue" w:hAnsi="Helvetica" w:cs="Helvetica Neue"/>
          <w:sz w:val="18"/>
          <w:szCs w:val="18"/>
        </w:rPr>
        <w:t>Y axis shows the cumulative transcribed proportion of annotated and unannotated regions (coding or non-coding). The X axis shows the number of transcriptomes (or individuals) analyzed. Labels on the right-hand side of the figure display the maximum cumulative proportion found.</w:t>
      </w:r>
    </w:p>
    <w:p w14:paraId="5387346C" w14:textId="77777777" w:rsidR="0077186D" w:rsidRDefault="0077186D">
      <w:pPr>
        <w:spacing w:before="0" w:line="240" w:lineRule="auto"/>
        <w:rPr>
          <w:rFonts w:ascii="Times New Roman" w:eastAsia="Times New Roman" w:hAnsi="Times New Roman" w:cs="Times New Roman"/>
        </w:rPr>
      </w:pPr>
    </w:p>
    <w:p w14:paraId="04F2ECCC"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We fit the curves on Fig. S4.4 to cumulative exponential curves to estimate a per tissue upper bound of the proportion of coding and non-coding transcribed regions. We observed that most tissues were transcriptomically saturated at approximately 100 individuals. Moreover, although a large (65-75%) of the coding transcriptome was active, only (3-10%) of the non-coding transcriptome was active. By contrast, the absolute number of nucleotides active in non-coding regions (which include non-annotated regions) was much larger than in coding regions. In Fig. 3, we estimated inter-tissue variability by calculating the cumulative transcriptome diversity as stated above; inter-sample diversity was defined as the average diversity across samples in a tissue-based fashion. Values displayed in Fig. 3 were normalized by average diversity in coding and non-coding regions, respectively. The inter-sample variability was estimated by calculating the mean difference. Absolute values for coding and non-coding transcriptome diversity were also estimated.</w:t>
      </w:r>
      <w:r>
        <w:rPr>
          <w:rFonts w:ascii="Times New Roman" w:eastAsia="Times New Roman" w:hAnsi="Times New Roman" w:cs="Times New Roman"/>
        </w:rPr>
        <w:br/>
      </w:r>
    </w:p>
    <w:p w14:paraId="7672FC0A" w14:textId="77777777" w:rsidR="0077186D" w:rsidRDefault="0077186D">
      <w:pPr>
        <w:spacing w:before="0" w:line="240" w:lineRule="auto"/>
        <w:ind w:firstLine="720"/>
        <w:rPr>
          <w:rFonts w:ascii="Times New Roman" w:eastAsia="Times New Roman" w:hAnsi="Times New Roman" w:cs="Times New Roman"/>
        </w:rPr>
      </w:pPr>
    </w:p>
    <w:p w14:paraId="343BF2BC" w14:textId="77777777" w:rsidR="0077186D" w:rsidRDefault="0077186D">
      <w:pPr>
        <w:spacing w:before="0" w:line="240" w:lineRule="auto"/>
        <w:ind w:firstLine="720"/>
        <w:rPr>
          <w:rFonts w:ascii="Times New Roman" w:eastAsia="Times New Roman" w:hAnsi="Times New Roman" w:cs="Times New Roman"/>
        </w:rPr>
      </w:pPr>
    </w:p>
    <w:p w14:paraId="7ADBEDBC" w14:textId="77777777" w:rsidR="0077186D" w:rsidRDefault="0077186D">
      <w:pPr>
        <w:spacing w:before="0" w:line="240" w:lineRule="auto"/>
        <w:ind w:firstLine="720"/>
        <w:rPr>
          <w:rFonts w:ascii="Times New Roman" w:eastAsia="Times New Roman" w:hAnsi="Times New Roman" w:cs="Times New Roman"/>
        </w:rPr>
      </w:pPr>
    </w:p>
    <w:p w14:paraId="623C4486" w14:textId="77777777" w:rsidR="0077186D" w:rsidRDefault="0077186D">
      <w:pPr>
        <w:spacing w:before="0" w:line="240" w:lineRule="auto"/>
        <w:ind w:firstLine="720"/>
        <w:rPr>
          <w:rFonts w:ascii="Times New Roman" w:eastAsia="Times New Roman" w:hAnsi="Times New Roman" w:cs="Times New Roman"/>
        </w:rPr>
      </w:pPr>
    </w:p>
    <w:p w14:paraId="3D1DB301" w14:textId="77777777" w:rsidR="0077186D" w:rsidRDefault="0077186D">
      <w:pPr>
        <w:spacing w:before="0" w:line="240" w:lineRule="auto"/>
        <w:ind w:firstLine="720"/>
        <w:rPr>
          <w:rFonts w:ascii="Times New Roman" w:eastAsia="Times New Roman" w:hAnsi="Times New Roman" w:cs="Times New Roman"/>
        </w:rPr>
      </w:pPr>
    </w:p>
    <w:p w14:paraId="3768FD8A" w14:textId="77777777" w:rsidR="0077186D" w:rsidRDefault="0077186D">
      <w:pPr>
        <w:spacing w:before="0" w:line="240" w:lineRule="auto"/>
        <w:ind w:firstLine="720"/>
        <w:rPr>
          <w:rFonts w:ascii="Times New Roman" w:eastAsia="Times New Roman" w:hAnsi="Times New Roman" w:cs="Times New Roman"/>
        </w:rPr>
      </w:pPr>
    </w:p>
    <w:p w14:paraId="51D3583F" w14:textId="77777777" w:rsidR="0077186D" w:rsidRDefault="0077186D">
      <w:pPr>
        <w:spacing w:before="0" w:line="240" w:lineRule="auto"/>
        <w:ind w:firstLine="720"/>
        <w:rPr>
          <w:rFonts w:ascii="Times New Roman" w:eastAsia="Times New Roman" w:hAnsi="Times New Roman" w:cs="Times New Roman"/>
        </w:rPr>
      </w:pPr>
    </w:p>
    <w:p w14:paraId="33ED3CCF" w14:textId="77777777" w:rsidR="0077186D" w:rsidRDefault="0077186D">
      <w:pPr>
        <w:spacing w:before="0" w:line="240" w:lineRule="auto"/>
        <w:ind w:firstLine="720"/>
        <w:rPr>
          <w:rFonts w:ascii="Times New Roman" w:eastAsia="Times New Roman" w:hAnsi="Times New Roman" w:cs="Times New Roman"/>
        </w:rPr>
      </w:pPr>
    </w:p>
    <w:p w14:paraId="4085A1E5" w14:textId="77777777" w:rsidR="007632D7" w:rsidRDefault="007632D7">
      <w:pPr>
        <w:spacing w:before="0" w:line="240" w:lineRule="auto"/>
        <w:ind w:firstLine="720"/>
        <w:rPr>
          <w:rFonts w:ascii="Times New Roman" w:eastAsia="Times New Roman" w:hAnsi="Times New Roman" w:cs="Times New Roman"/>
        </w:rPr>
      </w:pPr>
    </w:p>
    <w:p w14:paraId="61A0AD0D" w14:textId="77777777" w:rsidR="007632D7" w:rsidRDefault="007632D7">
      <w:pPr>
        <w:spacing w:before="0" w:line="240" w:lineRule="auto"/>
        <w:ind w:firstLine="720"/>
        <w:rPr>
          <w:rFonts w:ascii="Times New Roman" w:eastAsia="Times New Roman" w:hAnsi="Times New Roman" w:cs="Times New Roman"/>
        </w:rPr>
      </w:pPr>
    </w:p>
    <w:p w14:paraId="6C1BA3E9" w14:textId="77777777" w:rsidR="007632D7" w:rsidRDefault="007632D7">
      <w:pPr>
        <w:spacing w:before="0" w:line="240" w:lineRule="auto"/>
        <w:ind w:firstLine="720"/>
        <w:rPr>
          <w:rFonts w:ascii="Times New Roman" w:eastAsia="Times New Roman" w:hAnsi="Times New Roman" w:cs="Times New Roman"/>
        </w:rPr>
      </w:pPr>
    </w:p>
    <w:p w14:paraId="7B6C19D4" w14:textId="77777777" w:rsidR="007632D7" w:rsidRDefault="007632D7">
      <w:pPr>
        <w:spacing w:before="0" w:line="240" w:lineRule="auto"/>
        <w:ind w:firstLine="720"/>
        <w:rPr>
          <w:rFonts w:ascii="Times New Roman" w:eastAsia="Times New Roman" w:hAnsi="Times New Roman" w:cs="Times New Roman"/>
        </w:rPr>
      </w:pPr>
    </w:p>
    <w:p w14:paraId="7D27C157" w14:textId="77777777" w:rsidR="007632D7" w:rsidRDefault="007632D7">
      <w:pPr>
        <w:spacing w:before="0" w:line="240" w:lineRule="auto"/>
        <w:ind w:firstLine="720"/>
        <w:rPr>
          <w:rFonts w:ascii="Times New Roman" w:eastAsia="Times New Roman" w:hAnsi="Times New Roman" w:cs="Times New Roman"/>
        </w:rPr>
      </w:pPr>
    </w:p>
    <w:p w14:paraId="79311306" w14:textId="77777777" w:rsidR="007632D7" w:rsidRDefault="007632D7">
      <w:pPr>
        <w:spacing w:before="0" w:line="240" w:lineRule="auto"/>
        <w:ind w:firstLine="720"/>
        <w:rPr>
          <w:rFonts w:ascii="Times New Roman" w:eastAsia="Times New Roman" w:hAnsi="Times New Roman" w:cs="Times New Roman"/>
        </w:rPr>
      </w:pPr>
    </w:p>
    <w:p w14:paraId="6AB3C716" w14:textId="77777777" w:rsidR="007632D7" w:rsidRDefault="007632D7">
      <w:pPr>
        <w:spacing w:before="0" w:line="240" w:lineRule="auto"/>
        <w:ind w:firstLine="720"/>
        <w:rPr>
          <w:rFonts w:ascii="Times New Roman" w:eastAsia="Times New Roman" w:hAnsi="Times New Roman" w:cs="Times New Roman"/>
        </w:rPr>
      </w:pPr>
    </w:p>
    <w:p w14:paraId="0DE98537" w14:textId="77777777" w:rsidR="007632D7" w:rsidRDefault="007632D7">
      <w:pPr>
        <w:spacing w:before="0" w:line="240" w:lineRule="auto"/>
        <w:ind w:firstLine="720"/>
        <w:rPr>
          <w:rFonts w:ascii="Times New Roman" w:eastAsia="Times New Roman" w:hAnsi="Times New Roman" w:cs="Times New Roman"/>
        </w:rPr>
      </w:pPr>
    </w:p>
    <w:p w14:paraId="52A849E0" w14:textId="77777777" w:rsidR="007632D7" w:rsidRDefault="007632D7">
      <w:pPr>
        <w:spacing w:before="0" w:line="240" w:lineRule="auto"/>
        <w:ind w:firstLine="720"/>
        <w:rPr>
          <w:rFonts w:ascii="Times New Roman" w:eastAsia="Times New Roman" w:hAnsi="Times New Roman" w:cs="Times New Roman"/>
        </w:rPr>
      </w:pPr>
    </w:p>
    <w:p w14:paraId="1D26E760" w14:textId="77777777" w:rsidR="007632D7" w:rsidRDefault="007632D7">
      <w:pPr>
        <w:spacing w:before="0" w:line="240" w:lineRule="auto"/>
        <w:ind w:firstLine="720"/>
        <w:rPr>
          <w:rFonts w:ascii="Times New Roman" w:eastAsia="Times New Roman" w:hAnsi="Times New Roman" w:cs="Times New Roman"/>
        </w:rPr>
      </w:pPr>
    </w:p>
    <w:p w14:paraId="78870EE9" w14:textId="77777777" w:rsidR="007632D7" w:rsidRDefault="007632D7">
      <w:pPr>
        <w:spacing w:before="0" w:line="240" w:lineRule="auto"/>
        <w:ind w:firstLine="720"/>
        <w:rPr>
          <w:rFonts w:ascii="Times New Roman" w:eastAsia="Times New Roman" w:hAnsi="Times New Roman" w:cs="Times New Roman"/>
        </w:rPr>
      </w:pPr>
    </w:p>
    <w:p w14:paraId="7053F3F5" w14:textId="77777777" w:rsidR="007632D7" w:rsidRDefault="007632D7">
      <w:pPr>
        <w:spacing w:before="0" w:line="240" w:lineRule="auto"/>
        <w:ind w:firstLine="720"/>
        <w:rPr>
          <w:rFonts w:ascii="Times New Roman" w:eastAsia="Times New Roman" w:hAnsi="Times New Roman" w:cs="Times New Roman"/>
        </w:rPr>
      </w:pPr>
    </w:p>
    <w:p w14:paraId="5FC2ECD2" w14:textId="77777777" w:rsidR="007632D7" w:rsidRDefault="007632D7">
      <w:pPr>
        <w:spacing w:before="0" w:line="240" w:lineRule="auto"/>
        <w:ind w:firstLine="720"/>
        <w:rPr>
          <w:rFonts w:ascii="Times New Roman" w:eastAsia="Times New Roman" w:hAnsi="Times New Roman" w:cs="Times New Roman"/>
        </w:rPr>
      </w:pPr>
    </w:p>
    <w:p w14:paraId="54042701" w14:textId="77777777" w:rsidR="007632D7" w:rsidRDefault="007632D7">
      <w:pPr>
        <w:spacing w:before="0" w:line="240" w:lineRule="auto"/>
        <w:ind w:firstLine="720"/>
        <w:rPr>
          <w:rFonts w:ascii="Times New Roman" w:eastAsia="Times New Roman" w:hAnsi="Times New Roman" w:cs="Times New Roman"/>
        </w:rPr>
      </w:pPr>
    </w:p>
    <w:p w14:paraId="3E592EB9" w14:textId="77777777" w:rsidR="007632D7" w:rsidRDefault="007632D7">
      <w:pPr>
        <w:spacing w:before="0" w:line="240" w:lineRule="auto"/>
        <w:ind w:firstLine="720"/>
        <w:rPr>
          <w:rFonts w:ascii="Times New Roman" w:eastAsia="Times New Roman" w:hAnsi="Times New Roman" w:cs="Times New Roman"/>
        </w:rPr>
      </w:pPr>
    </w:p>
    <w:p w14:paraId="7E62557B" w14:textId="77777777" w:rsidR="007632D7" w:rsidRDefault="007632D7">
      <w:pPr>
        <w:spacing w:before="0" w:line="240" w:lineRule="auto"/>
        <w:ind w:firstLine="720"/>
        <w:rPr>
          <w:rFonts w:ascii="Times New Roman" w:eastAsia="Times New Roman" w:hAnsi="Times New Roman" w:cs="Times New Roman"/>
        </w:rPr>
      </w:pPr>
    </w:p>
    <w:p w14:paraId="1D764D91" w14:textId="77777777" w:rsidR="007632D7" w:rsidRDefault="007632D7">
      <w:pPr>
        <w:spacing w:before="0" w:line="240" w:lineRule="auto"/>
        <w:ind w:firstLine="720"/>
        <w:rPr>
          <w:rFonts w:ascii="Times New Roman" w:eastAsia="Times New Roman" w:hAnsi="Times New Roman" w:cs="Times New Roman"/>
        </w:rPr>
      </w:pPr>
    </w:p>
    <w:p w14:paraId="5E8A6D25" w14:textId="77777777" w:rsidR="007632D7" w:rsidRDefault="007632D7">
      <w:pPr>
        <w:spacing w:before="0" w:line="240" w:lineRule="auto"/>
        <w:ind w:firstLine="720"/>
        <w:rPr>
          <w:rFonts w:ascii="Times New Roman" w:eastAsia="Times New Roman" w:hAnsi="Times New Roman" w:cs="Times New Roman"/>
        </w:rPr>
      </w:pPr>
    </w:p>
    <w:p w14:paraId="7F8A0A7D" w14:textId="77777777" w:rsidR="007632D7" w:rsidRDefault="007632D7">
      <w:pPr>
        <w:spacing w:before="0" w:line="240" w:lineRule="auto"/>
        <w:ind w:firstLine="720"/>
        <w:rPr>
          <w:rFonts w:ascii="Times New Roman" w:eastAsia="Times New Roman" w:hAnsi="Times New Roman" w:cs="Times New Roman"/>
        </w:rPr>
      </w:pPr>
    </w:p>
    <w:p w14:paraId="6DC16CBF" w14:textId="77777777" w:rsidR="007632D7" w:rsidRDefault="007632D7">
      <w:pPr>
        <w:spacing w:before="0" w:line="240" w:lineRule="auto"/>
        <w:ind w:firstLine="720"/>
        <w:rPr>
          <w:rFonts w:ascii="Times New Roman" w:eastAsia="Times New Roman" w:hAnsi="Times New Roman" w:cs="Times New Roman"/>
        </w:rPr>
      </w:pPr>
    </w:p>
    <w:p w14:paraId="3075C7A9" w14:textId="77777777" w:rsidR="007632D7" w:rsidRDefault="007632D7">
      <w:pPr>
        <w:spacing w:before="0" w:line="240" w:lineRule="auto"/>
        <w:ind w:firstLine="720"/>
        <w:rPr>
          <w:rFonts w:ascii="Times New Roman" w:eastAsia="Times New Roman" w:hAnsi="Times New Roman" w:cs="Times New Roman"/>
        </w:rPr>
      </w:pPr>
    </w:p>
    <w:p w14:paraId="31796401" w14:textId="77777777" w:rsidR="007632D7" w:rsidRDefault="007632D7">
      <w:pPr>
        <w:spacing w:before="0" w:line="240" w:lineRule="auto"/>
        <w:ind w:firstLine="720"/>
        <w:rPr>
          <w:rFonts w:ascii="Times New Roman" w:eastAsia="Times New Roman" w:hAnsi="Times New Roman" w:cs="Times New Roman"/>
        </w:rPr>
      </w:pPr>
    </w:p>
    <w:p w14:paraId="18FE4A64" w14:textId="77777777" w:rsidR="007632D7" w:rsidRDefault="007632D7">
      <w:pPr>
        <w:spacing w:before="0" w:line="240" w:lineRule="auto"/>
        <w:ind w:firstLine="720"/>
        <w:rPr>
          <w:rFonts w:ascii="Times New Roman" w:eastAsia="Times New Roman" w:hAnsi="Times New Roman" w:cs="Times New Roman"/>
        </w:rPr>
      </w:pPr>
    </w:p>
    <w:p w14:paraId="6E789180" w14:textId="77777777" w:rsidR="007632D7" w:rsidRDefault="007632D7">
      <w:pPr>
        <w:spacing w:before="0" w:line="240" w:lineRule="auto"/>
        <w:ind w:firstLine="720"/>
        <w:rPr>
          <w:rFonts w:ascii="Times New Roman" w:eastAsia="Times New Roman" w:hAnsi="Times New Roman" w:cs="Times New Roman"/>
        </w:rPr>
      </w:pPr>
    </w:p>
    <w:p w14:paraId="2272DE07" w14:textId="77777777" w:rsidR="007632D7" w:rsidRDefault="007632D7">
      <w:pPr>
        <w:spacing w:before="0" w:line="240" w:lineRule="auto"/>
        <w:ind w:firstLine="720"/>
        <w:rPr>
          <w:rFonts w:ascii="Times New Roman" w:eastAsia="Times New Roman" w:hAnsi="Times New Roman" w:cs="Times New Roman"/>
        </w:rPr>
      </w:pPr>
    </w:p>
    <w:p w14:paraId="2BBC7634" w14:textId="77777777" w:rsidR="007632D7" w:rsidRDefault="007632D7">
      <w:pPr>
        <w:spacing w:before="0" w:line="240" w:lineRule="auto"/>
        <w:ind w:firstLine="720"/>
        <w:rPr>
          <w:rFonts w:ascii="Times New Roman" w:eastAsia="Times New Roman" w:hAnsi="Times New Roman" w:cs="Times New Roman"/>
        </w:rPr>
      </w:pPr>
    </w:p>
    <w:p w14:paraId="2F429576" w14:textId="77777777" w:rsidR="0077186D" w:rsidRDefault="0077186D">
      <w:pPr>
        <w:spacing w:before="0" w:line="240" w:lineRule="auto"/>
        <w:ind w:firstLine="720"/>
        <w:rPr>
          <w:rFonts w:ascii="Times New Roman" w:eastAsia="Times New Roman" w:hAnsi="Times New Roman" w:cs="Times New Roman"/>
        </w:rPr>
      </w:pPr>
    </w:p>
    <w:p w14:paraId="6A6AFDC2" w14:textId="77777777" w:rsidR="0077186D" w:rsidRDefault="0077186D" w:rsidP="00FC4E97">
      <w:pPr>
        <w:spacing w:before="0" w:line="240" w:lineRule="auto"/>
        <w:rPr>
          <w:rFonts w:ascii="Times New Roman" w:eastAsia="Times New Roman" w:hAnsi="Times New Roman" w:cs="Times New Roman"/>
        </w:rPr>
      </w:pPr>
    </w:p>
    <w:p w14:paraId="569B26AF" w14:textId="77777777" w:rsidR="00FC4E97" w:rsidRDefault="00FC4E97" w:rsidP="00FC4E97">
      <w:pPr>
        <w:spacing w:before="0" w:line="240" w:lineRule="auto"/>
        <w:rPr>
          <w:rFonts w:ascii="Times New Roman" w:eastAsia="Times New Roman" w:hAnsi="Times New Roman" w:cs="Times New Roman"/>
        </w:rPr>
      </w:pPr>
    </w:p>
    <w:p w14:paraId="2595E73A" w14:textId="77777777" w:rsidR="0077186D" w:rsidRPr="00CB6EBD" w:rsidRDefault="00E47411">
      <w:pPr>
        <w:pStyle w:val="Heading1"/>
        <w:spacing w:before="200" w:after="280" w:line="276" w:lineRule="auto"/>
        <w:rPr>
          <w:rFonts w:ascii="Helvetica" w:hAnsi="Helvetica"/>
          <w:sz w:val="44"/>
          <w:szCs w:val="44"/>
        </w:rPr>
      </w:pPr>
      <w:bookmarkStart w:id="29" w:name="_x12p00cgz3v8" w:colFirst="0" w:colLast="0"/>
      <w:bookmarkEnd w:id="29"/>
      <w:r w:rsidRPr="00CB6EBD">
        <w:rPr>
          <w:rFonts w:ascii="Helvetica" w:hAnsi="Helvetica"/>
          <w:sz w:val="44"/>
          <w:szCs w:val="44"/>
        </w:rPr>
        <w:lastRenderedPageBreak/>
        <w:t>S5. Supp. content to main text section "</w:t>
      </w:r>
      <w:r w:rsidRPr="00CB6EBD">
        <w:rPr>
          <w:rFonts w:ascii="Helvetica" w:hAnsi="Helvetica"/>
          <w:sz w:val="44"/>
          <w:szCs w:val="44"/>
          <w:u w:val="single"/>
        </w:rPr>
        <w:t>QTL analysis</w:t>
      </w:r>
      <w:r w:rsidRPr="00CB6EBD">
        <w:rPr>
          <w:rFonts w:ascii="Helvetica" w:hAnsi="Helvetica"/>
          <w:sz w:val="44"/>
          <w:szCs w:val="44"/>
        </w:rPr>
        <w:t>"</w:t>
      </w:r>
    </w:p>
    <w:p w14:paraId="02D45731" w14:textId="77777777" w:rsidR="0077186D" w:rsidRPr="00CB6EBD" w:rsidRDefault="00E47411">
      <w:pPr>
        <w:pStyle w:val="Heading2"/>
        <w:spacing w:before="200" w:after="160"/>
        <w:rPr>
          <w:rFonts w:ascii="Helvetica" w:hAnsi="Helvetica"/>
          <w:sz w:val="28"/>
          <w:szCs w:val="28"/>
        </w:rPr>
      </w:pPr>
      <w:bookmarkStart w:id="30" w:name="_gjv5atranw4l" w:colFirst="0" w:colLast="0"/>
      <w:bookmarkEnd w:id="30"/>
      <w:r w:rsidRPr="00CB6EBD">
        <w:rPr>
          <w:rFonts w:ascii="Helvetica" w:hAnsi="Helvetica"/>
          <w:sz w:val="28"/>
          <w:szCs w:val="28"/>
        </w:rPr>
        <w:t>S5.1 Genotype data processing</w:t>
      </w:r>
    </w:p>
    <w:p w14:paraId="2721B258" w14:textId="77777777" w:rsidR="0077186D" w:rsidRDefault="00E47411">
      <w:pPr>
        <w:jc w:val="center"/>
      </w:pPr>
      <w:r>
        <w:rPr>
          <w:noProof/>
          <w:lang w:val="en-US"/>
        </w:rPr>
        <w:drawing>
          <wp:inline distT="114300" distB="114300" distL="114300" distR="114300" wp14:anchorId="77532A94" wp14:editId="4C9560D5">
            <wp:extent cx="4638675" cy="2784979"/>
            <wp:effectExtent l="0" t="0" r="0" b="0"/>
            <wp:docPr id="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r="14262"/>
                    <a:stretch>
                      <a:fillRect/>
                    </a:stretch>
                  </pic:blipFill>
                  <pic:spPr>
                    <a:xfrm>
                      <a:off x="0" y="0"/>
                      <a:ext cx="4638675" cy="2784979"/>
                    </a:xfrm>
                    <a:prstGeom prst="rect">
                      <a:avLst/>
                    </a:prstGeom>
                    <a:ln/>
                  </pic:spPr>
                </pic:pic>
              </a:graphicData>
            </a:graphic>
          </wp:inline>
        </w:drawing>
      </w:r>
    </w:p>
    <w:p w14:paraId="52C38EA5"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hAnsi="Helvetica"/>
        </w:rPr>
      </w:pPr>
      <w:r w:rsidRPr="00605DD0">
        <w:rPr>
          <w:rFonts w:ascii="Helvetica" w:eastAsia="Helvetica Neue" w:hAnsi="Helvetica" w:cs="Helvetica Neue"/>
          <w:b/>
          <w:sz w:val="18"/>
          <w:szCs w:val="18"/>
        </w:rPr>
        <w:t xml:space="preserve">Fig. S5.1 PsychENCODE genotype data processing pipeline. </w:t>
      </w:r>
      <w:r w:rsidRPr="00605DD0">
        <w:rPr>
          <w:rFonts w:ascii="Helvetica" w:eastAsia="Helvetica Neue" w:hAnsi="Helvetica" w:cs="Helvetica Neue"/>
          <w:sz w:val="18"/>
          <w:szCs w:val="18"/>
        </w:rPr>
        <w:t>The raw genotype data were called and converted to PLINK files. We ran an initial quality sample level and marker level using PLINK. The quality controlled genotype data were then prepared by prephasing using Eagle2. The prephased data were imputed using Minimac3 and HRC. After imputation, we filtered genotype using R2&gt;0.3 to get high-quality imputation data.</w:t>
      </w:r>
    </w:p>
    <w:p w14:paraId="33443505" w14:textId="77777777" w:rsidR="0077186D" w:rsidRDefault="0077186D">
      <w:pPr>
        <w:pStyle w:val="Heading3"/>
        <w:spacing w:before="160" w:after="120"/>
        <w:rPr>
          <w:sz w:val="24"/>
          <w:szCs w:val="24"/>
        </w:rPr>
      </w:pPr>
      <w:bookmarkStart w:id="31" w:name="_ni9spbu83sd4" w:colFirst="0" w:colLast="0"/>
      <w:bookmarkEnd w:id="31"/>
    </w:p>
    <w:p w14:paraId="5AB2DBEE" w14:textId="77777777" w:rsidR="0077186D" w:rsidRPr="00CB6EBD" w:rsidRDefault="00E47411">
      <w:pPr>
        <w:pStyle w:val="Heading3"/>
        <w:spacing w:before="160" w:after="120"/>
        <w:rPr>
          <w:rFonts w:ascii="Helvetica" w:hAnsi="Helvetica"/>
          <w:b/>
          <w:sz w:val="22"/>
          <w:szCs w:val="22"/>
        </w:rPr>
      </w:pPr>
      <w:bookmarkStart w:id="32" w:name="_1z9tc8vdtli2" w:colFirst="0" w:colLast="0"/>
      <w:bookmarkEnd w:id="32"/>
      <w:r w:rsidRPr="00CB6EBD">
        <w:rPr>
          <w:rFonts w:ascii="Helvetica" w:hAnsi="Helvetica"/>
          <w:b/>
          <w:sz w:val="22"/>
          <w:szCs w:val="22"/>
        </w:rPr>
        <w:t xml:space="preserve">S5.1.1 Genotyping arrays, data generation, and quality control </w:t>
      </w:r>
    </w:p>
    <w:p w14:paraId="1AAC0E82"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Genotyping was done on several different genotyping platforms listed in Supplemental Table S5.1 and Section S9. Initial QC was performed using PLINK (Purcell et al., 2007) to remove markers with: zero alternate alleles, genotyping call rate &lt; 0.95, Hardy-Weinberg p-value &lt; 1 x 10-6, and individuals with genotyping call rate &lt; 0.95. We also corrected for the strand flipping problem using </w:t>
      </w:r>
      <w:r>
        <w:rPr>
          <w:rFonts w:ascii="Times New Roman" w:eastAsia="Times New Roman" w:hAnsi="Times New Roman" w:cs="Times New Roman"/>
          <w:color w:val="24292E"/>
        </w:rPr>
        <w:t>snpflip (https://github.com/biocore-ntnu/snpflip)</w:t>
      </w:r>
      <w:r>
        <w:rPr>
          <w:rFonts w:ascii="Times New Roman" w:eastAsia="Times New Roman" w:hAnsi="Times New Roman" w:cs="Times New Roman"/>
        </w:rPr>
        <w:t>.</w:t>
      </w:r>
    </w:p>
    <w:p w14:paraId="55B54AEC" w14:textId="77777777" w:rsidR="0077186D" w:rsidRDefault="0077186D">
      <w:pPr>
        <w:spacing w:before="0" w:line="240" w:lineRule="auto"/>
        <w:rPr>
          <w:rFonts w:ascii="Times New Roman" w:eastAsia="Times New Roman" w:hAnsi="Times New Roman" w:cs="Times New Roman"/>
        </w:rPr>
      </w:pPr>
    </w:p>
    <w:p w14:paraId="27081455" w14:textId="77777777" w:rsidR="0077186D" w:rsidRPr="00CB6EBD" w:rsidRDefault="00E47411">
      <w:pPr>
        <w:pStyle w:val="Heading3"/>
        <w:spacing w:before="160" w:after="120"/>
        <w:rPr>
          <w:rFonts w:ascii="Helvetica" w:hAnsi="Helvetica"/>
          <w:b/>
          <w:sz w:val="22"/>
          <w:szCs w:val="22"/>
        </w:rPr>
      </w:pPr>
      <w:bookmarkStart w:id="33" w:name="_a69113beh30" w:colFirst="0" w:colLast="0"/>
      <w:bookmarkEnd w:id="33"/>
      <w:r w:rsidRPr="00CB6EBD">
        <w:rPr>
          <w:rFonts w:ascii="Helvetica" w:hAnsi="Helvetica"/>
          <w:b/>
          <w:sz w:val="22"/>
          <w:szCs w:val="22"/>
        </w:rPr>
        <w:t>S5.1.2 Imputation of genotypes</w:t>
      </w:r>
    </w:p>
    <w:p w14:paraId="7C00B720"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Genotypes of all studies were imputed using a uniform genotype QC and imputation pipeline in order to streamline quality control and genotype imputation of genome-wide single nucleotide polymorphism (SNP) data. This imputation pipeline consisted of four primary, independent modules: (1) pre-imputation data processing and quality control; (2) PCA of raw genotype data; (3) genotype imputation of untyped variants; and (4) post-imputation statistical analysis. Briefly, in the pre-imputation step, input genotype data (PLINK binary format) was reformatted for downstream analysis, and initial summaries of classic technical parameters (e.g., minor allele frequency, per individual and per site missing rates, case/control missingness, Hardy-Weinberg equilibrium) were produced.</w:t>
      </w:r>
    </w:p>
    <w:p w14:paraId="4B175DD4" w14:textId="77777777" w:rsidR="00027842" w:rsidRDefault="00027842">
      <w:pPr>
        <w:spacing w:before="0" w:line="240" w:lineRule="auto"/>
        <w:rPr>
          <w:rFonts w:ascii="Times New Roman" w:eastAsia="Times New Roman" w:hAnsi="Times New Roman" w:cs="Times New Roman"/>
        </w:rPr>
      </w:pPr>
    </w:p>
    <w:p w14:paraId="5A776AC7" w14:textId="77777777" w:rsidR="00027842" w:rsidRDefault="00027842">
      <w:pPr>
        <w:spacing w:before="0" w:line="240" w:lineRule="auto"/>
        <w:rPr>
          <w:rFonts w:ascii="Times New Roman" w:eastAsia="Times New Roman" w:hAnsi="Times New Roman" w:cs="Times New Roman"/>
        </w:rPr>
      </w:pPr>
    </w:p>
    <w:p w14:paraId="1927F75F" w14:textId="77777777" w:rsidR="00FC4E97" w:rsidRDefault="00FC4E97">
      <w:pPr>
        <w:spacing w:before="0" w:line="240" w:lineRule="auto"/>
        <w:rPr>
          <w:rFonts w:ascii="Times New Roman" w:eastAsia="Times New Roman" w:hAnsi="Times New Roman" w:cs="Times New Roman"/>
        </w:rPr>
      </w:pPr>
    </w:p>
    <w:p w14:paraId="2D49AB4A" w14:textId="77777777" w:rsidR="00FC4E97" w:rsidRDefault="00FC4E97">
      <w:pPr>
        <w:spacing w:before="0" w:line="240" w:lineRule="auto"/>
        <w:rPr>
          <w:b/>
          <w:sz w:val="20"/>
          <w:szCs w:val="20"/>
        </w:rPr>
      </w:pPr>
    </w:p>
    <w:tbl>
      <w:tblPr>
        <w:tblStyle w:val="a4"/>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868"/>
        <w:gridCol w:w="2557"/>
        <w:gridCol w:w="3935"/>
      </w:tblGrid>
      <w:tr w:rsidR="0077186D" w14:paraId="49DDB4AF" w14:textId="77777777">
        <w:trPr>
          <w:trHeight w:val="240"/>
        </w:trPr>
        <w:tc>
          <w:tcPr>
            <w:tcW w:w="2867" w:type="dxa"/>
            <w:tcBorders>
              <w:top w:val="single" w:sz="6" w:space="0" w:color="000000"/>
              <w:left w:val="single" w:sz="6" w:space="0" w:color="000000"/>
              <w:bottom w:val="single" w:sz="6" w:space="0" w:color="000000"/>
              <w:right w:val="single" w:sz="6" w:space="0" w:color="000000"/>
            </w:tcBorders>
            <w:shd w:val="clear" w:color="auto" w:fill="F0F0F0"/>
            <w:tcMar>
              <w:top w:w="40" w:type="dxa"/>
              <w:left w:w="40" w:type="dxa"/>
              <w:bottom w:w="40" w:type="dxa"/>
              <w:right w:w="40" w:type="dxa"/>
            </w:tcMar>
            <w:vAlign w:val="bottom"/>
          </w:tcPr>
          <w:p w14:paraId="427E33F2" w14:textId="77777777" w:rsidR="0077186D" w:rsidRDefault="00E47411">
            <w:pPr>
              <w:spacing w:line="240" w:lineRule="auto"/>
              <w:rPr>
                <w:rFonts w:ascii="Arial" w:eastAsia="Arial" w:hAnsi="Arial" w:cs="Arial"/>
                <w:color w:val="000000"/>
                <w:sz w:val="18"/>
                <w:szCs w:val="18"/>
              </w:rPr>
            </w:pPr>
            <w:r>
              <w:rPr>
                <w:rFonts w:ascii="Arial" w:eastAsia="Arial" w:hAnsi="Arial" w:cs="Arial"/>
                <w:b/>
                <w:color w:val="000000"/>
                <w:sz w:val="18"/>
                <w:szCs w:val="18"/>
              </w:rPr>
              <w:t>Datasets</w:t>
            </w:r>
          </w:p>
        </w:tc>
        <w:tc>
          <w:tcPr>
            <w:tcW w:w="2557" w:type="dxa"/>
            <w:tcBorders>
              <w:top w:val="single" w:sz="6" w:space="0" w:color="000000"/>
              <w:left w:val="single" w:sz="6" w:space="0" w:color="000000"/>
              <w:bottom w:val="single" w:sz="6" w:space="0" w:color="000000"/>
              <w:right w:val="single" w:sz="6" w:space="0" w:color="000000"/>
            </w:tcBorders>
            <w:shd w:val="clear" w:color="auto" w:fill="F0F0F0"/>
            <w:tcMar>
              <w:top w:w="40" w:type="dxa"/>
              <w:left w:w="40" w:type="dxa"/>
              <w:bottom w:w="40" w:type="dxa"/>
              <w:right w:w="40" w:type="dxa"/>
            </w:tcMar>
            <w:vAlign w:val="bottom"/>
          </w:tcPr>
          <w:p w14:paraId="7E9BA559" w14:textId="77777777" w:rsidR="0077186D" w:rsidRDefault="00E47411">
            <w:pPr>
              <w:spacing w:line="240" w:lineRule="auto"/>
              <w:rPr>
                <w:rFonts w:ascii="Arial" w:eastAsia="Arial" w:hAnsi="Arial" w:cs="Arial"/>
                <w:color w:val="000000"/>
                <w:sz w:val="18"/>
                <w:szCs w:val="18"/>
              </w:rPr>
            </w:pPr>
            <w:r>
              <w:rPr>
                <w:rFonts w:ascii="Arial" w:eastAsia="Arial" w:hAnsi="Arial" w:cs="Arial"/>
                <w:b/>
                <w:color w:val="000000"/>
                <w:sz w:val="18"/>
                <w:szCs w:val="18"/>
              </w:rPr>
              <w:t>#samples</w:t>
            </w:r>
          </w:p>
        </w:tc>
        <w:tc>
          <w:tcPr>
            <w:tcW w:w="3935" w:type="dxa"/>
            <w:tcBorders>
              <w:top w:val="single" w:sz="6" w:space="0" w:color="000000"/>
              <w:left w:val="single" w:sz="6" w:space="0" w:color="000000"/>
              <w:bottom w:val="single" w:sz="6" w:space="0" w:color="000000"/>
              <w:right w:val="single" w:sz="6" w:space="0" w:color="000000"/>
            </w:tcBorders>
            <w:shd w:val="clear" w:color="auto" w:fill="F0F0F0"/>
            <w:tcMar>
              <w:top w:w="40" w:type="dxa"/>
              <w:left w:w="40" w:type="dxa"/>
              <w:bottom w:w="40" w:type="dxa"/>
              <w:right w:w="40" w:type="dxa"/>
            </w:tcMar>
            <w:vAlign w:val="bottom"/>
          </w:tcPr>
          <w:p w14:paraId="342350C0" w14:textId="77777777" w:rsidR="0077186D" w:rsidRDefault="00E47411">
            <w:pPr>
              <w:spacing w:line="240" w:lineRule="auto"/>
              <w:rPr>
                <w:rFonts w:ascii="Arial" w:eastAsia="Arial" w:hAnsi="Arial" w:cs="Arial"/>
                <w:color w:val="000000"/>
                <w:sz w:val="18"/>
                <w:szCs w:val="18"/>
              </w:rPr>
            </w:pPr>
            <w:r>
              <w:rPr>
                <w:rFonts w:ascii="Arial" w:eastAsia="Arial" w:hAnsi="Arial" w:cs="Arial"/>
                <w:b/>
                <w:color w:val="000000"/>
                <w:sz w:val="18"/>
                <w:szCs w:val="18"/>
              </w:rPr>
              <w:t>DataPlatform</w:t>
            </w:r>
          </w:p>
        </w:tc>
      </w:tr>
      <w:tr w:rsidR="0077186D" w14:paraId="490F9F11" w14:textId="77777777">
        <w:trPr>
          <w:trHeight w:val="100"/>
        </w:trPr>
        <w:tc>
          <w:tcPr>
            <w:tcW w:w="28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697CBB"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BipSeq</w:t>
            </w:r>
          </w:p>
        </w:tc>
        <w:tc>
          <w:tcPr>
            <w:tcW w:w="25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E305FF"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179</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69EF57"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Illumina_1M and Illumina_h650</w:t>
            </w:r>
          </w:p>
        </w:tc>
      </w:tr>
      <w:tr w:rsidR="0077186D" w14:paraId="3BCC8483" w14:textId="77777777">
        <w:tc>
          <w:tcPr>
            <w:tcW w:w="28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562D6F"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LIBD_szControl</w:t>
            </w:r>
          </w:p>
        </w:tc>
        <w:tc>
          <w:tcPr>
            <w:tcW w:w="25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19E87F"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493</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F91CA4"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Illumina_1M, Illumina_Omni5, Illumina_h650</w:t>
            </w:r>
          </w:p>
        </w:tc>
      </w:tr>
      <w:tr w:rsidR="0077186D" w14:paraId="75ACE41A" w14:textId="77777777">
        <w:trPr>
          <w:trHeight w:val="60"/>
        </w:trPr>
        <w:tc>
          <w:tcPr>
            <w:tcW w:w="286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00473A0"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CMC-HBCC</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5D49964"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696 (896 totoal)</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0D6A1E"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Illumina_1M, Illumina_Omni5, Illumina_h650</w:t>
            </w:r>
          </w:p>
        </w:tc>
      </w:tr>
      <w:tr w:rsidR="0077186D" w14:paraId="57648103" w14:textId="77777777">
        <w:tc>
          <w:tcPr>
            <w:tcW w:w="28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B7A62C"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BrainSpan</w:t>
            </w:r>
          </w:p>
        </w:tc>
        <w:tc>
          <w:tcPr>
            <w:tcW w:w="25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6E88AE"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41</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7E3281"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HumanOmni2.5</w:t>
            </w:r>
          </w:p>
        </w:tc>
      </w:tr>
      <w:tr w:rsidR="0077186D" w14:paraId="1AC21273" w14:textId="77777777">
        <w:trPr>
          <w:trHeight w:val="560"/>
        </w:trPr>
        <w:tc>
          <w:tcPr>
            <w:tcW w:w="28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B63D8F"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CommonMind</w:t>
            </w:r>
          </w:p>
        </w:tc>
        <w:tc>
          <w:tcPr>
            <w:tcW w:w="25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647F3F"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620</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728E18"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IlluminaInfiniumHuman Omni Express Exome 8 v 1.1b chip</w:t>
            </w:r>
          </w:p>
        </w:tc>
      </w:tr>
      <w:tr w:rsidR="0077186D" w14:paraId="367DE127" w14:textId="77777777">
        <w:tc>
          <w:tcPr>
            <w:tcW w:w="28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4A968D"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GTEx</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27E71B9"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450 (97 DFC)</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DD7928"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Illumina OMNI 5M or 2.5M</w:t>
            </w:r>
          </w:p>
        </w:tc>
      </w:tr>
      <w:tr w:rsidR="0077186D" w14:paraId="53E84BAC" w14:textId="77777777">
        <w:tc>
          <w:tcPr>
            <w:tcW w:w="28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33650B"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BrainGVEX</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CB82299"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138+280</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142BFC"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Affymetrix6.0, PsychChips</w:t>
            </w:r>
          </w:p>
        </w:tc>
      </w:tr>
      <w:tr w:rsidR="0077186D" w14:paraId="5F450FCC" w14:textId="77777777">
        <w:tc>
          <w:tcPr>
            <w:tcW w:w="28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ABD942"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UCLA-ASD</w:t>
            </w:r>
          </w:p>
        </w:tc>
        <w:tc>
          <w:tcPr>
            <w:tcW w:w="25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BA6F4E"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97</w:t>
            </w:r>
          </w:p>
        </w:tc>
        <w:tc>
          <w:tcPr>
            <w:tcW w:w="39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4CAAE5" w14:textId="77777777" w:rsidR="0077186D" w:rsidRDefault="00E47411">
            <w:pPr>
              <w:spacing w:line="240" w:lineRule="auto"/>
              <w:rPr>
                <w:rFonts w:ascii="Arial" w:eastAsia="Arial" w:hAnsi="Arial" w:cs="Arial"/>
                <w:color w:val="000000"/>
                <w:sz w:val="18"/>
                <w:szCs w:val="18"/>
              </w:rPr>
            </w:pPr>
            <w:r>
              <w:rPr>
                <w:rFonts w:ascii="Arial" w:eastAsia="Arial" w:hAnsi="Arial" w:cs="Arial"/>
                <w:color w:val="000000"/>
                <w:sz w:val="18"/>
                <w:szCs w:val="18"/>
              </w:rPr>
              <w:t>Omni-2.5 and Omni-2.5-Exome</w:t>
            </w:r>
          </w:p>
        </w:tc>
      </w:tr>
      <w:tr w:rsidR="0077186D" w14:paraId="0ED07564" w14:textId="77777777">
        <w:tc>
          <w:tcPr>
            <w:tcW w:w="286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77BE1A5" w14:textId="77777777" w:rsidR="0077186D" w:rsidRDefault="00E47411">
            <w:pPr>
              <w:widowControl w:val="0"/>
              <w:spacing w:before="0" w:line="240" w:lineRule="auto"/>
              <w:rPr>
                <w:rFonts w:ascii="Arial" w:eastAsia="Arial" w:hAnsi="Arial" w:cs="Arial"/>
                <w:color w:val="000000"/>
                <w:sz w:val="18"/>
                <w:szCs w:val="18"/>
              </w:rPr>
            </w:pPr>
            <w:r>
              <w:rPr>
                <w:rFonts w:ascii="Arial" w:eastAsia="Arial" w:hAnsi="Arial" w:cs="Arial"/>
                <w:color w:val="000000"/>
                <w:sz w:val="18"/>
                <w:szCs w:val="18"/>
              </w:rPr>
              <w:t>iPSC</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68C5D4B" w14:textId="77777777" w:rsidR="0077186D" w:rsidRDefault="00E47411">
            <w:pPr>
              <w:widowControl w:val="0"/>
              <w:spacing w:before="0" w:line="240" w:lineRule="auto"/>
              <w:rPr>
                <w:rFonts w:ascii="Arial" w:eastAsia="Arial" w:hAnsi="Arial" w:cs="Arial"/>
                <w:color w:val="000000"/>
                <w:sz w:val="18"/>
                <w:szCs w:val="18"/>
              </w:rPr>
            </w:pPr>
            <w:r>
              <w:rPr>
                <w:rFonts w:ascii="Arial" w:eastAsia="Arial" w:hAnsi="Arial" w:cs="Arial"/>
                <w:color w:val="000000"/>
                <w:sz w:val="18"/>
                <w:szCs w:val="18"/>
              </w:rPr>
              <w:t>3</w:t>
            </w:r>
          </w:p>
        </w:tc>
        <w:tc>
          <w:tcPr>
            <w:tcW w:w="393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1E3E4E2" w14:textId="77777777" w:rsidR="0077186D" w:rsidRDefault="00E47411">
            <w:pPr>
              <w:widowControl w:val="0"/>
              <w:spacing w:before="0" w:line="240" w:lineRule="auto"/>
              <w:rPr>
                <w:rFonts w:ascii="Arial" w:eastAsia="Arial" w:hAnsi="Arial" w:cs="Arial"/>
                <w:color w:val="000000"/>
                <w:sz w:val="18"/>
                <w:szCs w:val="18"/>
              </w:rPr>
            </w:pPr>
            <w:r>
              <w:rPr>
                <w:rFonts w:ascii="Arial" w:eastAsia="Arial" w:hAnsi="Arial" w:cs="Arial"/>
                <w:color w:val="000000"/>
                <w:sz w:val="18"/>
                <w:szCs w:val="18"/>
              </w:rPr>
              <w:t>WGS</w:t>
            </w:r>
          </w:p>
        </w:tc>
      </w:tr>
      <w:tr w:rsidR="0077186D" w14:paraId="64674B62" w14:textId="77777777">
        <w:tc>
          <w:tcPr>
            <w:tcW w:w="286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E343526" w14:textId="77777777" w:rsidR="0077186D" w:rsidRDefault="00E47411">
            <w:pPr>
              <w:widowControl w:val="0"/>
              <w:spacing w:before="0" w:line="240" w:lineRule="auto"/>
              <w:rPr>
                <w:rFonts w:ascii="Arial" w:eastAsia="Arial" w:hAnsi="Arial" w:cs="Arial"/>
                <w:color w:val="000000"/>
                <w:sz w:val="18"/>
                <w:szCs w:val="18"/>
              </w:rPr>
            </w:pPr>
            <w:r>
              <w:rPr>
                <w:rFonts w:ascii="Arial" w:eastAsia="Arial" w:hAnsi="Arial" w:cs="Arial"/>
                <w:color w:val="000000"/>
                <w:sz w:val="18"/>
                <w:szCs w:val="18"/>
              </w:rPr>
              <w:t>EpiGABA</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E7D901" w14:textId="77777777" w:rsidR="0077186D" w:rsidRDefault="00E47411">
            <w:pPr>
              <w:widowControl w:val="0"/>
              <w:spacing w:before="0" w:line="240" w:lineRule="auto"/>
              <w:rPr>
                <w:rFonts w:ascii="Arial" w:eastAsia="Arial" w:hAnsi="Arial" w:cs="Arial"/>
                <w:color w:val="000000"/>
                <w:sz w:val="18"/>
                <w:szCs w:val="18"/>
              </w:rPr>
            </w:pPr>
            <w:r>
              <w:rPr>
                <w:rFonts w:ascii="Arial" w:eastAsia="Arial" w:hAnsi="Arial" w:cs="Arial"/>
                <w:color w:val="000000"/>
                <w:sz w:val="18"/>
                <w:szCs w:val="18"/>
              </w:rPr>
              <w:t>9</w:t>
            </w:r>
          </w:p>
        </w:tc>
        <w:tc>
          <w:tcPr>
            <w:tcW w:w="393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07CF246" w14:textId="77777777" w:rsidR="0077186D" w:rsidRDefault="00E47411">
            <w:pPr>
              <w:widowControl w:val="0"/>
              <w:spacing w:before="0" w:line="240" w:lineRule="auto"/>
              <w:rPr>
                <w:rFonts w:ascii="Arial" w:eastAsia="Arial" w:hAnsi="Arial" w:cs="Arial"/>
                <w:color w:val="000000"/>
                <w:sz w:val="18"/>
                <w:szCs w:val="18"/>
              </w:rPr>
            </w:pPr>
            <w:r>
              <w:rPr>
                <w:rFonts w:ascii="Arial" w:eastAsia="Arial" w:hAnsi="Arial" w:cs="Arial"/>
                <w:color w:val="000000"/>
                <w:sz w:val="18"/>
                <w:szCs w:val="18"/>
              </w:rPr>
              <w:t>Illumina_HumanOmni1-Quadv1.0</w:t>
            </w:r>
          </w:p>
        </w:tc>
      </w:tr>
    </w:tbl>
    <w:p w14:paraId="69C3D447" w14:textId="77777777" w:rsidR="0077186D" w:rsidRDefault="0077186D">
      <w:pPr>
        <w:spacing w:before="0" w:line="240" w:lineRule="auto"/>
        <w:rPr>
          <w:rFonts w:ascii="Helvetica Neue" w:eastAsia="Helvetica Neue" w:hAnsi="Helvetica Neue" w:cs="Helvetica Neue"/>
          <w:b/>
          <w:sz w:val="18"/>
          <w:szCs w:val="18"/>
        </w:rPr>
      </w:pPr>
    </w:p>
    <w:p w14:paraId="18B3944B"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Table S5.1. Summary of genotype data generated in PsychENCODE and used in our paper. </w:t>
      </w:r>
      <w:r w:rsidRPr="00605DD0">
        <w:rPr>
          <w:rFonts w:ascii="Helvetica" w:eastAsia="Helvetica Neue" w:hAnsi="Helvetica" w:cs="Helvetica Neue"/>
          <w:sz w:val="18"/>
          <w:szCs w:val="18"/>
        </w:rPr>
        <w:t xml:space="preserve">Most of these studies used different genotyping platforms. There were overlap of the individuals in BipSeq, </w:t>
      </w:r>
      <w:r w:rsidRPr="00605DD0">
        <w:rPr>
          <w:rFonts w:ascii="Helvetica" w:eastAsia="Calibri" w:hAnsi="Helvetica" w:cs="Calibri"/>
          <w:color w:val="000000"/>
          <w:sz w:val="18"/>
          <w:szCs w:val="18"/>
        </w:rPr>
        <w:t>LIBD_szControl and CMC_HBCC studies and the number of total individuals of these three studies are 896.</w:t>
      </w:r>
    </w:p>
    <w:p w14:paraId="3C4CB552" w14:textId="77777777" w:rsidR="0077186D" w:rsidRDefault="0077186D">
      <w:pPr>
        <w:spacing w:before="0" w:line="240" w:lineRule="auto"/>
        <w:rPr>
          <w:rFonts w:ascii="Helvetica Neue" w:eastAsia="Helvetica Neue" w:hAnsi="Helvetica Neue" w:cs="Helvetica Neue"/>
          <w:b/>
          <w:sz w:val="18"/>
          <w:szCs w:val="18"/>
        </w:rPr>
      </w:pPr>
    </w:p>
    <w:p w14:paraId="65D4EDD8"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The second module consisted of genotype PCA using peddy (Pedersen et al., 2017) to identify ancestry structure (Fig. S5.2). In the third, prior to imputation, SNP positions, identifiers, and alleles were aligned to the relevant reference genome assembly using LiftOver, and genotype data was divided into chromosomes and overlapping segments for parallel haplotype pre-phasing and imputation using eagle2 and Minimac3 on the Michigan Imputation Server (Das et al., 2016).</w:t>
      </w:r>
      <w:r>
        <w:rPr>
          <w:rFonts w:ascii="Times New Roman" w:eastAsia="Times New Roman" w:hAnsi="Times New Roman" w:cs="Times New Roman"/>
          <w:color w:val="252525"/>
        </w:rPr>
        <w:t xml:space="preserve"> We used the recently released HRC Reference Panel for imputation.</w:t>
      </w:r>
      <w:r>
        <w:rPr>
          <w:rFonts w:ascii="Times New Roman" w:eastAsia="Times New Roman" w:hAnsi="Times New Roman" w:cs="Times New Roman"/>
        </w:rPr>
        <w:t xml:space="preserve"> In the final module, we used the summary of R2 from Minimac3 to evaluate the imputation accuracy and only kept imputed SNPs with R2&gt;0.3 for QTL analysis.</w:t>
      </w:r>
    </w:p>
    <w:p w14:paraId="34B55641" w14:textId="77777777" w:rsidR="0077186D" w:rsidRDefault="0077186D">
      <w:pPr>
        <w:spacing w:before="0" w:line="240" w:lineRule="auto"/>
        <w:rPr>
          <w:rFonts w:ascii="Times New Roman" w:eastAsia="Times New Roman" w:hAnsi="Times New Roman" w:cs="Times New Roman"/>
        </w:rPr>
      </w:pPr>
    </w:p>
    <w:p w14:paraId="2BBACCD6" w14:textId="77777777" w:rsidR="0077186D" w:rsidRPr="00CB6EBD" w:rsidRDefault="00E47411">
      <w:pPr>
        <w:pStyle w:val="Heading2"/>
        <w:spacing w:before="200" w:after="160"/>
        <w:rPr>
          <w:rFonts w:ascii="Helvetica" w:hAnsi="Helvetica"/>
          <w:sz w:val="28"/>
          <w:szCs w:val="28"/>
        </w:rPr>
      </w:pPr>
      <w:bookmarkStart w:id="34" w:name="_1dg3u2fae83g" w:colFirst="0" w:colLast="0"/>
      <w:bookmarkEnd w:id="34"/>
      <w:r w:rsidRPr="00CB6EBD">
        <w:rPr>
          <w:rFonts w:ascii="Helvetica" w:hAnsi="Helvetica"/>
          <w:sz w:val="28"/>
          <w:szCs w:val="28"/>
        </w:rPr>
        <w:t>S5.2 eQTL and isoform QTL</w:t>
      </w:r>
    </w:p>
    <w:p w14:paraId="385103B0" w14:textId="77777777" w:rsidR="0077186D" w:rsidRDefault="00E47411">
      <w:pPr>
        <w:spacing w:before="0" w:line="240" w:lineRule="auto"/>
        <w:ind w:firstLine="720"/>
        <w:rPr>
          <w:rFonts w:ascii="Times New Roman" w:eastAsia="Times New Roman" w:hAnsi="Times New Roman" w:cs="Times New Roman"/>
          <w:color w:val="252525"/>
        </w:rPr>
      </w:pPr>
      <w:r>
        <w:rPr>
          <w:rFonts w:ascii="Times New Roman" w:eastAsia="Times New Roman" w:hAnsi="Times New Roman" w:cs="Times New Roman"/>
          <w:color w:val="252525"/>
        </w:rPr>
        <w:t>We used a conservative approach for eQTL and isoQTL processing. We adhered closely to the GTEx pipeline, and we benchmarked our results with direct comparisons to available data files in the GTEx portal (gtexportal.org) and published GTEx results. We used the QTLtools software package for eQTL and isoform QTL (iso-QTL) identification. Following the normalization scheme used by GTEx, the gene expression matrix was normalized using quantile normalization, followed by inverse quantile normalization to map to a standard normal distribution. Probabilistic estimation of expression residuals (PEER) factors, genotype PCs, gender, and respective study were used as covariates in our calculations to identify cis-eQTL. For cis-eQTLs, we calculated the associations between gene expression and variants within a 1Mb window of each gene TSS. These calculations were performed using genotype and gene expression data from 1,387 individuals (associations between a total of 43,854 genes and 5,312,508 variants were evaluated for potential QTLs).</w:t>
      </w:r>
    </w:p>
    <w:p w14:paraId="42D17445" w14:textId="77777777" w:rsidR="00E23F3A" w:rsidRDefault="00E23F3A">
      <w:pPr>
        <w:spacing w:before="0" w:line="240" w:lineRule="auto"/>
        <w:ind w:firstLine="720"/>
        <w:rPr>
          <w:rFonts w:ascii="Times New Roman" w:eastAsia="Times New Roman" w:hAnsi="Times New Roman" w:cs="Times New Roman"/>
        </w:rPr>
      </w:pPr>
    </w:p>
    <w:p w14:paraId="17073787"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19B0A8F8" wp14:editId="16289292">
            <wp:extent cx="2337435" cy="4693275"/>
            <wp:effectExtent l="0" t="0" r="0" b="6350"/>
            <wp:docPr id="1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2350682" cy="4719874"/>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14:anchorId="52094C60" wp14:editId="28A4FD21">
            <wp:extent cx="2333023" cy="4675124"/>
            <wp:effectExtent l="0" t="0" r="3810" b="0"/>
            <wp:docPr id="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1"/>
                    <a:srcRect/>
                    <a:stretch>
                      <a:fillRect/>
                    </a:stretch>
                  </pic:blipFill>
                  <pic:spPr>
                    <a:xfrm>
                      <a:off x="0" y="0"/>
                      <a:ext cx="2359583" cy="4728347"/>
                    </a:xfrm>
                    <a:prstGeom prst="rect">
                      <a:avLst/>
                    </a:prstGeom>
                    <a:ln/>
                  </pic:spPr>
                </pic:pic>
              </a:graphicData>
            </a:graphic>
          </wp:inline>
        </w:drawing>
      </w:r>
    </w:p>
    <w:p w14:paraId="0AE9FF8D" w14:textId="0A46EBD0"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 xml:space="preserve">Fig. S5.2 Genotype PCs showing the population structure in CMC and UCLA-ASD studies. </w:t>
      </w:r>
      <w:r w:rsidR="00840524">
        <w:rPr>
          <w:rFonts w:ascii="Helvetica" w:eastAsia="Helvetica Neue" w:hAnsi="Helvetica" w:cs="Helvetica Neue"/>
          <w:sz w:val="18"/>
          <w:szCs w:val="18"/>
        </w:rPr>
        <w:t>T</w:t>
      </w:r>
      <w:r w:rsidRPr="00605DD0">
        <w:rPr>
          <w:rFonts w:ascii="Helvetica" w:eastAsia="Helvetica Neue" w:hAnsi="Helvetica" w:cs="Helvetica Neue"/>
          <w:sz w:val="18"/>
          <w:szCs w:val="18"/>
        </w:rPr>
        <w:t>he first 3 genotype PCs could capture most of the population structures. The top panels show genotype PC1 vs. PC2. The bottom panels show genotype PC1 vs. PC3. A majority of the individuals in these two studies were from EUR populations.</w:t>
      </w:r>
    </w:p>
    <w:p w14:paraId="4DFD7EF7" w14:textId="77777777" w:rsidR="0077186D" w:rsidRDefault="0077186D">
      <w:pPr>
        <w:spacing w:before="0" w:line="240" w:lineRule="auto"/>
        <w:ind w:firstLine="720"/>
        <w:rPr>
          <w:rFonts w:ascii="Times New Roman" w:eastAsia="Times New Roman" w:hAnsi="Times New Roman" w:cs="Times New Roman"/>
          <w:color w:val="252525"/>
        </w:rPr>
      </w:pPr>
    </w:p>
    <w:p w14:paraId="10FCB328" w14:textId="40BF2C0B" w:rsidR="0077186D" w:rsidRDefault="00E47411">
      <w:pPr>
        <w:spacing w:before="0" w:line="240" w:lineRule="auto"/>
        <w:ind w:firstLine="720"/>
        <w:rPr>
          <w:rFonts w:ascii="Times New Roman" w:eastAsia="Times New Roman" w:hAnsi="Times New Roman" w:cs="Times New Roman"/>
          <w:color w:val="222222"/>
        </w:rPr>
      </w:pPr>
      <w:r>
        <w:rPr>
          <w:rFonts w:ascii="Times New Roman" w:eastAsia="Times New Roman" w:hAnsi="Times New Roman" w:cs="Times New Roman"/>
        </w:rPr>
        <w:t xml:space="preserve">We performed multiple testing correction on nominal P values by limiting FDR values </w:t>
      </w:r>
      <w:r w:rsidR="00840524">
        <w:rPr>
          <w:rFonts w:ascii="Times New Roman" w:eastAsia="Times New Roman" w:hAnsi="Times New Roman" w:cs="Times New Roman"/>
        </w:rPr>
        <w:t>less than</w:t>
      </w:r>
      <w:r>
        <w:rPr>
          <w:rFonts w:ascii="Times New Roman" w:eastAsia="Times New Roman" w:hAnsi="Times New Roman" w:cs="Times New Roman"/>
        </w:rPr>
        <w:t xml:space="preserve"> 0.05. </w:t>
      </w:r>
      <w:r w:rsidR="00840524">
        <w:rPr>
          <w:rFonts w:ascii="Times New Roman" w:eastAsia="Times New Roman" w:hAnsi="Times New Roman" w:cs="Times New Roman"/>
        </w:rPr>
        <w:t>We</w:t>
      </w:r>
      <w:r>
        <w:rPr>
          <w:rFonts w:ascii="Times New Roman" w:eastAsia="Times New Roman" w:hAnsi="Times New Roman" w:cs="Times New Roman"/>
        </w:rPr>
        <w:t xml:space="preserve"> identified </w:t>
      </w:r>
      <w:r>
        <w:rPr>
          <w:rFonts w:ascii="Times New Roman" w:eastAsia="Times New Roman" w:hAnsi="Times New Roman" w:cs="Times New Roman"/>
          <w:color w:val="000000"/>
        </w:rPr>
        <w:t xml:space="preserve">2,542,908 </w:t>
      </w:r>
      <w:r>
        <w:rPr>
          <w:rFonts w:ascii="Times New Roman" w:eastAsia="Times New Roman" w:hAnsi="Times New Roman" w:cs="Times New Roman"/>
        </w:rPr>
        <w:t>significant cis-eQTLs. B</w:t>
      </w:r>
      <w:r>
        <w:rPr>
          <w:rFonts w:ascii="Times New Roman" w:eastAsia="Times New Roman" w:hAnsi="Times New Roman" w:cs="Times New Roman"/>
          <w:color w:val="000000"/>
        </w:rPr>
        <w:t xml:space="preserve">ecause of linkage disequilibrium (LD), many of the eQTL SNPs for the same gene were correlated. </w:t>
      </w:r>
      <w:r>
        <w:rPr>
          <w:rFonts w:ascii="Times New Roman" w:eastAsia="Times New Roman" w:hAnsi="Times New Roman" w:cs="Times New Roman"/>
        </w:rPr>
        <w:t xml:space="preserve">We pruned such SNPs for a given gene by restricting the </w:t>
      </w:r>
      <w:r>
        <w:rPr>
          <w:rFonts w:ascii="Times New Roman" w:eastAsia="Times New Roman" w:hAnsi="Times New Roman" w:cs="Times New Roman"/>
          <w:color w:val="000000"/>
        </w:rPr>
        <w:t>genotype correlation coefficient</w:t>
      </w:r>
      <w:r>
        <w:rPr>
          <w:rFonts w:ascii="Times New Roman" w:eastAsia="Times New Roman" w:hAnsi="Times New Roman" w:cs="Times New Roman"/>
        </w:rPr>
        <w:t xml:space="preserve"> (</w:t>
      </w:r>
      <w:r>
        <w:rPr>
          <w:rFonts w:ascii="Times New Roman" w:eastAsia="Times New Roman" w:hAnsi="Times New Roman" w:cs="Times New Roman"/>
          <w:color w:val="000000"/>
        </w:rPr>
        <w:t>r</w:t>
      </w:r>
      <w:r>
        <w:rPr>
          <w:rFonts w:ascii="Times New Roman" w:eastAsia="Times New Roman" w:hAnsi="Times New Roman" w:cs="Times New Roman"/>
          <w:color w:val="000000"/>
          <w:vertAlign w:val="superscript"/>
        </w:rPr>
        <w:t>2</w:t>
      </w:r>
      <w:r>
        <w:rPr>
          <w:rFonts w:ascii="Times New Roman" w:eastAsia="Times New Roman" w:hAnsi="Times New Roman" w:cs="Times New Roman"/>
        </w:rPr>
        <w:t xml:space="preserve">) values to exceed 0.5. </w:t>
      </w:r>
      <w:r>
        <w:rPr>
          <w:rFonts w:ascii="Times New Roman" w:eastAsia="Times New Roman" w:hAnsi="Times New Roman" w:cs="Times New Roman"/>
          <w:color w:val="000000"/>
        </w:rPr>
        <w:t xml:space="preserve">Enforcing this resulted in 373,686 eQTLs. </w:t>
      </w:r>
    </w:p>
    <w:p w14:paraId="31B0F7B6" w14:textId="6AF35874" w:rsidR="0077186D" w:rsidRDefault="00E47411" w:rsidP="00840524">
      <w:pPr>
        <w:spacing w:before="0" w:line="240" w:lineRule="auto"/>
        <w:ind w:firstLine="720"/>
        <w:rPr>
          <w:rFonts w:ascii="Times New Roman" w:eastAsia="Times New Roman" w:hAnsi="Times New Roman" w:cs="Times New Roman"/>
          <w:color w:val="000000"/>
        </w:rPr>
      </w:pPr>
      <w:r>
        <w:rPr>
          <w:rFonts w:ascii="Times New Roman" w:eastAsia="Times New Roman" w:hAnsi="Times New Roman" w:cs="Times New Roman"/>
        </w:rPr>
        <w:t>These conservative approaches for searching for eQTLs identified a substantially larger number of cis-eQTLs and eGenes than previous brain eQTL studies. This may reflect the greater statistical power offered by our large sample size.</w:t>
      </w:r>
      <w:r w:rsidR="0084052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We also identified 157,592 iso-QTLs, </w:t>
      </w:r>
      <w:r>
        <w:rPr>
          <w:rFonts w:ascii="Times New Roman" w:eastAsia="Times New Roman" w:hAnsi="Times New Roman" w:cs="Times New Roman"/>
        </w:rPr>
        <w:t xml:space="preserve">using a similar pipeline to that in our search for eQTLs. </w:t>
      </w:r>
      <w:r>
        <w:rPr>
          <w:rFonts w:ascii="Times New Roman" w:eastAsia="Times New Roman" w:hAnsi="Times New Roman" w:cs="Times New Roman"/>
          <w:color w:val="222222"/>
        </w:rPr>
        <w:t xml:space="preserve">For </w:t>
      </w:r>
      <w:r>
        <w:rPr>
          <w:rFonts w:ascii="Times New Roman" w:eastAsia="Times New Roman" w:hAnsi="Times New Roman" w:cs="Times New Roman"/>
          <w:color w:val="000000"/>
        </w:rPr>
        <w:t xml:space="preserve">1,147 individuals, </w:t>
      </w:r>
      <w:r>
        <w:rPr>
          <w:rFonts w:ascii="Times New Roman" w:eastAsia="Times New Roman" w:hAnsi="Times New Roman" w:cs="Times New Roman"/>
        </w:rPr>
        <w:t xml:space="preserve">we used </w:t>
      </w:r>
      <w:r>
        <w:rPr>
          <w:rFonts w:ascii="Times New Roman" w:eastAsia="Times New Roman" w:hAnsi="Times New Roman" w:cs="Times New Roman"/>
          <w:color w:val="222222"/>
        </w:rPr>
        <w:t xml:space="preserve">isoform percentages of </w:t>
      </w:r>
      <w:r>
        <w:rPr>
          <w:rFonts w:ascii="Times New Roman" w:eastAsia="Times New Roman" w:hAnsi="Times New Roman" w:cs="Times New Roman"/>
          <w:color w:val="000000"/>
        </w:rPr>
        <w:t>43,820 transcripts using the same set of variants that we used in our search for eQTLs.</w:t>
      </w:r>
    </w:p>
    <w:p w14:paraId="6D1BC1C7" w14:textId="77777777" w:rsidR="0077186D" w:rsidRPr="00CB6EBD" w:rsidRDefault="00E47411">
      <w:pPr>
        <w:pStyle w:val="Heading2"/>
        <w:spacing w:before="200" w:after="160"/>
        <w:rPr>
          <w:rFonts w:ascii="Helvetica" w:hAnsi="Helvetica"/>
          <w:sz w:val="28"/>
          <w:szCs w:val="28"/>
        </w:rPr>
      </w:pPr>
      <w:bookmarkStart w:id="35" w:name="_sdfu9fco6xx4" w:colFirst="0" w:colLast="0"/>
      <w:bookmarkEnd w:id="35"/>
      <w:r w:rsidRPr="00CB6EBD">
        <w:rPr>
          <w:rFonts w:ascii="Helvetica" w:hAnsi="Helvetica"/>
          <w:sz w:val="28"/>
          <w:szCs w:val="28"/>
        </w:rPr>
        <w:t>S5.3 cQTLs</w:t>
      </w:r>
    </w:p>
    <w:p w14:paraId="5CE5E621" w14:textId="1188254C"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To calculate cQTLs, we used the uniformly processed ChIP-seq data from PsychENCODE (3 different brain regions) and Roadmap ChIP-seq data for different tissues. cQTLs were calculated using candidate regulatory regions (cREs). We extended (in rare cases truncated) each cRE to 1kb (a typical enhancer’s size). We calculated the average signal on each of the extended regions across PsychENCODE and roadmap samples. We identified 74 individuals from UCLA_ASD and 218 from Epidiff correlating this signal matrix with nearby variants within 1Mb window of the peak center. Then, we used the QTLtools for cQTL calculation using FDR&lt;0.05 and identified the most significant SNP for each enhancer. </w:t>
      </w:r>
    </w:p>
    <w:p w14:paraId="7ABA5D1F" w14:textId="77777777" w:rsidR="0077186D" w:rsidRDefault="0077186D">
      <w:pPr>
        <w:spacing w:before="0" w:line="240" w:lineRule="auto"/>
        <w:rPr>
          <w:rFonts w:ascii="Times New Roman" w:eastAsia="Times New Roman" w:hAnsi="Times New Roman" w:cs="Times New Roman"/>
          <w:color w:val="000000"/>
        </w:rPr>
      </w:pPr>
    </w:p>
    <w:p w14:paraId="5A9365FF" w14:textId="77777777" w:rsidR="0077186D" w:rsidRPr="00CB6EBD" w:rsidRDefault="00E47411">
      <w:pPr>
        <w:pStyle w:val="Heading2"/>
        <w:spacing w:before="200" w:after="160"/>
        <w:rPr>
          <w:rFonts w:ascii="Helvetica" w:hAnsi="Helvetica"/>
          <w:sz w:val="28"/>
          <w:szCs w:val="28"/>
        </w:rPr>
      </w:pPr>
      <w:bookmarkStart w:id="36" w:name="_4s8cip3s8kd3" w:colFirst="0" w:colLast="0"/>
      <w:bookmarkEnd w:id="36"/>
      <w:r w:rsidRPr="00CB6EBD">
        <w:rPr>
          <w:rFonts w:ascii="Helvetica" w:hAnsi="Helvetica"/>
          <w:sz w:val="28"/>
          <w:szCs w:val="28"/>
        </w:rPr>
        <w:t>S5.4 Cell fraction &amp; residual QTL</w:t>
      </w:r>
    </w:p>
    <w:p w14:paraId="63BCCBAA"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We used the QTLtools package (Delaneau et al., 2017) to calculate the cell fraction and residual QTLs based on the cell fractions and estimated residuals. QTLtools was run in nominal pass mode to identify fQTLs. We used gender and disease as covariates. To best deal with population structure as potential confounding factor, we restricted our analysis to European adult samples, which comprise a substantial subset of all available genotyped data (Fig. S5.3A).</w:t>
      </w:r>
    </w:p>
    <w:p w14:paraId="5CDE2567"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take the conservative approach of defining significant fQTLs to be those associated with Bonferroni-corrected p-values of no more than 0.05. By using this approach, we identified 9 different cell types with significant fQTLs (Ex3, Ex4, Ex5, In6, In8, Astrocytes, Microglia, and Endothelial cells). Specifically, these 9 cell types are those which exhibit fQTLs when using gender and disease status as input covariates. </w:t>
      </w:r>
      <w:r>
        <w:rPr>
          <w:rFonts w:ascii="Times New Roman" w:eastAsia="Times New Roman" w:hAnsi="Times New Roman" w:cs="Times New Roman"/>
          <w:color w:val="000000"/>
        </w:rPr>
        <w:t xml:space="preserve">We find that different cell types exhibit considerable heterogeneity in terms of their abundance within the set of high-confidence fQTLs (Fig. S5.3B). The SNVs associated with these fQTLs coincide with 106 distinct SNVs associated with cis-eQTLs. </w:t>
      </w:r>
      <w:r>
        <w:rPr>
          <w:rFonts w:ascii="Times New Roman" w:eastAsia="Times New Roman" w:hAnsi="Times New Roman" w:cs="Times New Roman"/>
        </w:rPr>
        <w:t>A supplementary data file listing all fQTLs (along with associated data) is available online.</w:t>
      </w:r>
    </w:p>
    <w:p w14:paraId="43C81295" w14:textId="77777777" w:rsidR="005B73C9" w:rsidRDefault="005B73C9">
      <w:pPr>
        <w:spacing w:before="0" w:line="240" w:lineRule="auto"/>
        <w:ind w:firstLine="720"/>
        <w:rPr>
          <w:rFonts w:ascii="Times New Roman" w:eastAsia="Times New Roman" w:hAnsi="Times New Roman" w:cs="Times New Roman"/>
        </w:rPr>
      </w:pPr>
    </w:p>
    <w:p w14:paraId="4418A6B1" w14:textId="77777777" w:rsidR="00E23F3A" w:rsidRDefault="00E23F3A">
      <w:pPr>
        <w:spacing w:before="0" w:line="240" w:lineRule="auto"/>
        <w:ind w:firstLine="720"/>
        <w:rPr>
          <w:rFonts w:ascii="Times New Roman" w:eastAsia="Times New Roman" w:hAnsi="Times New Roman" w:cs="Times New Roman"/>
        </w:rPr>
      </w:pPr>
    </w:p>
    <w:p w14:paraId="301CEE8F" w14:textId="70A5A3CE" w:rsidR="0077186D" w:rsidRPr="00E23F3A" w:rsidRDefault="00E23F3A" w:rsidP="00E23F3A">
      <w:pPr>
        <w:spacing w:before="0" w:line="240" w:lineRule="auto"/>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3E592C64" wp14:editId="318E8888">
            <wp:extent cx="5943600" cy="17481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_S5.2.pdf"/>
                    <pic:cNvPicPr/>
                  </pic:nvPicPr>
                  <pic:blipFill>
                    <a:blip r:embed="rId32">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inline>
        </w:drawing>
      </w:r>
    </w:p>
    <w:p w14:paraId="60F8C37B"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sz w:val="18"/>
          <w:szCs w:val="18"/>
        </w:rPr>
      </w:pPr>
      <w:r w:rsidRPr="00605DD0">
        <w:rPr>
          <w:rFonts w:ascii="Helvetica" w:eastAsia="Helvetica Neue" w:hAnsi="Helvetica" w:cs="Helvetica Neue"/>
          <w:b/>
          <w:sz w:val="18"/>
          <w:szCs w:val="18"/>
        </w:rPr>
        <w:t>Fig. S5.3 Datasets, counts, and cis-eQTL overlaps associated with fQTLs. A.</w:t>
      </w:r>
      <w:r w:rsidRPr="00605DD0">
        <w:rPr>
          <w:rFonts w:ascii="Helvetica" w:eastAsia="Helvetica Neue" w:hAnsi="Helvetica" w:cs="Helvetica Neue"/>
          <w:sz w:val="18"/>
          <w:szCs w:val="18"/>
        </w:rPr>
        <w:t xml:space="preserve"> In calculating fQTLs, we restricted our analyses to a 938 European adult samples for which genotype data is available. </w:t>
      </w:r>
      <w:r w:rsidRPr="00605DD0">
        <w:rPr>
          <w:rFonts w:ascii="Helvetica" w:eastAsia="Helvetica Neue" w:hAnsi="Helvetica" w:cs="Helvetica Neue"/>
          <w:b/>
          <w:sz w:val="18"/>
          <w:szCs w:val="18"/>
        </w:rPr>
        <w:t>B.</w:t>
      </w:r>
      <w:r w:rsidRPr="00605DD0">
        <w:rPr>
          <w:rFonts w:ascii="Helvetica" w:eastAsia="Helvetica Neue" w:hAnsi="Helvetica" w:cs="Helvetica Neue"/>
          <w:sz w:val="18"/>
          <w:szCs w:val="18"/>
        </w:rPr>
        <w:t xml:space="preserve"> The histogram on the left represents the counts for the number of fQTLs across 10 different cell types. These fQTLs encompass 1672 distinct SNVs, of which 106 (6.3%) also appear among the cis-eQLTs.</w:t>
      </w:r>
    </w:p>
    <w:p w14:paraId="39208812" w14:textId="77777777" w:rsidR="00840524" w:rsidRDefault="00840524">
      <w:pPr>
        <w:pStyle w:val="Heading2"/>
        <w:spacing w:before="200" w:after="160"/>
        <w:rPr>
          <w:rFonts w:ascii="Arial" w:eastAsia="Arial" w:hAnsi="Arial" w:cs="Arial"/>
          <w:b w:val="0"/>
          <w:sz w:val="22"/>
          <w:szCs w:val="22"/>
        </w:rPr>
      </w:pPr>
      <w:bookmarkStart w:id="37" w:name="_gdgtzt8qk5ys" w:colFirst="0" w:colLast="0"/>
      <w:bookmarkEnd w:id="37"/>
    </w:p>
    <w:p w14:paraId="65C376A7" w14:textId="77777777" w:rsidR="0077186D" w:rsidRPr="00CB6EBD" w:rsidRDefault="00E47411">
      <w:pPr>
        <w:pStyle w:val="Heading2"/>
        <w:spacing w:before="200" w:after="160"/>
        <w:rPr>
          <w:rFonts w:ascii="Helvetica" w:hAnsi="Helvetica"/>
          <w:sz w:val="28"/>
          <w:szCs w:val="28"/>
        </w:rPr>
      </w:pPr>
      <w:r w:rsidRPr="00CB6EBD">
        <w:rPr>
          <w:rFonts w:ascii="Helvetica" w:hAnsi="Helvetica"/>
          <w:sz w:val="28"/>
          <w:szCs w:val="28"/>
        </w:rPr>
        <w:t>S5.5 QTL replication and sharing</w:t>
      </w:r>
    </w:p>
    <w:p w14:paraId="16ABDDFB" w14:textId="77777777" w:rsidR="0077186D" w:rsidRDefault="00E47411">
      <w:pPr>
        <w:spacing w:line="240" w:lineRule="auto"/>
        <w:rPr>
          <w:rFonts w:ascii="Times New Roman" w:eastAsia="Times New Roman" w:hAnsi="Times New Roman" w:cs="Times New Roman"/>
        </w:rPr>
      </w:pPr>
      <w:r>
        <w:rPr>
          <w:rFonts w:ascii="Times New Roman" w:eastAsia="Times New Roman" w:hAnsi="Times New Roman" w:cs="Times New Roman"/>
        </w:rPr>
        <w:t xml:space="preserve">We evaluated the replication of GTEx and CommonMind PFC eQTLs in our study using the </w:t>
      </w:r>
      <w:r>
        <w:rPr>
          <w:rFonts w:ascii="Times New Roman" w:eastAsia="Times New Roman" w:hAnsi="Times New Roman" w:cs="Times New Roman"/>
          <w:color w:val="000000"/>
        </w:rPr>
        <w:t>π</w:t>
      </w:r>
      <w:r>
        <w:rPr>
          <w:rFonts w:ascii="Times New Roman" w:eastAsia="Times New Roman" w:hAnsi="Times New Roman" w:cs="Times New Roman"/>
          <w:color w:val="000000"/>
          <w:vertAlign w:val="subscript"/>
        </w:rPr>
        <w:t xml:space="preserve">1 </w:t>
      </w:r>
      <w:r>
        <w:rPr>
          <w:rFonts w:ascii="Times New Roman" w:eastAsia="Times New Roman" w:hAnsi="Times New Roman" w:cs="Times New Roman"/>
        </w:rPr>
        <w:t>statistic (Storey</w:t>
      </w:r>
      <w:r>
        <w:rPr>
          <w:rFonts w:ascii="Times New Roman" w:eastAsia="Times New Roman" w:hAnsi="Times New Roman" w:cs="Times New Roman"/>
          <w:color w:val="333333"/>
        </w:rPr>
        <w:t xml:space="preserve"> </w:t>
      </w:r>
      <w:r>
        <w:rPr>
          <w:rFonts w:ascii="Times New Roman" w:eastAsia="Times New Roman" w:hAnsi="Times New Roman" w:cs="Times New Roman"/>
        </w:rPr>
        <w:t xml:space="preserve">et al., 2003; Ng et al., 2017), </w:t>
      </w:r>
      <w:r>
        <w:rPr>
          <w:rFonts w:ascii="Times New Roman" w:eastAsia="Times New Roman" w:hAnsi="Times New Roman" w:cs="Times New Roman"/>
          <w:color w:val="222222"/>
        </w:rPr>
        <w:t>which estimated the proportion of eQTLs that were significant based on the p-value distribution in our dataset</w:t>
      </w:r>
      <w:r>
        <w:rPr>
          <w:rFonts w:ascii="Times New Roman" w:eastAsia="Times New Roman" w:hAnsi="Times New Roman" w:cs="Times New Roman"/>
        </w:rPr>
        <w:t xml:space="preserve">. In this calculation, we used top SNPs from our eQTLs and found overlap with the eQTL SNPs in GTEx and CommonMind. Then, we used the p values of associations between these overlapped SNPs with protein-coding genes in the 1Kb window to calculate </w:t>
      </w:r>
      <w:r>
        <w:rPr>
          <w:rFonts w:ascii="Times New Roman" w:eastAsia="Times New Roman" w:hAnsi="Times New Roman" w:cs="Times New Roman"/>
          <w:color w:val="000000"/>
        </w:rPr>
        <w:t>π</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We determined π</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values of 0.93 and 0.9 for </w:t>
      </w:r>
      <w:r>
        <w:rPr>
          <w:rFonts w:ascii="Times New Roman" w:eastAsia="Times New Roman" w:hAnsi="Times New Roman" w:cs="Times New Roman"/>
        </w:rPr>
        <w:t xml:space="preserve">GTEx and CommonMind, respectively, which indicated a good replication rate. We also used the </w:t>
      </w:r>
      <w:r>
        <w:rPr>
          <w:rFonts w:ascii="Times New Roman" w:eastAsia="Times New Roman" w:hAnsi="Times New Roman" w:cs="Times New Roman"/>
          <w:color w:val="000000"/>
        </w:rPr>
        <w:t>π</w:t>
      </w:r>
      <w:r>
        <w:rPr>
          <w:rFonts w:ascii="Times New Roman" w:eastAsia="Times New Roman" w:hAnsi="Times New Roman" w:cs="Times New Roman"/>
          <w:color w:val="000000"/>
          <w:vertAlign w:val="subscript"/>
        </w:rPr>
        <w:t xml:space="preserve">1 </w:t>
      </w:r>
      <w:r>
        <w:rPr>
          <w:rFonts w:ascii="Times New Roman" w:eastAsia="Times New Roman" w:hAnsi="Times New Roman" w:cs="Times New Roman"/>
        </w:rPr>
        <w:t xml:space="preserve">statistic to investigate the sharing of SNPs between different types of QTLs in our study. In this case, we found shared SNPs between eQTL top SNPs and other QTL SNPs. Then, the </w:t>
      </w:r>
      <w:r>
        <w:rPr>
          <w:rFonts w:ascii="Times New Roman" w:eastAsia="Times New Roman" w:hAnsi="Times New Roman" w:cs="Times New Roman"/>
          <w:color w:val="000000"/>
        </w:rPr>
        <w:t>π</w:t>
      </w:r>
      <w:r>
        <w:rPr>
          <w:rFonts w:ascii="Times New Roman" w:eastAsia="Times New Roman" w:hAnsi="Times New Roman" w:cs="Times New Roman"/>
          <w:color w:val="000000"/>
          <w:vertAlign w:val="subscript"/>
        </w:rPr>
        <w:t xml:space="preserve">1 </w:t>
      </w:r>
      <w:r>
        <w:rPr>
          <w:rFonts w:ascii="Times New Roman" w:eastAsia="Times New Roman" w:hAnsi="Times New Roman" w:cs="Times New Roman"/>
        </w:rPr>
        <w:t xml:space="preserve">statistic was calculated based on the p values of the associations of these shared SNPs with all genes in the 1Kb window. We found that the </w:t>
      </w:r>
      <w:r>
        <w:rPr>
          <w:rFonts w:ascii="Times New Roman" w:eastAsia="Times New Roman" w:hAnsi="Times New Roman" w:cs="Times New Roman"/>
          <w:color w:val="000000"/>
        </w:rPr>
        <w:t>π</w:t>
      </w:r>
      <w:r>
        <w:rPr>
          <w:rFonts w:ascii="Times New Roman" w:eastAsia="Times New Roman" w:hAnsi="Times New Roman" w:cs="Times New Roman"/>
          <w:color w:val="000000"/>
          <w:vertAlign w:val="subscript"/>
        </w:rPr>
        <w:t xml:space="preserve">1 </w:t>
      </w:r>
      <w:r>
        <w:rPr>
          <w:rFonts w:ascii="Times New Roman" w:eastAsia="Times New Roman" w:hAnsi="Times New Roman" w:cs="Times New Roman"/>
          <w:color w:val="000000"/>
        </w:rPr>
        <w:t>value of cQTL was 0.89, which is the highest among all QTL SNP sharing comparisons.</w:t>
      </w:r>
    </w:p>
    <w:p w14:paraId="5A6F9C95" w14:textId="77777777" w:rsidR="0077186D" w:rsidRDefault="00E47411">
      <w:pPr>
        <w:rPr>
          <w:rFonts w:ascii="Times New Roman" w:eastAsia="Times New Roman" w:hAnsi="Times New Roman" w:cs="Times New Roman"/>
        </w:rPr>
      </w:pPr>
      <w:r>
        <w:rPr>
          <w:rFonts w:ascii="Times New Roman" w:eastAsia="Times New Roman" w:hAnsi="Times New Roman" w:cs="Times New Roman"/>
        </w:rPr>
        <w:tab/>
        <w:t>Lists of the identified QTLs are available on the website (adult.psychencode.org).</w:t>
      </w:r>
    </w:p>
    <w:p w14:paraId="65D05BBF" w14:textId="77777777" w:rsidR="0077186D" w:rsidRPr="00CB6EBD" w:rsidRDefault="00E47411">
      <w:pPr>
        <w:pStyle w:val="Heading1"/>
        <w:spacing w:before="200" w:after="280" w:line="276" w:lineRule="auto"/>
        <w:rPr>
          <w:rFonts w:ascii="Helvetica" w:hAnsi="Helvetica"/>
          <w:sz w:val="44"/>
          <w:szCs w:val="44"/>
        </w:rPr>
      </w:pPr>
      <w:bookmarkStart w:id="38" w:name="_fhl51hxc36rv" w:colFirst="0" w:colLast="0"/>
      <w:bookmarkStart w:id="39" w:name="_xcs51v2493fl" w:colFirst="0" w:colLast="0"/>
      <w:bookmarkStart w:id="40" w:name="_n7q3rjys32r2" w:colFirst="0" w:colLast="0"/>
      <w:bookmarkEnd w:id="38"/>
      <w:bookmarkEnd w:id="39"/>
      <w:bookmarkEnd w:id="40"/>
      <w:r w:rsidRPr="00CB6EBD">
        <w:rPr>
          <w:rFonts w:ascii="Helvetica" w:hAnsi="Helvetica"/>
          <w:sz w:val="44"/>
          <w:szCs w:val="44"/>
        </w:rPr>
        <w:lastRenderedPageBreak/>
        <w:t>S6. Supp. content to main text section "</w:t>
      </w:r>
      <w:r w:rsidRPr="00CB6EBD">
        <w:rPr>
          <w:rFonts w:ascii="Helvetica" w:hAnsi="Helvetica"/>
          <w:sz w:val="44"/>
          <w:szCs w:val="44"/>
          <w:u w:val="single"/>
        </w:rPr>
        <w:t>Regulatory networks</w:t>
      </w:r>
      <w:r w:rsidRPr="00CB6EBD">
        <w:rPr>
          <w:rFonts w:ascii="Helvetica" w:hAnsi="Helvetica"/>
          <w:sz w:val="44"/>
          <w:szCs w:val="44"/>
        </w:rPr>
        <w:t>"</w:t>
      </w:r>
    </w:p>
    <w:p w14:paraId="055CAB72" w14:textId="77777777" w:rsidR="0077186D" w:rsidRPr="00CB6EBD" w:rsidRDefault="00E47411">
      <w:pPr>
        <w:pStyle w:val="Heading2"/>
        <w:spacing w:before="200" w:after="160"/>
        <w:rPr>
          <w:rFonts w:ascii="Helvetica" w:hAnsi="Helvetica"/>
          <w:sz w:val="28"/>
          <w:szCs w:val="28"/>
        </w:rPr>
      </w:pPr>
      <w:bookmarkStart w:id="41" w:name="_bvud2qcjy3py" w:colFirst="0" w:colLast="0"/>
      <w:bookmarkEnd w:id="41"/>
      <w:r w:rsidRPr="00CB6EBD">
        <w:rPr>
          <w:rFonts w:ascii="Helvetica" w:hAnsi="Helvetica"/>
          <w:sz w:val="28"/>
          <w:szCs w:val="28"/>
        </w:rPr>
        <w:t>S6.1 Generation of Hi-C libraries</w:t>
      </w:r>
    </w:p>
    <w:p w14:paraId="4F29EDF5" w14:textId="5920FF70"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Hi-C libraries were generated as previously described (Won et al., 2016). Briefly, adult dorsolateral prefrontal cortices (DLPFC) from three individuals (sample information provided below) were acquired through a Reference Brain Project as a component of the psychENCODE project. Frozen pulverized tissue (100mg) was homogenized in 2mL of ice-cold lysis buffer (10mM Tris-HCl pH8.0, 10mM NaCl, 0.2% NP40, protease inhibitor). Ten million nuclei were </w:t>
      </w:r>
      <w:r w:rsidR="0080538F">
        <w:rPr>
          <w:rFonts w:ascii="Times New Roman" w:eastAsia="Times New Roman" w:hAnsi="Times New Roman" w:cs="Times New Roman"/>
        </w:rPr>
        <w:t>collected,</w:t>
      </w:r>
      <w:r>
        <w:rPr>
          <w:rFonts w:ascii="Times New Roman" w:eastAsia="Times New Roman" w:hAnsi="Times New Roman" w:cs="Times New Roman"/>
        </w:rPr>
        <w:t xml:space="preserve"> and chromatin was crosslinked in 1% formaldehyde (diluted in 1X PBS) for 10 min. Crosslinked chromatin was first digested by HindIII (NEB, R0104), and digested sites were labelled by biotin-14-dCTP (ThermoFisher, 19518-018). Proximity-based ligation was performed within nuclei to prevent random collision-based ligation (Rao et al., 2014). Biotin-marked DNA was then purified and sequenced by Illumina 50 bp paired-end sequencing.</w:t>
      </w:r>
    </w:p>
    <w:p w14:paraId="169ABD07" w14:textId="77777777" w:rsidR="0077186D" w:rsidRDefault="0077186D">
      <w:pPr>
        <w:spacing w:before="0" w:line="240" w:lineRule="auto"/>
        <w:rPr>
          <w:rFonts w:ascii="Times New Roman" w:eastAsia="Times New Roman" w:hAnsi="Times New Roman" w:cs="Times New Roman"/>
        </w:rPr>
      </w:pPr>
    </w:p>
    <w:p w14:paraId="49527408" w14:textId="77777777" w:rsidR="0077186D" w:rsidRPr="00CB6EBD" w:rsidRDefault="00E47411">
      <w:pPr>
        <w:pStyle w:val="Heading2"/>
        <w:spacing w:before="200" w:after="160"/>
        <w:rPr>
          <w:rFonts w:ascii="Helvetica" w:hAnsi="Helvetica"/>
          <w:sz w:val="28"/>
          <w:szCs w:val="28"/>
        </w:rPr>
      </w:pPr>
      <w:bookmarkStart w:id="42" w:name="_7slzcjxzdw0" w:colFirst="0" w:colLast="0"/>
      <w:bookmarkEnd w:id="42"/>
      <w:r w:rsidRPr="00CB6EBD">
        <w:rPr>
          <w:rFonts w:ascii="Helvetica" w:hAnsi="Helvetica"/>
          <w:sz w:val="28"/>
          <w:szCs w:val="28"/>
        </w:rPr>
        <w:t>S6.2 Hi-C data processing</w:t>
      </w:r>
    </w:p>
    <w:p w14:paraId="7B3A4379"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Hi-C reads were mapped and filtered as previously described (Won et al., 2016) using hiclib (</w:t>
      </w:r>
      <w:hyperlink r:id="rId33">
        <w:r>
          <w:rPr>
            <w:rFonts w:ascii="Times New Roman" w:eastAsia="Times New Roman" w:hAnsi="Times New Roman" w:cs="Times New Roman"/>
            <w:color w:val="1155CC"/>
            <w:u w:val="single"/>
          </w:rPr>
          <w:t>https://bitbucket.org/mirnylab/hiclib)</w:t>
        </w:r>
      </w:hyperlink>
      <w:r>
        <w:rPr>
          <w:rFonts w:ascii="Times New Roman" w:eastAsia="Times New Roman" w:hAnsi="Times New Roman" w:cs="Times New Roman"/>
        </w:rPr>
        <w:t xml:space="preserve">. Only cis reads (which refer to intra-chromosomal interactions) were used to construct contact matrices at 40kb and 10kb resolution for compartment and loop analyses, respectively. To obtain maximum resolution for loop detection (10kb), we pooled datasets from three individuals (see below for read depths for pooled samples). To compare interaction profiles in adult and fetal brain, we combined previously generated Hi-C datasets from two fetal cortical laminae to obtain comparable read depths (Won et al., 2016; see below for read depths for pooled samples). </w:t>
      </w:r>
    </w:p>
    <w:p w14:paraId="053B80BB"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Compartments were analyzed by calculating the leading principal component (PC1) values from Pearson’s correlation matrix generated from contact matrices in 40kb resolution. Regions with PC1s positively and negatively correlated with the gene density were defined as compartment A and B, respectively. TADs were called based on contact matrices in 40kb resolution using Hi-C domain callers (</w:t>
      </w:r>
      <w:hyperlink r:id="rId34">
        <w:r>
          <w:rPr>
            <w:rFonts w:ascii="Times New Roman" w:eastAsia="Times New Roman" w:hAnsi="Times New Roman" w:cs="Times New Roman"/>
            <w:color w:val="1155CC"/>
            <w:u w:val="single"/>
          </w:rPr>
          <w:t>http://chromosome.sdsc.edu/mouse/hi-c/download.html</w:t>
        </w:r>
      </w:hyperlink>
      <w:r>
        <w:rPr>
          <w:rFonts w:ascii="Times New Roman" w:eastAsia="Times New Roman" w:hAnsi="Times New Roman" w:cs="Times New Roman"/>
        </w:rPr>
        <w:t xml:space="preserve">). Briefly, the directionality index was calculated by measuring the degree of interaction bias of a given 40kb bin to its upstream (2Mb) and downstream (2Mb) regions, which was subsequently processed by a hidden Markov model. </w:t>
      </w:r>
    </w:p>
    <w:p w14:paraId="56C63E81" w14:textId="77777777" w:rsidR="0077186D" w:rsidRDefault="0077186D">
      <w:pPr>
        <w:spacing w:before="0" w:line="240" w:lineRule="auto"/>
        <w:ind w:firstLine="720"/>
        <w:rPr>
          <w:rFonts w:ascii="Times New Roman" w:eastAsia="Times New Roman" w:hAnsi="Times New Roman" w:cs="Times New Roman"/>
        </w:rPr>
      </w:pPr>
    </w:p>
    <w:p w14:paraId="0E58BA07"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jc w:val="both"/>
        <w:rPr>
          <w:rFonts w:ascii="Helvetica" w:eastAsia="Helvetica Neue" w:hAnsi="Helvetica" w:cs="Helvetica Neue"/>
          <w:b/>
          <w:sz w:val="18"/>
          <w:szCs w:val="18"/>
        </w:rPr>
      </w:pPr>
      <w:r w:rsidRPr="00605DD0">
        <w:rPr>
          <w:rFonts w:ascii="Helvetica" w:eastAsia="Helvetica Neue" w:hAnsi="Helvetica" w:cs="Helvetica Neue"/>
          <w:b/>
          <w:sz w:val="18"/>
          <w:szCs w:val="18"/>
        </w:rPr>
        <w:t>Table S6.1 Summary of Hi-C datasets</w:t>
      </w:r>
    </w:p>
    <w:tbl>
      <w:tblPr>
        <w:tblStyle w:val="a5"/>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35"/>
        <w:gridCol w:w="2400"/>
        <w:gridCol w:w="1875"/>
        <w:gridCol w:w="1950"/>
      </w:tblGrid>
      <w:tr w:rsidR="0077186D" w14:paraId="64E41501" w14:textId="77777777">
        <w:trPr>
          <w:trHeight w:val="80"/>
        </w:trPr>
        <w:tc>
          <w:tcPr>
            <w:tcW w:w="3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E545E0" w14:textId="77777777" w:rsidR="0077186D" w:rsidRDefault="00E47411">
            <w:pPr>
              <w:spacing w:before="0" w:line="360" w:lineRule="auto"/>
              <w:jc w:val="both"/>
              <w:rPr>
                <w:rFonts w:ascii="Arial" w:eastAsia="Arial" w:hAnsi="Arial" w:cs="Arial"/>
                <w:b/>
                <w:sz w:val="18"/>
                <w:szCs w:val="18"/>
              </w:rPr>
            </w:pPr>
            <w:r>
              <w:rPr>
                <w:rFonts w:ascii="Arial" w:eastAsia="Arial" w:hAnsi="Arial" w:cs="Arial"/>
                <w:b/>
                <w:sz w:val="18"/>
                <w:szCs w:val="18"/>
              </w:rPr>
              <w:t>Samples</w:t>
            </w:r>
          </w:p>
        </w:tc>
        <w:tc>
          <w:tcPr>
            <w:tcW w:w="24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2B6B071" w14:textId="77777777" w:rsidR="0077186D" w:rsidRDefault="00E47411">
            <w:pPr>
              <w:spacing w:before="0" w:line="360" w:lineRule="auto"/>
              <w:jc w:val="both"/>
              <w:rPr>
                <w:rFonts w:ascii="Arial" w:eastAsia="Arial" w:hAnsi="Arial" w:cs="Arial"/>
                <w:b/>
                <w:sz w:val="18"/>
                <w:szCs w:val="18"/>
              </w:rPr>
            </w:pPr>
            <w:r>
              <w:rPr>
                <w:rFonts w:ascii="Arial" w:eastAsia="Arial" w:hAnsi="Arial" w:cs="Arial"/>
                <w:b/>
                <w:sz w:val="18"/>
                <w:szCs w:val="18"/>
              </w:rPr>
              <w:t>Sample information</w:t>
            </w:r>
          </w:p>
        </w:tc>
        <w:tc>
          <w:tcPr>
            <w:tcW w:w="187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59BA183" w14:textId="77777777" w:rsidR="0077186D" w:rsidRDefault="00E47411">
            <w:pPr>
              <w:spacing w:before="0" w:line="360" w:lineRule="auto"/>
              <w:jc w:val="both"/>
              <w:rPr>
                <w:rFonts w:ascii="Arial" w:eastAsia="Arial" w:hAnsi="Arial" w:cs="Arial"/>
                <w:b/>
                <w:sz w:val="18"/>
                <w:szCs w:val="18"/>
              </w:rPr>
            </w:pPr>
            <w:r>
              <w:rPr>
                <w:rFonts w:ascii="Arial" w:eastAsia="Arial" w:hAnsi="Arial" w:cs="Arial"/>
                <w:b/>
                <w:sz w:val="18"/>
                <w:szCs w:val="18"/>
              </w:rPr>
              <w:t>cis filtered reads</w:t>
            </w:r>
          </w:p>
        </w:tc>
        <w:tc>
          <w:tcPr>
            <w:tcW w:w="19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E8FFCDA" w14:textId="77777777" w:rsidR="0077186D" w:rsidRDefault="00E47411">
            <w:pPr>
              <w:spacing w:before="0" w:line="360" w:lineRule="auto"/>
              <w:jc w:val="both"/>
              <w:rPr>
                <w:rFonts w:ascii="Arial" w:eastAsia="Arial" w:hAnsi="Arial" w:cs="Arial"/>
                <w:b/>
                <w:sz w:val="18"/>
                <w:szCs w:val="18"/>
              </w:rPr>
            </w:pPr>
            <w:r>
              <w:rPr>
                <w:rFonts w:ascii="Arial" w:eastAsia="Arial" w:hAnsi="Arial" w:cs="Arial"/>
                <w:b/>
                <w:sz w:val="18"/>
                <w:szCs w:val="18"/>
              </w:rPr>
              <w:t>total filtered reads</w:t>
            </w:r>
          </w:p>
        </w:tc>
      </w:tr>
      <w:tr w:rsidR="0077186D" w14:paraId="54E8CA4F" w14:textId="77777777">
        <w:trPr>
          <w:trHeight w:val="340"/>
        </w:trPr>
        <w:tc>
          <w:tcPr>
            <w:tcW w:w="313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06B117"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HBS189</w:t>
            </w:r>
          </w:p>
        </w:tc>
        <w:tc>
          <w:tcPr>
            <w:tcW w:w="2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4C47E26"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Male 36yr</w:t>
            </w:r>
          </w:p>
          <w:p w14:paraId="21283386"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(Ancestry unknown)</w:t>
            </w:r>
          </w:p>
        </w:tc>
        <w:tc>
          <w:tcPr>
            <w:tcW w:w="18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4D6C9B"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197,394,146</w:t>
            </w:r>
          </w:p>
        </w:tc>
        <w:tc>
          <w:tcPr>
            <w:tcW w:w="19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4C3061"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251,515,059</w:t>
            </w:r>
          </w:p>
        </w:tc>
      </w:tr>
      <w:tr w:rsidR="0077186D" w14:paraId="630D5C66" w14:textId="77777777">
        <w:trPr>
          <w:trHeight w:val="360"/>
        </w:trPr>
        <w:tc>
          <w:tcPr>
            <w:tcW w:w="313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A62713"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HBS106</w:t>
            </w:r>
          </w:p>
        </w:tc>
        <w:tc>
          <w:tcPr>
            <w:tcW w:w="2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35A65E"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Male 64yr</w:t>
            </w:r>
          </w:p>
          <w:p w14:paraId="4B3C5345"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(Ancestry unknown)</w:t>
            </w:r>
          </w:p>
        </w:tc>
        <w:tc>
          <w:tcPr>
            <w:tcW w:w="18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4534B51"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170,057,582</w:t>
            </w:r>
          </w:p>
        </w:tc>
        <w:tc>
          <w:tcPr>
            <w:tcW w:w="19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7D46AD"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209,571,512</w:t>
            </w:r>
          </w:p>
        </w:tc>
      </w:tr>
      <w:tr w:rsidR="0077186D" w14:paraId="0351FF4D" w14:textId="77777777">
        <w:trPr>
          <w:trHeight w:val="160"/>
        </w:trPr>
        <w:tc>
          <w:tcPr>
            <w:tcW w:w="313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9E9112"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HBS181</w:t>
            </w:r>
          </w:p>
        </w:tc>
        <w:tc>
          <w:tcPr>
            <w:tcW w:w="2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30151C"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Male 44yr</w:t>
            </w:r>
          </w:p>
          <w:p w14:paraId="17A6CE82"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(Caucasian)</w:t>
            </w:r>
          </w:p>
        </w:tc>
        <w:tc>
          <w:tcPr>
            <w:tcW w:w="18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4D03F3"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243,396,052</w:t>
            </w:r>
          </w:p>
        </w:tc>
        <w:tc>
          <w:tcPr>
            <w:tcW w:w="19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9D805C"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299,801,452</w:t>
            </w:r>
          </w:p>
        </w:tc>
      </w:tr>
      <w:tr w:rsidR="0077186D" w14:paraId="3B8C373F" w14:textId="77777777">
        <w:trPr>
          <w:trHeight w:val="340"/>
        </w:trPr>
        <w:tc>
          <w:tcPr>
            <w:tcW w:w="313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BBD116"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Pooled samples Adult brain</w:t>
            </w:r>
          </w:p>
        </w:tc>
        <w:tc>
          <w:tcPr>
            <w:tcW w:w="2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5127F6" w14:textId="77777777" w:rsidR="0077186D" w:rsidRDefault="0077186D">
            <w:pPr>
              <w:spacing w:before="0" w:line="240" w:lineRule="auto"/>
              <w:rPr>
                <w:rFonts w:ascii="Arial" w:eastAsia="Arial" w:hAnsi="Arial" w:cs="Arial"/>
                <w:sz w:val="18"/>
                <w:szCs w:val="18"/>
              </w:rPr>
            </w:pPr>
          </w:p>
        </w:tc>
        <w:tc>
          <w:tcPr>
            <w:tcW w:w="18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76F996"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610,847,780</w:t>
            </w:r>
          </w:p>
        </w:tc>
        <w:tc>
          <w:tcPr>
            <w:tcW w:w="19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A51B4A7"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760,888,023</w:t>
            </w:r>
          </w:p>
        </w:tc>
      </w:tr>
      <w:tr w:rsidR="0077186D" w14:paraId="042E96EC" w14:textId="77777777">
        <w:trPr>
          <w:trHeight w:val="260"/>
        </w:trPr>
        <w:tc>
          <w:tcPr>
            <w:tcW w:w="313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3037CB"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Pooled samples Fetal brain</w:t>
            </w:r>
          </w:p>
        </w:tc>
        <w:tc>
          <w:tcPr>
            <w:tcW w:w="2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DD91A4D" w14:textId="77777777" w:rsidR="0077186D" w:rsidRDefault="00E47411">
            <w:pPr>
              <w:spacing w:before="0" w:line="240" w:lineRule="auto"/>
              <w:rPr>
                <w:rFonts w:ascii="Arial" w:eastAsia="Arial" w:hAnsi="Arial" w:cs="Arial"/>
                <w:sz w:val="18"/>
                <w:szCs w:val="18"/>
              </w:rPr>
            </w:pPr>
            <w:r>
              <w:rPr>
                <w:rFonts w:ascii="Arial" w:eastAsia="Arial" w:hAnsi="Arial" w:cs="Arial"/>
                <w:sz w:val="18"/>
                <w:szCs w:val="18"/>
              </w:rPr>
              <w:t>Won et al., 2016</w:t>
            </w:r>
          </w:p>
        </w:tc>
        <w:tc>
          <w:tcPr>
            <w:tcW w:w="18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CD2AE40"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855,987,816</w:t>
            </w:r>
          </w:p>
        </w:tc>
        <w:tc>
          <w:tcPr>
            <w:tcW w:w="19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973A285" w14:textId="77777777" w:rsidR="0077186D" w:rsidRDefault="00E47411">
            <w:pPr>
              <w:spacing w:before="0" w:line="240" w:lineRule="auto"/>
              <w:jc w:val="both"/>
              <w:rPr>
                <w:rFonts w:ascii="Arial" w:eastAsia="Arial" w:hAnsi="Arial" w:cs="Arial"/>
                <w:sz w:val="18"/>
                <w:szCs w:val="18"/>
              </w:rPr>
            </w:pPr>
            <w:r>
              <w:rPr>
                <w:rFonts w:ascii="Arial" w:eastAsia="Arial" w:hAnsi="Arial" w:cs="Arial"/>
                <w:sz w:val="18"/>
                <w:szCs w:val="18"/>
              </w:rPr>
              <w:t>1,834,759,860</w:t>
            </w:r>
          </w:p>
        </w:tc>
      </w:tr>
    </w:tbl>
    <w:p w14:paraId="68F682BE" w14:textId="77777777" w:rsidR="00FC4E97" w:rsidRDefault="00FC4E97">
      <w:pPr>
        <w:pStyle w:val="Heading2"/>
        <w:spacing w:before="200" w:after="160"/>
        <w:rPr>
          <w:sz w:val="26"/>
          <w:szCs w:val="26"/>
        </w:rPr>
      </w:pPr>
      <w:bookmarkStart w:id="43" w:name="_rkf5lx8mfmoj" w:colFirst="0" w:colLast="0"/>
      <w:bookmarkEnd w:id="43"/>
    </w:p>
    <w:p w14:paraId="0A607D9B" w14:textId="77777777" w:rsidR="0077186D" w:rsidRPr="00D51A3C" w:rsidRDefault="00E47411">
      <w:pPr>
        <w:pStyle w:val="Heading2"/>
        <w:spacing w:before="200" w:after="160"/>
        <w:rPr>
          <w:rFonts w:ascii="Helvetica" w:hAnsi="Helvetica"/>
          <w:sz w:val="28"/>
          <w:szCs w:val="28"/>
        </w:rPr>
      </w:pPr>
      <w:r w:rsidRPr="00D51A3C">
        <w:rPr>
          <w:rFonts w:ascii="Helvetica" w:hAnsi="Helvetica"/>
          <w:sz w:val="28"/>
          <w:szCs w:val="28"/>
        </w:rPr>
        <w:lastRenderedPageBreak/>
        <w:t xml:space="preserve">S6.3 Detection of promoter-based interactions </w:t>
      </w:r>
    </w:p>
    <w:p w14:paraId="32BF5AAF"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Promoter-based interactions were identified as previously described (Won et al., 2016). Briefly, we constructed background interaction profiles from randomly selected length- and GC content-matched regions to promoters (defined as 2kb upstream of transcription start sites based on Gencode v19). Using these background interaction profiles, we fit interaction frequencies into Weibull distribution at each distance for each chromosome using the </w:t>
      </w:r>
      <w:r>
        <w:rPr>
          <w:rFonts w:ascii="Times New Roman" w:eastAsia="Times New Roman" w:hAnsi="Times New Roman" w:cs="Times New Roman"/>
          <w:i/>
        </w:rPr>
        <w:t>fitdistrplus</w:t>
      </w:r>
      <w:r>
        <w:rPr>
          <w:rFonts w:ascii="Times New Roman" w:eastAsia="Times New Roman" w:hAnsi="Times New Roman" w:cs="Times New Roman"/>
        </w:rPr>
        <w:t xml:space="preserve"> package in R. Significance of interaction from each promoter was calculated as the probability of observing higher interaction frequencies under the fitted Weibull distribution, and interactions with FDR&lt;0.01 (which corresponds to P-values~1x10</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were selected as significant promoter-based interactions. In total, we detected 149,098 promoter-based interactions. We overlapped promoter-based interactions with genomic coordinates of TADs, and found that the majority (~75%) of promoter-based interactions were located within the same TADs. </w:t>
      </w:r>
    </w:p>
    <w:p w14:paraId="7206A7F7"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We used a binomial test as previously described (McLean et al., 2010) to evaluate the epigenetic state enrichment of regions that interact with promoters, using a 15 state chromatin state model in adult prefrontal cortices (PFC) from Roadmap Epigenomics (Kundaje et al, 2015). To assess whether promoter-interacting regions are enriched in enhancer states, we calculated the significance of the overlaps by binomial probability of P=Pbinom(k&gt;=s, n=n, p=p), when p = fraction of genome in enhancer states, n = the number of promoter-interacting regions, s = the number of promoter-interacting regions that overlap with enhancer states.</w:t>
      </w:r>
    </w:p>
    <w:p w14:paraId="04669802"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To assess whether epigenetic states affect their target gene expression levels, we used transcriptomic profiles of PFC from neurotypical individuals (see section S2.1). Quantile normalized expression values were log transformed and centered to the mean expression level for each sample using a </w:t>
      </w:r>
      <w:r>
        <w:rPr>
          <w:rFonts w:ascii="Times New Roman" w:eastAsia="Times New Roman" w:hAnsi="Times New Roman" w:cs="Times New Roman"/>
          <w:i/>
        </w:rPr>
        <w:t>scale(center=T, scale=F)+1</w:t>
      </w:r>
      <w:r>
        <w:rPr>
          <w:rFonts w:ascii="Times New Roman" w:eastAsia="Times New Roman" w:hAnsi="Times New Roman" w:cs="Times New Roman"/>
        </w:rPr>
        <w:t xml:space="preserve"> function in R. The centered expression values denote each gene’s relative expression level in a given individual, and were used throughout the integrative analysis. We selected genes that interact with enhancers (EnhG=Genic enhancers, Enh=Enhancers), promoters (TssA=Active transcription start sites, TssAFlnk=Active transcription start site flanking regions), bivalent enhancers (EnhBiv), and repressive states (Het=Heterochromatin, ReprPC=Polycomb repressive sites) and average centered expression values for each group were calculated and plotted.</w:t>
      </w:r>
    </w:p>
    <w:p w14:paraId="54029BD9" w14:textId="77777777" w:rsidR="00FC4E97" w:rsidRDefault="00FC4E97">
      <w:pPr>
        <w:spacing w:before="0" w:line="240" w:lineRule="auto"/>
        <w:ind w:firstLine="720"/>
        <w:rPr>
          <w:rFonts w:ascii="Times New Roman" w:eastAsia="Times New Roman" w:hAnsi="Times New Roman" w:cs="Times New Roman"/>
        </w:rPr>
      </w:pPr>
    </w:p>
    <w:p w14:paraId="020C4C7A" w14:textId="77777777" w:rsidR="00FC4E97" w:rsidRDefault="00FC4E97">
      <w:pPr>
        <w:spacing w:before="0" w:line="240" w:lineRule="auto"/>
        <w:ind w:firstLine="720"/>
        <w:rPr>
          <w:rFonts w:ascii="Times New Roman" w:eastAsia="Times New Roman" w:hAnsi="Times New Roman" w:cs="Times New Roman"/>
        </w:rPr>
      </w:pPr>
    </w:p>
    <w:p w14:paraId="78C3A6DA" w14:textId="300D8828" w:rsidR="0077186D" w:rsidRPr="00FC4E97" w:rsidRDefault="00FC4E97" w:rsidP="00FC4E97">
      <w:pPr>
        <w:spacing w:before="0" w:line="240" w:lineRule="auto"/>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4FCC1D87" wp14:editId="1BC96B43">
            <wp:extent cx="5943600" cy="21158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6.2.pdf"/>
                    <pic:cNvPicPr/>
                  </pic:nvPicPr>
                  <pic:blipFill>
                    <a:blip r:embed="rId35">
                      <a:extLst>
                        <a:ext uri="{28A0092B-C50C-407E-A947-70E740481C1C}">
                          <a14:useLocalDpi xmlns:a14="http://schemas.microsoft.com/office/drawing/2010/main" val="0"/>
                        </a:ext>
                      </a:extLst>
                    </a:blip>
                    <a:stretch>
                      <a:fillRect/>
                    </a:stretch>
                  </pic:blipFill>
                  <pic:spPr>
                    <a:xfrm>
                      <a:off x="0" y="0"/>
                      <a:ext cx="5943600" cy="2115820"/>
                    </a:xfrm>
                    <a:prstGeom prst="rect">
                      <a:avLst/>
                    </a:prstGeom>
                  </pic:spPr>
                </pic:pic>
              </a:graphicData>
            </a:graphic>
          </wp:inline>
        </w:drawing>
      </w:r>
    </w:p>
    <w:p w14:paraId="04E4EA1E"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color w:val="434343"/>
          <w:sz w:val="18"/>
          <w:szCs w:val="18"/>
        </w:rPr>
      </w:pPr>
      <w:r w:rsidRPr="00605DD0">
        <w:rPr>
          <w:rFonts w:ascii="Helvetica" w:eastAsia="Helvetica Neue" w:hAnsi="Helvetica" w:cs="Helvetica Neue"/>
          <w:b/>
          <w:color w:val="434343"/>
          <w:sz w:val="18"/>
          <w:szCs w:val="18"/>
        </w:rPr>
        <w:t>Fig. S6.1 Regulatory relationships in the adult cortex</w:t>
      </w:r>
      <w:r w:rsidRPr="00605DD0">
        <w:rPr>
          <w:rFonts w:ascii="Helvetica" w:eastAsia="Helvetica Neue" w:hAnsi="Helvetica" w:cs="Helvetica Neue"/>
          <w:b/>
          <w:color w:val="000000"/>
          <w:sz w:val="18"/>
          <w:szCs w:val="18"/>
        </w:rPr>
        <w:t xml:space="preserve">. </w:t>
      </w:r>
      <w:r w:rsidRPr="00605DD0">
        <w:rPr>
          <w:rFonts w:ascii="Helvetica" w:eastAsia="Helvetica Neue" w:hAnsi="Helvetica" w:cs="Helvetica Neue"/>
          <w:b/>
          <w:color w:val="434343"/>
          <w:sz w:val="18"/>
          <w:szCs w:val="18"/>
        </w:rPr>
        <w:t xml:space="preserve">A. </w:t>
      </w:r>
      <w:r w:rsidRPr="00605DD0">
        <w:rPr>
          <w:rFonts w:ascii="Helvetica" w:eastAsia="Helvetica Neue" w:hAnsi="Helvetica" w:cs="Helvetica Neue"/>
          <w:color w:val="434343"/>
          <w:sz w:val="18"/>
          <w:szCs w:val="18"/>
        </w:rPr>
        <w:t>The majority of promoter-based interactions reside within the same topologically associating domains (TADs).</w:t>
      </w:r>
      <w:r w:rsidRPr="00605DD0">
        <w:rPr>
          <w:rFonts w:ascii="Helvetica" w:eastAsia="Helvetica Neue" w:hAnsi="Helvetica" w:cs="Helvetica Neue"/>
          <w:b/>
          <w:color w:val="434343"/>
          <w:sz w:val="18"/>
          <w:szCs w:val="18"/>
        </w:rPr>
        <w:t xml:space="preserve"> B. </w:t>
      </w:r>
      <w:r w:rsidRPr="00605DD0">
        <w:rPr>
          <w:rFonts w:ascii="Helvetica" w:eastAsia="Helvetica Neue" w:hAnsi="Helvetica" w:cs="Helvetica Neue"/>
          <w:color w:val="434343"/>
          <w:sz w:val="18"/>
          <w:szCs w:val="18"/>
        </w:rPr>
        <w:t xml:space="preserve">Regions that interact with transcription start sites (TSS) are enriched with other TSS and enhancers. </w:t>
      </w:r>
      <w:r w:rsidRPr="00605DD0">
        <w:rPr>
          <w:rFonts w:ascii="Helvetica" w:eastAsia="Helvetica Neue" w:hAnsi="Helvetica" w:cs="Helvetica Neue"/>
          <w:b/>
          <w:color w:val="434343"/>
          <w:sz w:val="18"/>
          <w:szCs w:val="18"/>
        </w:rPr>
        <w:t xml:space="preserve">D. </w:t>
      </w:r>
      <w:r w:rsidRPr="00605DD0">
        <w:rPr>
          <w:rFonts w:ascii="Helvetica" w:eastAsia="Helvetica Neue" w:hAnsi="Helvetica" w:cs="Helvetica Neue"/>
          <w:color w:val="434343"/>
          <w:sz w:val="18"/>
          <w:szCs w:val="18"/>
        </w:rPr>
        <w:t xml:space="preserve">Distribution of the number of putative enhancers assigned to each promoter. </w:t>
      </w:r>
      <w:r w:rsidRPr="00605DD0">
        <w:rPr>
          <w:rFonts w:ascii="Helvetica" w:eastAsia="Helvetica Neue" w:hAnsi="Helvetica" w:cs="Helvetica Neue"/>
          <w:b/>
          <w:color w:val="434343"/>
          <w:sz w:val="18"/>
          <w:szCs w:val="18"/>
        </w:rPr>
        <w:t xml:space="preserve">E. </w:t>
      </w:r>
      <w:r w:rsidRPr="00605DD0">
        <w:rPr>
          <w:rFonts w:ascii="Helvetica" w:eastAsia="Helvetica Neue" w:hAnsi="Helvetica" w:cs="Helvetica Neue"/>
          <w:color w:val="434343"/>
          <w:sz w:val="18"/>
          <w:szCs w:val="18"/>
        </w:rPr>
        <w:t>Genes that interact with enhancers or promoters are more highly expressed than genes that interact with bivalent enhancers or repressive marks.</w:t>
      </w:r>
    </w:p>
    <w:p w14:paraId="5CF62A2F" w14:textId="77777777" w:rsidR="0077186D" w:rsidRDefault="0077186D">
      <w:pPr>
        <w:spacing w:before="80" w:after="120" w:line="240" w:lineRule="auto"/>
        <w:rPr>
          <w:color w:val="434343"/>
          <w:sz w:val="20"/>
          <w:szCs w:val="20"/>
        </w:rPr>
      </w:pPr>
    </w:p>
    <w:p w14:paraId="6ABD2A22" w14:textId="77777777" w:rsidR="0077186D" w:rsidRDefault="0077186D">
      <w:pPr>
        <w:spacing w:before="80" w:after="120" w:line="240" w:lineRule="auto"/>
        <w:rPr>
          <w:color w:val="434343"/>
          <w:sz w:val="20"/>
          <w:szCs w:val="20"/>
        </w:rPr>
      </w:pPr>
    </w:p>
    <w:p w14:paraId="3EBA0987" w14:textId="77777777" w:rsidR="00FC4E97" w:rsidRDefault="00FC4E97">
      <w:pPr>
        <w:spacing w:before="80" w:after="120" w:line="240" w:lineRule="auto"/>
        <w:rPr>
          <w:color w:val="434343"/>
          <w:sz w:val="20"/>
          <w:szCs w:val="20"/>
        </w:rPr>
      </w:pPr>
    </w:p>
    <w:p w14:paraId="76064B1E" w14:textId="77777777" w:rsidR="0077186D" w:rsidRPr="00D51A3C" w:rsidRDefault="00E47411">
      <w:pPr>
        <w:pStyle w:val="Heading2"/>
        <w:spacing w:before="200" w:after="160"/>
        <w:rPr>
          <w:rFonts w:ascii="Helvetica" w:hAnsi="Helvetica"/>
          <w:sz w:val="28"/>
          <w:szCs w:val="28"/>
        </w:rPr>
      </w:pPr>
      <w:bookmarkStart w:id="44" w:name="_ythec9z8jpt" w:colFirst="0" w:colLast="0"/>
      <w:bookmarkEnd w:id="44"/>
      <w:r w:rsidRPr="00D51A3C">
        <w:rPr>
          <w:rFonts w:ascii="Helvetica" w:hAnsi="Helvetica"/>
          <w:sz w:val="28"/>
          <w:szCs w:val="28"/>
        </w:rPr>
        <w:lastRenderedPageBreak/>
        <w:t>S6.4 Integrative analysis</w:t>
      </w:r>
    </w:p>
    <w:p w14:paraId="6A7CA5E6" w14:textId="77777777" w:rsidR="0077186D" w:rsidRDefault="00E47411">
      <w:pPr>
        <w:spacing w:before="0" w:line="240" w:lineRule="auto"/>
        <w:rPr>
          <w:rFonts w:ascii="Times New Roman" w:eastAsia="Times New Roman" w:hAnsi="Times New Roman" w:cs="Times New Roman"/>
        </w:rPr>
      </w:pPr>
      <w:r>
        <w:rPr>
          <w:b/>
        </w:rPr>
        <w:t>Compartment changes across brain development</w:t>
      </w:r>
      <w:r>
        <w:rPr>
          <w:rFonts w:ascii="Times New Roman" w:eastAsia="Times New Roman" w:hAnsi="Times New Roman" w:cs="Times New Roman"/>
          <w:b/>
        </w:rPr>
        <w:t xml:space="preserve">. </w:t>
      </w:r>
      <w:r>
        <w:rPr>
          <w:rFonts w:ascii="Times New Roman" w:eastAsia="Times New Roman" w:hAnsi="Times New Roman" w:cs="Times New Roman"/>
        </w:rPr>
        <w:t xml:space="preserve">Genomic regions were classified into (1) regions that undergo compartment A to B switching from fetal to adult brain, (2) regions that undergo compartment A to B switching from adult to fetal brain, (3) regions that do not switch their compartments across brain development (stable). </w:t>
      </w:r>
    </w:p>
    <w:p w14:paraId="4AF546E4"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Genes were then grouped according to the compartment categories they locate in, and centered expression values for each group were calculated. As our RNA-seq data mainly focus on adult brain transcriptome, we processed expression values from Kang et al. to generate centered expression values (Kang et al., 2011). Prenatal and postnatal centered expression values were plotted for each group of genes. We also overlapped chromatin states in adult PFC and fetal brain defined by chromHMM with compartment categories. We then counted the total number of each chromatin state in a given compartment category, which was subsequently normalized by the size and the number of total chromatin states in that compartment category. We compared these normalized counts for each chromatin state between fetal and adult brains using the Fisher’s exact test. </w:t>
      </w:r>
    </w:p>
    <w:p w14:paraId="3EAD669B" w14:textId="4CE6F2AF" w:rsidR="0077186D" w:rsidRPr="00FC4E97" w:rsidRDefault="00FC4E97" w:rsidP="00FC4E97">
      <w:pPr>
        <w:spacing w:before="0" w:line="240" w:lineRule="auto"/>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4EAEC906" wp14:editId="4A66E69B">
            <wp:extent cx="5943600" cy="44557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6.1.pdf"/>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p>
    <w:p w14:paraId="1D46109E" w14:textId="77777777" w:rsidR="0077186D" w:rsidRPr="00605DD0" w:rsidRDefault="00E47411">
      <w:pPr>
        <w:pBdr>
          <w:top w:val="single" w:sz="4" w:space="2" w:color="414141"/>
          <w:left w:val="single" w:sz="4" w:space="2" w:color="414141"/>
          <w:bottom w:val="single" w:sz="4" w:space="2" w:color="414141"/>
          <w:right w:val="single" w:sz="4" w:space="2" w:color="414141"/>
        </w:pBdr>
        <w:spacing w:before="80" w:after="120" w:line="240" w:lineRule="auto"/>
        <w:rPr>
          <w:rFonts w:ascii="Helvetica" w:eastAsia="Helvetica Neue" w:hAnsi="Helvetica" w:cs="Helvetica Neue"/>
          <w:color w:val="000000"/>
          <w:sz w:val="18"/>
          <w:szCs w:val="18"/>
        </w:rPr>
      </w:pPr>
      <w:r w:rsidRPr="00605DD0">
        <w:rPr>
          <w:rFonts w:ascii="Helvetica" w:eastAsia="Helvetica Neue" w:hAnsi="Helvetica" w:cs="Helvetica Neue"/>
          <w:b/>
          <w:color w:val="000000"/>
          <w:sz w:val="18"/>
          <w:szCs w:val="18"/>
        </w:rPr>
        <w:t xml:space="preserve">Fig. S6.2 Compartment switching across brain development is associated with expression and epigenetic changes. A. </w:t>
      </w:r>
      <w:r w:rsidRPr="00605DD0">
        <w:rPr>
          <w:rFonts w:ascii="Helvetica" w:eastAsia="Helvetica Neue" w:hAnsi="Helvetica" w:cs="Helvetica Neue"/>
          <w:color w:val="000000"/>
          <w:sz w:val="18"/>
          <w:szCs w:val="18"/>
        </w:rPr>
        <w:t xml:space="preserve">Heat map of the first principal component (PC1) values for regions that undergo compartment switching between fetal brain (CP and GZ) and adult brain. </w:t>
      </w:r>
      <w:r w:rsidRPr="00605DD0">
        <w:rPr>
          <w:rFonts w:ascii="Helvetica" w:eastAsia="Helvetica Neue" w:hAnsi="Helvetica" w:cs="Helvetica Neue"/>
          <w:b/>
          <w:color w:val="000000"/>
          <w:sz w:val="18"/>
          <w:szCs w:val="18"/>
        </w:rPr>
        <w:t xml:space="preserve">B. </w:t>
      </w:r>
      <w:r w:rsidRPr="00605DD0">
        <w:rPr>
          <w:rFonts w:ascii="Helvetica" w:eastAsia="Helvetica Neue" w:hAnsi="Helvetica" w:cs="Helvetica Neue"/>
          <w:color w:val="000000"/>
          <w:sz w:val="18"/>
          <w:szCs w:val="18"/>
        </w:rPr>
        <w:t xml:space="preserve">Brain expression levels for genes located in compartments that switch during development. </w:t>
      </w:r>
      <w:r w:rsidRPr="00605DD0">
        <w:rPr>
          <w:rFonts w:ascii="Helvetica" w:eastAsia="Helvetica Neue" w:hAnsi="Helvetica" w:cs="Helvetica Neue"/>
          <w:b/>
          <w:color w:val="000000"/>
          <w:sz w:val="18"/>
          <w:szCs w:val="18"/>
        </w:rPr>
        <w:t xml:space="preserve">C. </w:t>
      </w:r>
      <w:r w:rsidRPr="00605DD0">
        <w:rPr>
          <w:rFonts w:ascii="Helvetica" w:eastAsia="Helvetica Neue" w:hAnsi="Helvetica" w:cs="Helvetica Neue"/>
          <w:color w:val="000000"/>
          <w:sz w:val="18"/>
          <w:szCs w:val="18"/>
        </w:rPr>
        <w:t xml:space="preserve">Fraction of epigenetic states for regions that undergo compartment switching across brain development. For example, B to A shift in adult to fetal brain is accompanied by an increased proportion of active promoters (TssA, TssAFlnk), transcribed regions (Tx, TxWk), and enhancers (EnhG, Enh), and a decreased proportion of repressive elements (ReprPCWk) and heterochromatin (Het) in fetal brain compared with adult brain. *P &lt; 0.05, **P &lt; 0.01, ***P &lt; 0.001. P values from Fisher’s test. </w:t>
      </w:r>
    </w:p>
    <w:p w14:paraId="23F83BBE" w14:textId="77777777" w:rsidR="0077186D" w:rsidRDefault="0077186D">
      <w:pPr>
        <w:spacing w:before="0" w:line="240" w:lineRule="auto"/>
        <w:rPr>
          <w:b/>
        </w:rPr>
      </w:pPr>
    </w:p>
    <w:p w14:paraId="2CDE92ED" w14:textId="77777777" w:rsidR="00FC4E97" w:rsidRDefault="00FC4E97">
      <w:pPr>
        <w:spacing w:before="0" w:line="240" w:lineRule="auto"/>
        <w:rPr>
          <w:b/>
        </w:rPr>
      </w:pPr>
    </w:p>
    <w:p w14:paraId="0518A04C" w14:textId="77777777" w:rsidR="0077186D" w:rsidRDefault="00E47411">
      <w:pPr>
        <w:spacing w:before="0" w:line="240" w:lineRule="auto"/>
        <w:rPr>
          <w:rFonts w:ascii="Times New Roman" w:eastAsia="Times New Roman" w:hAnsi="Times New Roman" w:cs="Times New Roman"/>
        </w:rPr>
      </w:pPr>
      <w:r>
        <w:rPr>
          <w:b/>
        </w:rPr>
        <w:lastRenderedPageBreak/>
        <w:t>Regulatory relationships across brain development</w:t>
      </w:r>
      <w:r>
        <w:rPr>
          <w:rFonts w:ascii="Times New Roman" w:eastAsia="Times New Roman" w:hAnsi="Times New Roman" w:cs="Times New Roman"/>
          <w:b/>
        </w:rPr>
        <w:t xml:space="preserve">. </w:t>
      </w:r>
      <w:r>
        <w:rPr>
          <w:rFonts w:ascii="Times New Roman" w:eastAsia="Times New Roman" w:hAnsi="Times New Roman" w:cs="Times New Roman"/>
        </w:rPr>
        <w:t xml:space="preserve">To compare the shared proportion of enhancer-promoter interactions in fetal vs. adult brain, we first collapsed putative enhancers (identified as promoter-based interactions) to each gene. We generated enhancer-gene links (e.g. chr10:100130000:ENSG00000230928) from fetal and adult brain and directly compared them. According to this analysis, 30.8% of enhancer-gene links detected from adult brain were also detected in fetal brain. </w:t>
      </w:r>
    </w:p>
    <w:p w14:paraId="1CCA46E6"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Using chromatin states defined by chromHMM (Kundaje et al., 2015) in fetal brain and adult PFC, we defined regulatory regions according to their developmental state changes: (1) Both active: elements that are active in both adult and fetal brain, (2) Fetal active: elements that are active in fetal brain and become repressive in adult brain, (3) Adult active: elements that are repressive in fetal brain then become active in adult brain. Active elements were defined as TssA, TssAFlnk, EnhG, Enh, while repressive elements were defined as Het, ReprPC, ReprPCWk (weak Polycomb repressive sites), and Quies (quiescent states). These elements are referred as developmental regulatory elements. Since developmental regulatory elements contain both promoters and enhancers, we then overlapped them with the promoter coordinates used to detect promoter-based interactions (see section S6.3). In total, we identified 6 types of developmental regulatory elements: both active promoters, both active enhancers, fetal active promoters, fetal active enhancers, both active promoters, both active enhancers. </w:t>
      </w:r>
    </w:p>
    <w:p w14:paraId="170E9D61"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We next assigned genes to developmental regulatory elements: elements that overlap with promoter coordinates were directly assigned to their genes based on linear genome, while the ones that do not overlap with promoter coordinates were thought as enhancers and assigned based on promoter-based interactions either from adult or fetal brain. Fetal active enhancers were assigned to their target genes based on fetal brain Hi-C, adult active enhancers were assigned based on adult brain Hi-C data, while both active enhancers were assigned based on both adult and fetal brain Hi-C data. In total, this analysis leads to 7 groups of genes that were linked to each element: both active promoters-linear assignment, fetal active promoters-linear assignment, adult active promoters-linear assignment, both active enhancers-fetal Hi-C, both active enhancers-adult Hi-C, fetal active enhancers-fetal Hi-C, adult active enhancers-adult Hi-C. Average centered expression values were calculated and plotted for each group, and gene ontology (GO) enrichment for each group was assessed using GoElite v77 (</w:t>
      </w:r>
      <w:hyperlink r:id="rId37">
        <w:r>
          <w:rPr>
            <w:rFonts w:ascii="Times New Roman" w:eastAsia="Times New Roman" w:hAnsi="Times New Roman" w:cs="Times New Roman"/>
            <w:color w:val="1155CC"/>
            <w:u w:val="single"/>
          </w:rPr>
          <w:t>http://www.genmapp.org/go_elite/</w:t>
        </w:r>
      </w:hyperlink>
      <w:r>
        <w:rPr>
          <w:rFonts w:ascii="Times New Roman" w:eastAsia="Times New Roman" w:hAnsi="Times New Roman" w:cs="Times New Roman"/>
        </w:rPr>
        <w:t xml:space="preserve">). </w:t>
      </w:r>
    </w:p>
    <w:p w14:paraId="26B85214" w14:textId="77777777" w:rsidR="0077186D" w:rsidRDefault="00E47411">
      <w:pPr>
        <w:spacing w:before="0" w:line="24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We also processed single cell expression values (in log2(TPM+1) forms, see Section S2.2.2) by centering to the mean expression level for each cell using a</w:t>
      </w:r>
      <w:r>
        <w:rPr>
          <w:rFonts w:ascii="Times New Roman" w:eastAsia="Times New Roman" w:hAnsi="Times New Roman" w:cs="Times New Roman"/>
          <w:color w:val="434343"/>
        </w:rPr>
        <w:t xml:space="preserve"> </w:t>
      </w:r>
      <w:r>
        <w:rPr>
          <w:rFonts w:ascii="Times New Roman" w:eastAsia="Times New Roman" w:hAnsi="Times New Roman" w:cs="Times New Roman"/>
          <w:i/>
          <w:color w:val="434343"/>
        </w:rPr>
        <w:t>scale(center=T, scale=F)</w:t>
      </w:r>
      <w:r>
        <w:rPr>
          <w:rFonts w:ascii="Times New Roman" w:eastAsia="Times New Roman" w:hAnsi="Times New Roman" w:cs="Times New Roman"/>
          <w:color w:val="000000"/>
        </w:rPr>
        <w:t xml:space="preserve"> function in R. This results in centered expression values denoting each gene’s relative expression level in a given cell, hereby referred as cell-level centered expression values. We then calculated average cell-level centered expression values for each group of genes mapped to distinct types of developmental regulatory elements. </w:t>
      </w:r>
    </w:p>
    <w:p w14:paraId="083199D1" w14:textId="77777777" w:rsidR="0077186D" w:rsidRDefault="0077186D">
      <w:pPr>
        <w:spacing w:before="0" w:line="240" w:lineRule="auto"/>
        <w:rPr>
          <w:rFonts w:ascii="Times New Roman" w:eastAsia="Times New Roman" w:hAnsi="Times New Roman" w:cs="Times New Roman"/>
          <w:color w:val="000000"/>
        </w:rPr>
      </w:pPr>
    </w:p>
    <w:p w14:paraId="71E6A484" w14:textId="5E99149C" w:rsidR="0077186D" w:rsidRDefault="00E47411">
      <w:pPr>
        <w:spacing w:before="0" w:line="240" w:lineRule="auto"/>
        <w:rPr>
          <w:rFonts w:ascii="Times New Roman" w:eastAsia="Times New Roman" w:hAnsi="Times New Roman" w:cs="Times New Roman"/>
        </w:rPr>
      </w:pPr>
      <w:r>
        <w:rPr>
          <w:b/>
        </w:rPr>
        <w:t>Relationships between the enhancer number and gene expression.</w:t>
      </w:r>
      <w:r>
        <w:rPr>
          <w:rFonts w:ascii="Times New Roman" w:eastAsia="Times New Roman" w:hAnsi="Times New Roman" w:cs="Times New Roman"/>
        </w:rPr>
        <w:t xml:space="preserve"> To measure the relationship between enhancer numbers and gene expression level, we integrated promoter-based interactions, brain active enhancers, and expression data. As enhancers and Hi-C interactions were defined in different resolution (Hi-C was defined at 10kb bin level, while enhancers were defined at much higher resolution), we clumped enhancers within 10kb bins so that they match with the Hi-C resolution. Intersecting brain active enhancers and promoter-based interactions led to 17,719 bin-level enhancer-promoter interactions. We grouped genes based on their number of interacting enhancers and their average centred expression values were calculated and plotted for each group. We also identified 90,015 enhancer-promoter interactions when we didn’t clump enhancers into a bin-level</w:t>
      </w:r>
      <w:r w:rsidR="004A02E4">
        <w:rPr>
          <w:rFonts w:ascii="Times New Roman" w:eastAsia="Times New Roman" w:hAnsi="Times New Roman" w:cs="Times New Roman"/>
        </w:rPr>
        <w:t>.</w:t>
      </w:r>
    </w:p>
    <w:p w14:paraId="384241A2" w14:textId="77777777" w:rsidR="0077186D" w:rsidRDefault="0077186D">
      <w:pPr>
        <w:spacing w:before="0" w:line="240" w:lineRule="auto"/>
        <w:ind w:firstLine="720"/>
        <w:rPr>
          <w:rFonts w:ascii="Times New Roman" w:eastAsia="Times New Roman" w:hAnsi="Times New Roman" w:cs="Times New Roman"/>
          <w:color w:val="000000"/>
        </w:rPr>
      </w:pPr>
    </w:p>
    <w:p w14:paraId="60DCAA0F" w14:textId="77777777" w:rsidR="0077186D" w:rsidRDefault="00E47411">
      <w:pPr>
        <w:spacing w:before="0" w:line="240" w:lineRule="auto"/>
        <w:rPr>
          <w:rFonts w:ascii="Times New Roman" w:eastAsia="Times New Roman" w:hAnsi="Times New Roman" w:cs="Times New Roman"/>
        </w:rPr>
      </w:pPr>
      <w:r>
        <w:rPr>
          <w:b/>
        </w:rPr>
        <w:t xml:space="preserve">Cis-regulatory relationship mediated by chromatin interactions. </w:t>
      </w:r>
      <w:r>
        <w:rPr>
          <w:rFonts w:ascii="Times New Roman" w:eastAsia="Times New Roman" w:hAnsi="Times New Roman" w:cs="Times New Roman"/>
        </w:rPr>
        <w:t>We overlapped eQTLs, isoQTLs, and cQTLs (hereby referred as QTLs) with Hi-C to measure the proportion of cis-regulatory relationship mediated by 3D interactions. As the type of chromatin interactions that mediate cis-regulatory relationship has not been well understood, we did not want to restrict our interaction search space into promoter-based interactions. Therefore, we first obtained chromatin interaction profiles of QTLs and then overlapped the profiles with (1) gene coordinates both at the exon and promoter levels (eQTL/isoQTL) or (2) coordinates of chromatin marks (cQTL).</w:t>
      </w:r>
    </w:p>
    <w:p w14:paraId="737822EE" w14:textId="2B5FAAEA" w:rsidR="0077186D" w:rsidRPr="00FC4E97" w:rsidRDefault="00FC4E97" w:rsidP="00FC4E97">
      <w:pPr>
        <w:spacing w:before="0" w:line="240" w:lineRule="auto"/>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704E54F4" wp14:editId="7CBE43F1">
            <wp:extent cx="5943600" cy="30994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6.3.pdf"/>
                    <pic:cNvPicPr/>
                  </pic:nvPicPr>
                  <pic:blipFill>
                    <a:blip r:embed="rId38">
                      <a:extLst>
                        <a:ext uri="{28A0092B-C50C-407E-A947-70E740481C1C}">
                          <a14:useLocalDpi xmlns:a14="http://schemas.microsoft.com/office/drawing/2010/main" val="0"/>
                        </a:ext>
                      </a:extLst>
                    </a:blip>
                    <a:stretch>
                      <a:fillRect/>
                    </a:stretch>
                  </pic:blipFill>
                  <pic:spPr>
                    <a:xfrm>
                      <a:off x="0" y="0"/>
                      <a:ext cx="5943600" cy="3099435"/>
                    </a:xfrm>
                    <a:prstGeom prst="rect">
                      <a:avLst/>
                    </a:prstGeom>
                  </pic:spPr>
                </pic:pic>
              </a:graphicData>
            </a:graphic>
          </wp:inline>
        </w:drawing>
      </w:r>
    </w:p>
    <w:p w14:paraId="62E0F8AC" w14:textId="77777777" w:rsidR="0077186D" w:rsidRPr="00605DD0" w:rsidRDefault="00E47411">
      <w:pPr>
        <w:pBdr>
          <w:top w:val="single" w:sz="8" w:space="2" w:color="000000"/>
          <w:left w:val="single" w:sz="8" w:space="2" w:color="000000"/>
          <w:bottom w:val="single" w:sz="8" w:space="2" w:color="000000"/>
          <w:right w:val="single" w:sz="8" w:space="2" w:color="000000"/>
        </w:pBdr>
        <w:spacing w:before="80" w:after="120" w:line="240" w:lineRule="auto"/>
        <w:rPr>
          <w:rFonts w:ascii="Helvetica" w:eastAsia="Helvetica Neue" w:hAnsi="Helvetica" w:cs="Helvetica Neue"/>
          <w:color w:val="434343"/>
          <w:sz w:val="18"/>
          <w:szCs w:val="18"/>
        </w:rPr>
      </w:pPr>
      <w:r w:rsidRPr="00605DD0">
        <w:rPr>
          <w:rFonts w:ascii="Helvetica" w:eastAsia="Helvetica Neue" w:hAnsi="Helvetica" w:cs="Helvetica Neue"/>
          <w:b/>
          <w:color w:val="434343"/>
          <w:sz w:val="18"/>
          <w:szCs w:val="18"/>
        </w:rPr>
        <w:t xml:space="preserve">Fig. S6.3 Dynamics of chromatin landscape across brain development. A. </w:t>
      </w:r>
      <w:r w:rsidRPr="00605DD0">
        <w:rPr>
          <w:rFonts w:ascii="Helvetica" w:eastAsia="Helvetica Neue" w:hAnsi="Helvetica" w:cs="Helvetica Neue"/>
          <w:color w:val="434343"/>
          <w:sz w:val="18"/>
          <w:szCs w:val="18"/>
        </w:rPr>
        <w:t xml:space="preserve">A schematic showing how brain regulatory elements were mapped to their putative target genes based on chromatin interaction profiles. Brain regulatory elements were first grouped into three categories: regulatory elements that are active in both developmental epochs (both active), regulatory elements in fetal brain (fetal active), and regulatory elements in adult brain (adult active). Brain regulatory elements that reside within promoters were directly assigned to their target genes (promoter-based assignment), while intergenic/intronic regulatory elements were assigned based on chromatin interactions either in fetal or adult brain (Hi-C based assignment). The number of brain regulatory elements (peaks) and genes mapped to regulatory elements by promoter- and Hi-C-based assignment is described in the bottom. </w:t>
      </w:r>
      <w:r w:rsidRPr="00605DD0">
        <w:rPr>
          <w:rFonts w:ascii="Helvetica" w:eastAsia="Helvetica Neue" w:hAnsi="Helvetica" w:cs="Helvetica Neue"/>
          <w:b/>
          <w:color w:val="434343"/>
          <w:sz w:val="18"/>
          <w:szCs w:val="18"/>
        </w:rPr>
        <w:t xml:space="preserve">B. </w:t>
      </w:r>
      <w:r w:rsidRPr="00605DD0">
        <w:rPr>
          <w:rFonts w:ascii="Helvetica" w:eastAsia="Helvetica Neue" w:hAnsi="Helvetica" w:cs="Helvetica Neue"/>
          <w:color w:val="434343"/>
          <w:sz w:val="18"/>
          <w:szCs w:val="18"/>
        </w:rPr>
        <w:t xml:space="preserve">Genes assigned to fetal active elements are prenatally enriched, while genes assigned to adult active elements are postnatally enriched. </w:t>
      </w:r>
      <w:r w:rsidRPr="00605DD0">
        <w:rPr>
          <w:rFonts w:ascii="Helvetica" w:eastAsia="Helvetica Neue" w:hAnsi="Helvetica" w:cs="Helvetica Neue"/>
          <w:b/>
          <w:color w:val="434343"/>
          <w:sz w:val="18"/>
          <w:szCs w:val="18"/>
        </w:rPr>
        <w:t xml:space="preserve">C. </w:t>
      </w:r>
      <w:r w:rsidRPr="00605DD0">
        <w:rPr>
          <w:rFonts w:ascii="Helvetica" w:eastAsia="Helvetica Neue" w:hAnsi="Helvetica" w:cs="Helvetica Neue"/>
          <w:color w:val="434343"/>
          <w:sz w:val="18"/>
          <w:szCs w:val="18"/>
        </w:rPr>
        <w:t xml:space="preserve">Genes assigned to fetal active elements are relatively more enriched in neurons in the adult (Adult-Neuron) and fetal brain (Developmental-Quies and Repl), while genes assigned to adult active elements are relatively more enriched in glia (astrocytes, endothelial cells, and oligodendrocytes). </w:t>
      </w:r>
      <w:r w:rsidRPr="00605DD0">
        <w:rPr>
          <w:rFonts w:ascii="Helvetica" w:eastAsia="Helvetica Neue" w:hAnsi="Helvetica" w:cs="Helvetica Neue"/>
          <w:b/>
          <w:color w:val="434343"/>
          <w:sz w:val="18"/>
          <w:szCs w:val="18"/>
        </w:rPr>
        <w:t xml:space="preserve">D. </w:t>
      </w:r>
      <w:r w:rsidRPr="00605DD0">
        <w:rPr>
          <w:rFonts w:ascii="Helvetica" w:eastAsia="Helvetica Neue" w:hAnsi="Helvetica" w:cs="Helvetica Neue"/>
          <w:color w:val="434343"/>
          <w:sz w:val="18"/>
          <w:szCs w:val="18"/>
        </w:rPr>
        <w:t>Gene ontology enrichment for genes that are assigned to fetal and adult active regulatory elements based on chromatin interactions. Fetal active elements were assigned to genes associated with neuronal differentiation and synaptic formation, while adult active elements were assigned to genes involved in gliogenesis and synaptic maturation.</w:t>
      </w:r>
    </w:p>
    <w:p w14:paraId="6BB0D432" w14:textId="77777777" w:rsidR="0077186D" w:rsidRDefault="0077186D">
      <w:pPr>
        <w:spacing w:before="0" w:line="240" w:lineRule="auto"/>
        <w:rPr>
          <w:rFonts w:ascii="Times New Roman" w:eastAsia="Times New Roman" w:hAnsi="Times New Roman" w:cs="Times New Roman"/>
        </w:rPr>
      </w:pPr>
    </w:p>
    <w:p w14:paraId="79C969B6"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We constructed background interaction profiles from all SNPs with the imputation score &gt; 0.9 in the genome to fit null distribution of the expected interaction frequencies given the chromosome and distance (see section S6.3 for more details). Significance of interaction from each QTL was calculated as the probability of observing higher interaction frequencies under the fitted null distribution. Interactions with FDR&lt;0.01 were selected as significant interactions, and the regions that significantly interact with QTLs were overlapped with genomic coordinates of promoter (defined as 2kb upstream of every TSS), exon coordinates (based on Gencode v19), and coordinates of chromatin marks used to detect cQTLs. When conducting chromatin interaction analysis for eQTL/isoQTL, we excluded QTLs that are located within promoter or exons (promoter/exonic QTLs) because there is a high probability that they are directly associated with the genes/chromatin marks in which they locate. We also excluded cQTLs within 20kb from chromatin marks as chromatin interactions within this range is undetectable.</w:t>
      </w:r>
    </w:p>
    <w:p w14:paraId="3EE96C85"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An e-Gene/chromatin often has multiple QTLs due to the linkage disequilibrium (LD), which makes it difficult to identify causal variants. Therefore, instead of a direct comparison between eGenes/chromatin and genes/chromatin that physically interact with QTLs, we measured the fraction of eGenes/chromatin that also have Hi-C evidence. For this purpose, we grouped QTLs based on eGenes/chromatin and checked whether any of the QTLs for a given e-Gene/chromatin also physically interacts with the same e-Gene/chromatin.</w:t>
      </w:r>
    </w:p>
    <w:p w14:paraId="1BF4F878" w14:textId="77777777" w:rsidR="0077186D" w:rsidRDefault="00E47411">
      <w:pPr>
        <w:spacing w:before="0" w:line="240" w:lineRule="auto"/>
        <w:ind w:firstLine="720"/>
        <w:rPr>
          <w:rFonts w:ascii="Times New Roman" w:eastAsia="Times New Roman" w:hAnsi="Times New Roman" w:cs="Times New Roman"/>
          <w:color w:val="434343"/>
        </w:rPr>
      </w:pPr>
      <w:r>
        <w:rPr>
          <w:rFonts w:ascii="Times New Roman" w:eastAsia="Times New Roman" w:hAnsi="Times New Roman" w:cs="Times New Roman"/>
        </w:rPr>
        <w:t xml:space="preserve">According to this analysis, 31.9% of eQTLs and 12.4% of isoQTLs had Hi-C evidence, indicating that chromatin interactions may impact cis-regulatory relationships via gene regulation than isoform </w:t>
      </w:r>
      <w:r>
        <w:rPr>
          <w:rFonts w:ascii="Times New Roman" w:eastAsia="Times New Roman" w:hAnsi="Times New Roman" w:cs="Times New Roman"/>
        </w:rPr>
        <w:lastRenderedPageBreak/>
        <w:t xml:space="preserve">switching. We also found that </w:t>
      </w:r>
      <w:r>
        <w:rPr>
          <w:rFonts w:ascii="Times New Roman" w:eastAsia="Times New Roman" w:hAnsi="Times New Roman" w:cs="Times New Roman"/>
          <w:color w:val="434343"/>
        </w:rPr>
        <w:t>6.5</w:t>
      </w:r>
      <w:r>
        <w:rPr>
          <w:rFonts w:ascii="Times New Roman" w:eastAsia="Times New Roman" w:hAnsi="Times New Roman" w:cs="Times New Roman"/>
        </w:rPr>
        <w:t xml:space="preserve">% of cQTLs have Hi-C evidence. Although this overlap is lower than what we found from eQTLs and isoQTLs, we think this reflects the low power of cQTLs (292 samples for cQTL vs. 1,387 samples for eQTL). In details, 27.4% of eQTLs were supported by promoter-based interactions, while 30.9% were supported by exon-based interactions, suggesting that exon-level interactions also have potentials to affect gene regulation, which has not been previously studied. Given that 31.9% (&lt; 27.4% promoter-based interactions + 30.9% exon-based interactions = 58.4%) of eQTLs are supported by either promoter or exon-level interactions, most of the exon-/promoter-based interactions are redundant, indicating a complex gene regulatory network. On the contrary, 10.9% of sQTLs were supported by promoter-based interactions, while 3.7% were supported by exon-based interactions, which are largely non-redundant (12.4% total Hi-C supported sQTL ~ 10.9% promoter-based interactions + 3.7% exon-based interactions = 14.6%). </w:t>
      </w:r>
      <w:r>
        <w:rPr>
          <w:rFonts w:ascii="Times New Roman" w:eastAsia="Times New Roman" w:hAnsi="Times New Roman" w:cs="Times New Roman"/>
          <w:color w:val="434343"/>
        </w:rPr>
        <w:t xml:space="preserve">In total, 32% of the eGenes showed evidence of chromatin interactions, accounting for 239,837 eQTLs, 3,235 isoQTLs. </w:t>
      </w:r>
    </w:p>
    <w:p w14:paraId="1FECD861" w14:textId="77777777" w:rsidR="0077186D" w:rsidRDefault="00E47411">
      <w:pPr>
        <w:spacing w:before="0" w:line="24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We then compared the significance of associations for Hi-C supported QTLs, promoter/exonic QTLs, and non-supported QTLs (intronic/intergenic QTLs that do not have Hi-C evidence). We grouped QTLs based on these three categories and compared the significance of associations for each group. We compared the distribution of -log10(P-values) for each group using a (pairwise) Wilcoxon test. When there are more than two groups to compare, multiple testing correction was performed using FDR.</w:t>
      </w:r>
    </w:p>
    <w:p w14:paraId="5C35D156" w14:textId="08B8D70C" w:rsidR="0077186D" w:rsidRPr="00FC4E97" w:rsidRDefault="00FC4E97" w:rsidP="005953B0">
      <w:pPr>
        <w:spacing w:before="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drawing>
          <wp:inline distT="0" distB="0" distL="0" distR="0" wp14:anchorId="248B539A" wp14:editId="36CF87B9">
            <wp:extent cx="5167503" cy="20162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6.4.pdf"/>
                    <pic:cNvPicPr/>
                  </pic:nvPicPr>
                  <pic:blipFill>
                    <a:blip r:embed="rId39">
                      <a:extLst>
                        <a:ext uri="{28A0092B-C50C-407E-A947-70E740481C1C}">
                          <a14:useLocalDpi xmlns:a14="http://schemas.microsoft.com/office/drawing/2010/main" val="0"/>
                        </a:ext>
                      </a:extLst>
                    </a:blip>
                    <a:stretch>
                      <a:fillRect/>
                    </a:stretch>
                  </pic:blipFill>
                  <pic:spPr>
                    <a:xfrm>
                      <a:off x="0" y="0"/>
                      <a:ext cx="5215060" cy="2034764"/>
                    </a:xfrm>
                    <a:prstGeom prst="rect">
                      <a:avLst/>
                    </a:prstGeom>
                  </pic:spPr>
                </pic:pic>
              </a:graphicData>
            </a:graphic>
          </wp:inline>
        </w:drawing>
      </w:r>
    </w:p>
    <w:p w14:paraId="17ACB0C1"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hAnsi="Helvetica"/>
          <w:sz w:val="26"/>
          <w:szCs w:val="26"/>
        </w:rPr>
      </w:pPr>
      <w:r w:rsidRPr="00605DD0">
        <w:rPr>
          <w:rFonts w:ascii="Helvetica" w:eastAsia="Helvetica Neue" w:hAnsi="Helvetica" w:cs="Helvetica Neue"/>
          <w:b/>
          <w:color w:val="434343"/>
          <w:sz w:val="18"/>
          <w:szCs w:val="18"/>
        </w:rPr>
        <w:t xml:space="preserve">Fig. S6.4 Chromatin interactions mediate cis- and trans-regulatory relationships. A. </w:t>
      </w:r>
      <w:r w:rsidRPr="00605DD0">
        <w:rPr>
          <w:rFonts w:ascii="Helvetica" w:eastAsia="Helvetica Neue" w:hAnsi="Helvetica" w:cs="Helvetica Neue"/>
          <w:color w:val="434343"/>
          <w:sz w:val="18"/>
          <w:szCs w:val="18"/>
        </w:rPr>
        <w:t xml:space="preserve">A proportion of QTL-associated genes (eQTLs), isoforms (isoQTLs) and chromatin marks (cQTLs) that have Hi-C evidence. </w:t>
      </w:r>
      <w:r w:rsidRPr="00605DD0">
        <w:rPr>
          <w:rFonts w:ascii="Helvetica" w:eastAsia="Helvetica Neue" w:hAnsi="Helvetica" w:cs="Helvetica Neue"/>
          <w:b/>
          <w:color w:val="434343"/>
          <w:sz w:val="18"/>
          <w:szCs w:val="18"/>
        </w:rPr>
        <w:t xml:space="preserve">B. </w:t>
      </w:r>
      <w:r w:rsidRPr="00605DD0">
        <w:rPr>
          <w:rFonts w:ascii="Helvetica" w:eastAsia="Helvetica Neue" w:hAnsi="Helvetica" w:cs="Helvetica Neue"/>
          <w:color w:val="434343"/>
          <w:sz w:val="18"/>
          <w:szCs w:val="18"/>
        </w:rPr>
        <w:t xml:space="preserve">eQTLs supported by Hi-C evidence show stronger associations not only to eQTLs without genomic annotations (non-supported), but also to exonic and promoter eQTLs. </w:t>
      </w:r>
      <w:r w:rsidRPr="00605DD0">
        <w:rPr>
          <w:rFonts w:ascii="Helvetica" w:eastAsia="Helvetica Neue" w:hAnsi="Helvetica" w:cs="Helvetica Neue"/>
          <w:b/>
          <w:color w:val="434343"/>
          <w:sz w:val="18"/>
          <w:szCs w:val="18"/>
        </w:rPr>
        <w:t xml:space="preserve">C-D. </w:t>
      </w:r>
      <w:r w:rsidRPr="00605DD0">
        <w:rPr>
          <w:rFonts w:ascii="Helvetica" w:eastAsia="Helvetica Neue" w:hAnsi="Helvetica" w:cs="Helvetica Neue"/>
          <w:color w:val="434343"/>
          <w:sz w:val="18"/>
          <w:szCs w:val="18"/>
        </w:rPr>
        <w:t xml:space="preserve">isoQTLs (C) and cQTLs (D) supported by Hi-C evidence show stronger associations than those without genomic annotations (non-supported). </w:t>
      </w:r>
    </w:p>
    <w:p w14:paraId="57058DCA" w14:textId="77777777" w:rsidR="0077186D" w:rsidRPr="00D51A3C" w:rsidRDefault="00E47411">
      <w:pPr>
        <w:pStyle w:val="Heading2"/>
        <w:spacing w:before="200" w:after="160"/>
        <w:rPr>
          <w:rFonts w:ascii="Helvetica" w:hAnsi="Helvetica"/>
          <w:sz w:val="28"/>
          <w:szCs w:val="28"/>
        </w:rPr>
      </w:pPr>
      <w:bookmarkStart w:id="45" w:name="_8tv8e6qq8he1" w:colFirst="0" w:colLast="0"/>
      <w:bookmarkEnd w:id="45"/>
      <w:r w:rsidRPr="00D51A3C">
        <w:rPr>
          <w:rFonts w:ascii="Helvetica" w:hAnsi="Helvetica"/>
          <w:sz w:val="28"/>
          <w:szCs w:val="28"/>
        </w:rPr>
        <w:t>S6.5 Imputed gene regulatory networks (TFs)</w:t>
      </w:r>
    </w:p>
    <w:p w14:paraId="0B1D68A2"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We integrated and imputated all possible regulatory relationships in the frontal cortex including the enhancers, transcription factors (TFs), miRNAs and target genes in this resource. The first step involved inferring the positions of the TF binding sites (TFBSs) within the key regulatory elements in our model, namely, promoters and enhancers in TADs. To do this, we started with a previously generated genome-wide map of all the TFBSs using a list of 786 TF motif position weight matrices (PWMs) downloaded from CIS-BP (build 1.02, Weirauch et al., 2014), with TFBS locations on the hg19 genome build found using the program FIMO from the MEME suite (version 4.11.4, Grant et al., 2011) with a threshold of 0.00001.</w:t>
      </w:r>
    </w:p>
    <w:p w14:paraId="0243D810"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Next, we defined the promoter regions by a window of </w:t>
      </w:r>
      <m:oMath>
        <m:r>
          <w:rPr>
            <w:rFonts w:ascii="Cambria Math" w:hAnsi="Cambria Math"/>
          </w:rPr>
          <m:t>±</m:t>
        </m:r>
      </m:oMath>
      <w:r>
        <w:rPr>
          <w:rFonts w:ascii="Times New Roman" w:eastAsia="Times New Roman" w:hAnsi="Times New Roman" w:cs="Times New Roman"/>
        </w:rPr>
        <w:t xml:space="preserve">1.25 kb (=2.5 kb in total) relative to the transcription start site (TSS), while the PEC enhancer regions of uniform length 1 kb were used. The ENCODE DNase hypersensitivity site (DHS) datasets for the frontal cortex (in .bed format) were then used to find open chromatin regions within the promoters, and the TFs with TFBSs within these open chromatin regions of the regulatory elements were linked to the corresponding elements. Since the PEC enhancers were already defined within regions of open chromatin, there was no need to further filter them out using DHS data, hence the TFs within the enhancers were directly linked to them. Finally, we tentatively link all enhancers and promoters within the same TADs determined from the Hi-C data on the </w:t>
      </w:r>
      <w:r>
        <w:rPr>
          <w:rFonts w:ascii="Times New Roman" w:eastAsia="Times New Roman" w:hAnsi="Times New Roman" w:cs="Times New Roman"/>
        </w:rPr>
        <w:lastRenderedPageBreak/>
        <w:t xml:space="preserve">reference brains (pooled data from three reference brains). The net result is a set of preliminary linkages in the form of [Enhancer TFs]=&gt;Enhancers=&gt;Promoters&lt;=[Promoter TFs]. </w:t>
      </w:r>
    </w:p>
    <w:p w14:paraId="7FC47CAE"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There are some noteworthy points on this analysis. Firstly, when the PEC enhancers were expanded to a uniform size of 1 kb, there were some overlaps between adjacent enhancers. With regard to the TF linkages, we resolved these overlaps by assigning a TF within the overlap region only to the first enhancer encountered in the sorted enhancer list. Secondly, there are two experimental DHS files for the frontal cortex from the ENCODE consortium, resulting in two different sets of TF linkages for the promoters. The results from the two replicates were merged into a single consensus set of linkages.</w:t>
      </w:r>
    </w:p>
    <w:p w14:paraId="2FF0191F"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In total, we included 675,061 enhancer-target-promoter in TADs and 823,946 TF-target-promoter binding linkages, providing a reference wiring network on gene regulation in brain, which consists of the regulatory factors and elements (e.g., TFs, enhancers) and target genes. An associated data file with the reference TF network is available on the website (adult.psychencode.org).</w:t>
      </w:r>
    </w:p>
    <w:p w14:paraId="2900990C" w14:textId="05BF2C00" w:rsidR="0077186D" w:rsidRDefault="005953B0">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To</w:t>
      </w:r>
      <w:r w:rsidR="00E47411">
        <w:rPr>
          <w:rFonts w:ascii="Times New Roman" w:eastAsia="Times New Roman" w:hAnsi="Times New Roman" w:cs="Times New Roman"/>
        </w:rPr>
        <w:t xml:space="preserve"> identify activated regulatory wires for a particular phenotype or disorder, we further used the method to determine such activated regulation. </w:t>
      </w:r>
      <w:r>
        <w:rPr>
          <w:rFonts w:ascii="Times New Roman" w:eastAsia="Times New Roman" w:hAnsi="Times New Roman" w:cs="Times New Roman"/>
        </w:rPr>
        <w:t>Given</w:t>
      </w:r>
      <w:r w:rsidR="00E47411">
        <w:rPr>
          <w:rFonts w:ascii="Times New Roman" w:eastAsia="Times New Roman" w:hAnsi="Times New Roman" w:cs="Times New Roman"/>
        </w:rPr>
        <w:t xml:space="preserve"> a gene and a phenotype/disorder, we applied the Elastic net regression, linearly combining the L</w:t>
      </w:r>
      <w:r w:rsidR="00E47411">
        <w:rPr>
          <w:rFonts w:ascii="Times New Roman" w:eastAsia="Times New Roman" w:hAnsi="Times New Roman" w:cs="Times New Roman"/>
          <w:vertAlign w:val="subscript"/>
        </w:rPr>
        <w:t>1</w:t>
      </w:r>
      <w:r w:rsidR="00E47411">
        <w:rPr>
          <w:rFonts w:ascii="Times New Roman" w:eastAsia="Times New Roman" w:hAnsi="Times New Roman" w:cs="Times New Roman"/>
        </w:rPr>
        <w:t xml:space="preserve"> and L</w:t>
      </w:r>
      <w:r w:rsidR="00E47411">
        <w:rPr>
          <w:rFonts w:ascii="Times New Roman" w:eastAsia="Times New Roman" w:hAnsi="Times New Roman" w:cs="Times New Roman"/>
          <w:vertAlign w:val="subscript"/>
        </w:rPr>
        <w:t>2</w:t>
      </w:r>
      <w:r w:rsidR="00E47411">
        <w:rPr>
          <w:rFonts w:ascii="Times New Roman" w:eastAsia="Times New Roman" w:hAnsi="Times New Roman" w:cs="Times New Roman"/>
        </w:rPr>
        <w:t xml:space="preserve"> regularizations to predict its gene expression data from the expression data of the TFs that have the binding sites on the gene’s enhancers and promoter and overlap the QTLs; i.e., the QTLs break the binding sites. We then identified the activated TF-target regulatory relationships if TFs have large regression coefficients. In detail, suppose </w:t>
      </w:r>
      <w:r w:rsidR="00E47411">
        <w:rPr>
          <w:rFonts w:ascii="Times New Roman" w:eastAsia="Times New Roman" w:hAnsi="Times New Roman" w:cs="Times New Roman"/>
          <w:i/>
        </w:rPr>
        <w:t>Y</w:t>
      </w:r>
      <w:r w:rsidR="00E47411">
        <w:rPr>
          <w:rFonts w:ascii="Times New Roman" w:eastAsia="Times New Roman" w:hAnsi="Times New Roman" w:cs="Times New Roman"/>
        </w:rPr>
        <w:t xml:space="preserve"> is an </w:t>
      </w:r>
      <w:r w:rsidR="00E47411">
        <w:rPr>
          <w:rFonts w:ascii="Times New Roman" w:eastAsia="Times New Roman" w:hAnsi="Times New Roman" w:cs="Times New Roman"/>
          <w:i/>
        </w:rPr>
        <w:t>N</w:t>
      </w:r>
      <w:r w:rsidR="00E47411">
        <w:rPr>
          <w:rFonts w:ascii="Times New Roman" w:eastAsia="Times New Roman" w:hAnsi="Times New Roman" w:cs="Times New Roman"/>
        </w:rPr>
        <w:t xml:space="preserve">-dimensional vector with elements being the gene’s expression levels across samples, where </w:t>
      </w:r>
      <w:r w:rsidR="00E47411">
        <w:rPr>
          <w:rFonts w:ascii="Times New Roman" w:eastAsia="Times New Roman" w:hAnsi="Times New Roman" w:cs="Times New Roman"/>
          <w:i/>
        </w:rPr>
        <w:t>N</w:t>
      </w:r>
      <w:r w:rsidR="00E47411">
        <w:rPr>
          <w:rFonts w:ascii="Times New Roman" w:eastAsia="Times New Roman" w:hAnsi="Times New Roman" w:cs="Times New Roman"/>
        </w:rPr>
        <w:t xml:space="preserve"> is the sample number for the phenotype/disorder. </w:t>
      </w:r>
      <w:r w:rsidR="00E47411">
        <w:rPr>
          <w:rFonts w:ascii="Times New Roman" w:eastAsia="Times New Roman" w:hAnsi="Times New Roman" w:cs="Times New Roman"/>
          <w:i/>
        </w:rPr>
        <w:t>X</w:t>
      </w:r>
      <w:r w:rsidR="00E47411">
        <w:rPr>
          <w:rFonts w:ascii="Times New Roman" w:eastAsia="Times New Roman" w:hAnsi="Times New Roman" w:cs="Times New Roman"/>
        </w:rPr>
        <w:t xml:space="preserve"> is an </w:t>
      </w:r>
      <w:r w:rsidR="00E47411">
        <w:rPr>
          <w:rFonts w:ascii="Times New Roman" w:eastAsia="Times New Roman" w:hAnsi="Times New Roman" w:cs="Times New Roman"/>
          <w:i/>
        </w:rPr>
        <w:t>N</w:t>
      </w:r>
      <w:r w:rsidR="00E47411">
        <w:rPr>
          <w:rFonts w:ascii="Times New Roman" w:eastAsia="Times New Roman" w:hAnsi="Times New Roman" w:cs="Times New Roman"/>
        </w:rPr>
        <w:t xml:space="preserve"> by </w:t>
      </w:r>
      <w:r w:rsidR="00E47411">
        <w:rPr>
          <w:rFonts w:ascii="Times New Roman" w:eastAsia="Times New Roman" w:hAnsi="Times New Roman" w:cs="Times New Roman"/>
          <w:i/>
        </w:rPr>
        <w:t>M</w:t>
      </w:r>
      <w:r w:rsidR="00E47411">
        <w:rPr>
          <w:rFonts w:ascii="Times New Roman" w:eastAsia="Times New Roman" w:hAnsi="Times New Roman" w:cs="Times New Roman"/>
        </w:rPr>
        <w:t xml:space="preserve"> matrix whose columns are the TFs’ expression levels, where </w:t>
      </w:r>
      <w:r w:rsidR="00E47411">
        <w:rPr>
          <w:rFonts w:ascii="Times New Roman" w:eastAsia="Times New Roman" w:hAnsi="Times New Roman" w:cs="Times New Roman"/>
          <w:i/>
        </w:rPr>
        <w:t>M</w:t>
      </w:r>
      <w:r w:rsidR="00E47411">
        <w:rPr>
          <w:rFonts w:ascii="Times New Roman" w:eastAsia="Times New Roman" w:hAnsi="Times New Roman" w:cs="Times New Roman"/>
        </w:rPr>
        <w:t xml:space="preserve"> is the number of potential TFs. The Elastic net regression estimates the coefficients of </w:t>
      </w:r>
      <w:r w:rsidR="00E47411">
        <w:rPr>
          <w:rFonts w:ascii="Times New Roman" w:eastAsia="Times New Roman" w:hAnsi="Times New Roman" w:cs="Times New Roman"/>
          <w:i/>
        </w:rPr>
        <w:t>M</w:t>
      </w:r>
      <w:r w:rsidR="00E47411">
        <w:rPr>
          <w:rFonts w:ascii="Times New Roman" w:eastAsia="Times New Roman" w:hAnsi="Times New Roman" w:cs="Times New Roman"/>
        </w:rPr>
        <w:t xml:space="preserve"> TFs, denoted by an M-dimensional vector, B= argmin</w:t>
      </w:r>
      <w:r w:rsidR="00E47411" w:rsidRPr="0088759B">
        <w:rPr>
          <w:rFonts w:ascii="Times New Roman" w:eastAsia="Times New Roman" w:hAnsi="Times New Roman" w:cs="Times New Roman"/>
          <w:vertAlign w:val="subscript"/>
        </w:rPr>
        <w:t>B</w:t>
      </w:r>
      <w:r w:rsidR="0088759B">
        <w:rPr>
          <w:rFonts w:ascii="Times New Roman" w:eastAsia="Times New Roman" w:hAnsi="Times New Roman" w:cs="Times New Roman"/>
        </w:rPr>
        <w:t xml:space="preserve"> ||Y-XB||</w:t>
      </w:r>
      <w:r w:rsidR="00E47411" w:rsidRPr="0088759B">
        <w:rPr>
          <w:rFonts w:ascii="Times New Roman" w:eastAsia="Times New Roman" w:hAnsi="Times New Roman" w:cs="Times New Roman"/>
          <w:vertAlign w:val="superscript"/>
        </w:rPr>
        <w:t>2</w:t>
      </w:r>
      <w:r w:rsidR="0088759B">
        <w:rPr>
          <w:rFonts w:ascii="Times New Roman" w:eastAsia="Times New Roman" w:hAnsi="Times New Roman" w:cs="Times New Roman"/>
        </w:rPr>
        <w:t>+alpha||B||</w:t>
      </w:r>
      <w:r w:rsidR="0088759B">
        <w:rPr>
          <w:rFonts w:ascii="Times New Roman" w:eastAsia="Times New Roman" w:hAnsi="Times New Roman" w:cs="Times New Roman"/>
          <w:vertAlign w:val="subscript"/>
        </w:rPr>
        <w:t>L2</w:t>
      </w:r>
      <w:r w:rsidR="0088759B">
        <w:rPr>
          <w:rFonts w:ascii="Times New Roman" w:eastAsia="Times New Roman" w:hAnsi="Times New Roman" w:cs="Times New Roman"/>
        </w:rPr>
        <w:t>+beta*||B||</w:t>
      </w:r>
      <w:r w:rsidR="0088759B" w:rsidRPr="0088759B">
        <w:rPr>
          <w:rFonts w:ascii="Times New Roman" w:eastAsia="Times New Roman" w:hAnsi="Times New Roman" w:cs="Times New Roman"/>
          <w:vertAlign w:val="subscript"/>
        </w:rPr>
        <w:t>L1</w:t>
      </w:r>
      <w:r w:rsidR="00E47411">
        <w:rPr>
          <w:rFonts w:ascii="Times New Roman" w:eastAsia="Times New Roman" w:hAnsi="Times New Roman" w:cs="Times New Roman"/>
        </w:rPr>
        <w:t>, where alpha and beta are parameters to adjust the contributions from L</w:t>
      </w:r>
      <w:r w:rsidR="00E47411">
        <w:rPr>
          <w:rFonts w:ascii="Times New Roman" w:eastAsia="Times New Roman" w:hAnsi="Times New Roman" w:cs="Times New Roman"/>
          <w:vertAlign w:val="subscript"/>
        </w:rPr>
        <w:t>2</w:t>
      </w:r>
      <w:r w:rsidR="00E47411">
        <w:rPr>
          <w:rFonts w:ascii="Times New Roman" w:eastAsia="Times New Roman" w:hAnsi="Times New Roman" w:cs="Times New Roman"/>
        </w:rPr>
        <w:t xml:space="preserve"> and L</w:t>
      </w:r>
      <w:r w:rsidR="00E47411">
        <w:rPr>
          <w:rFonts w:ascii="Times New Roman" w:eastAsia="Times New Roman" w:hAnsi="Times New Roman" w:cs="Times New Roman"/>
          <w:vertAlign w:val="subscript"/>
        </w:rPr>
        <w:t>1</w:t>
      </w:r>
      <w:r w:rsidR="00E47411">
        <w:rPr>
          <w:rFonts w:ascii="Times New Roman" w:eastAsia="Times New Roman" w:hAnsi="Times New Roman" w:cs="Times New Roman"/>
        </w:rPr>
        <w:t xml:space="preserve"> regularizations of B. The mean square error of Elastic net regression is equal to ||</w:t>
      </w:r>
      <w:r w:rsidR="0088759B">
        <w:rPr>
          <w:rFonts w:ascii="Times New Roman" w:eastAsia="Times New Roman" w:hAnsi="Times New Roman" w:cs="Times New Roman"/>
        </w:rPr>
        <w:t>Y-XB||</w:t>
      </w:r>
      <w:r w:rsidR="00E47411" w:rsidRPr="0088759B">
        <w:rPr>
          <w:rFonts w:ascii="Times New Roman" w:eastAsia="Times New Roman" w:hAnsi="Times New Roman" w:cs="Times New Roman"/>
          <w:vertAlign w:val="superscript"/>
        </w:rPr>
        <w:t>2</w:t>
      </w:r>
      <w:r w:rsidR="00E47411">
        <w:rPr>
          <w:rFonts w:ascii="Times New Roman" w:eastAsia="Times New Roman" w:hAnsi="Times New Roman" w:cs="Times New Roman"/>
        </w:rPr>
        <w:t xml:space="preserve">/N based on ⅔ training and ⅓ test data. For each gene and its TFs, we used the gene expression data across all adult samples (N=1866) in the resource to run the Elastic net regression. For example, we identified a strong regulatory relationship between four promoter TFs (NKX2-4, FOXE3, FOXI1, TFAP2B, coefficients &gt;0.2) and three enhancer TFs (FOXA2, FOXI2, HMX2, coefficients &gt; 1) with CHD8, a chromatin remodeler strongly associated with ASD. In total, we could predict the expression level of CHD8 with mean square error &lt; 0.034. </w:t>
      </w:r>
    </w:p>
    <w:p w14:paraId="16FC3296" w14:textId="0CB506CD" w:rsidR="0077186D" w:rsidRDefault="005953B0">
      <w:pPr>
        <w:spacing w:before="0" w:line="240" w:lineRule="auto"/>
        <w:ind w:firstLine="720"/>
        <w:rPr>
          <w:rFonts w:ascii="Times New Roman" w:eastAsia="Times New Roman" w:hAnsi="Times New Roman" w:cs="Times New Roman"/>
          <w:color w:val="000000"/>
        </w:rPr>
      </w:pPr>
      <w:r>
        <w:rPr>
          <w:rFonts w:ascii="Times New Roman" w:eastAsia="Times New Roman" w:hAnsi="Times New Roman" w:cs="Times New Roman"/>
        </w:rPr>
        <w:t>W</w:t>
      </w:r>
      <w:r w:rsidR="00E47411">
        <w:rPr>
          <w:rFonts w:ascii="Times New Roman" w:eastAsia="Times New Roman" w:hAnsi="Times New Roman" w:cs="Times New Roman"/>
        </w:rPr>
        <w:t xml:space="preserve">e compared the HiC enhancer-promoter interactions and the interactions between eGenes and associated e/isoQTLs on enhancers with TF activity to determine a highly confident, overlapped enhancer-target-promoter linkages. In summary, there were </w:t>
      </w:r>
      <w:r w:rsidR="00E47411">
        <w:rPr>
          <w:rFonts w:ascii="Times New Roman" w:eastAsia="Times New Roman" w:hAnsi="Times New Roman" w:cs="Times New Roman"/>
          <w:color w:val="000000"/>
        </w:rPr>
        <w:t xml:space="preserve">43,181 TF-to-target and 37,052 enhancer-to-target-promoter linkages among the top 5% Elastic net regression coefficients (absolute value &gt;0.2). </w:t>
      </w:r>
      <w:r w:rsidR="00E47411">
        <w:rPr>
          <w:rFonts w:ascii="Times New Roman" w:eastAsia="Times New Roman" w:hAnsi="Times New Roman" w:cs="Times New Roman"/>
          <w:color w:val="333333"/>
        </w:rPr>
        <w:t xml:space="preserve">from at least two of these types: (i) activity relationships (~448k enhancer-to-target-promoter linkages), (ii) physical chromatin interactions (~91k Hi-C enhancer-promoter interactions), and (iii) 36,293 QTLs (e/isoQTL-SNP on brain enhancers to eGene). </w:t>
      </w:r>
      <w:r w:rsidR="00E47411">
        <w:rPr>
          <w:rFonts w:ascii="Times New Roman" w:eastAsia="Times New Roman" w:hAnsi="Times New Roman" w:cs="Times New Roman"/>
        </w:rPr>
        <w:t>Associated data files with the final, Elastic-Net-Based TF network and HiC-derived enhancer-promoter linkages are on the website (adult.psychencode.org).</w:t>
      </w:r>
    </w:p>
    <w:p w14:paraId="642D5412" w14:textId="77777777" w:rsidR="0077186D" w:rsidRDefault="00E47411">
      <w:pPr>
        <w:spacing w:line="240" w:lineRule="auto"/>
        <w:jc w:val="center"/>
        <w:rPr>
          <w:rFonts w:ascii="Arial" w:eastAsia="Arial" w:hAnsi="Arial" w:cs="Arial"/>
        </w:rPr>
      </w:pPr>
      <w:r>
        <w:rPr>
          <w:rFonts w:ascii="Arial" w:eastAsia="Arial" w:hAnsi="Arial" w:cs="Arial"/>
          <w:noProof/>
          <w:lang w:val="en-US"/>
        </w:rPr>
        <w:drawing>
          <wp:inline distT="114300" distB="114300" distL="114300" distR="114300" wp14:anchorId="03CA37F2" wp14:editId="11AC408B">
            <wp:extent cx="2033621" cy="1817624"/>
            <wp:effectExtent l="0" t="0" r="0" b="11430"/>
            <wp:docPr id="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0"/>
                    <a:srcRect r="-911"/>
                    <a:stretch>
                      <a:fillRect/>
                    </a:stretch>
                  </pic:blipFill>
                  <pic:spPr>
                    <a:xfrm>
                      <a:off x="0" y="0"/>
                      <a:ext cx="2069027" cy="1849270"/>
                    </a:xfrm>
                    <a:prstGeom prst="rect">
                      <a:avLst/>
                    </a:prstGeom>
                    <a:ln/>
                  </pic:spPr>
                </pic:pic>
              </a:graphicData>
            </a:graphic>
          </wp:inline>
        </w:drawing>
      </w:r>
    </w:p>
    <w:p w14:paraId="0B1B3448" w14:textId="17F029CF"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color w:val="000000"/>
          <w:sz w:val="18"/>
          <w:szCs w:val="18"/>
        </w:rPr>
      </w:pPr>
      <w:r w:rsidRPr="00605DD0">
        <w:rPr>
          <w:rFonts w:ascii="Helvetica" w:eastAsia="Helvetica Neue" w:hAnsi="Helvetica" w:cs="Helvetica Neue"/>
          <w:b/>
          <w:sz w:val="18"/>
          <w:szCs w:val="18"/>
        </w:rPr>
        <w:t xml:space="preserve">FIg. S6.5 Mean square error distribution of Elastic net regression predicting target gene expression from TF expression. </w:t>
      </w:r>
      <w:r w:rsidRPr="00605DD0">
        <w:rPr>
          <w:rFonts w:ascii="Helvetica" w:eastAsia="Helvetica Neue" w:hAnsi="Helvetica" w:cs="Helvetica Neue"/>
          <w:sz w:val="18"/>
          <w:szCs w:val="18"/>
        </w:rPr>
        <w:t xml:space="preserve">The x-axis is the mean square error range across protein-coding target genes. The y-axis is the density of target genes. </w:t>
      </w:r>
      <w:r w:rsidRPr="00605DD0">
        <w:rPr>
          <w:rFonts w:ascii="Helvetica" w:eastAsia="Helvetica Neue" w:hAnsi="Helvetica" w:cs="Helvetica Neue"/>
          <w:color w:val="000000"/>
          <w:sz w:val="18"/>
          <w:szCs w:val="18"/>
        </w:rPr>
        <w:t>An associated data file with the mean square error values for each gene with an Elastic Net prediction is available on the website (adult.psychencode.org)</w:t>
      </w:r>
      <w:r w:rsidRPr="00605DD0">
        <w:rPr>
          <w:rFonts w:ascii="Helvetica" w:eastAsia="Helvetica Neue" w:hAnsi="Helvetica" w:cs="Helvetica Neue"/>
          <w:sz w:val="18"/>
          <w:szCs w:val="18"/>
        </w:rPr>
        <w:t>.</w:t>
      </w:r>
    </w:p>
    <w:p w14:paraId="4EB914A3" w14:textId="77777777" w:rsidR="0077186D" w:rsidRPr="00D51A3C" w:rsidRDefault="00E47411">
      <w:pPr>
        <w:pStyle w:val="Heading1"/>
        <w:spacing w:before="200" w:after="280" w:line="276" w:lineRule="auto"/>
        <w:rPr>
          <w:rFonts w:ascii="Helvetica" w:hAnsi="Helvetica"/>
          <w:sz w:val="44"/>
          <w:szCs w:val="44"/>
        </w:rPr>
      </w:pPr>
      <w:bookmarkStart w:id="46" w:name="_akcqpb9yofno" w:colFirst="0" w:colLast="0"/>
      <w:bookmarkStart w:id="47" w:name="_hxcnrjtlqahf" w:colFirst="0" w:colLast="0"/>
      <w:bookmarkEnd w:id="46"/>
      <w:bookmarkEnd w:id="47"/>
      <w:r w:rsidRPr="00D51A3C">
        <w:rPr>
          <w:rFonts w:ascii="Helvetica" w:hAnsi="Helvetica"/>
          <w:sz w:val="44"/>
          <w:szCs w:val="44"/>
        </w:rPr>
        <w:lastRenderedPageBreak/>
        <w:t>S7. Supp. content to main text section "</w:t>
      </w:r>
      <w:r w:rsidRPr="00D51A3C">
        <w:rPr>
          <w:rFonts w:ascii="Helvetica" w:hAnsi="Helvetica"/>
          <w:sz w:val="44"/>
          <w:szCs w:val="44"/>
          <w:u w:val="single"/>
        </w:rPr>
        <w:t>Linking GWAS variants</w:t>
      </w:r>
      <w:r w:rsidRPr="00D51A3C">
        <w:rPr>
          <w:rFonts w:ascii="Helvetica" w:hAnsi="Helvetica"/>
          <w:sz w:val="44"/>
          <w:szCs w:val="44"/>
        </w:rPr>
        <w:t>"</w:t>
      </w:r>
    </w:p>
    <w:p w14:paraId="2D599732" w14:textId="77777777" w:rsidR="0077186D" w:rsidRPr="00D51A3C" w:rsidRDefault="00E47411">
      <w:pPr>
        <w:pStyle w:val="Heading2"/>
        <w:spacing w:before="200" w:after="160"/>
        <w:rPr>
          <w:rFonts w:ascii="Helvetica" w:hAnsi="Helvetica"/>
          <w:sz w:val="28"/>
          <w:szCs w:val="28"/>
        </w:rPr>
      </w:pPr>
      <w:bookmarkStart w:id="48" w:name="_vpp7hg8zcgbq" w:colFirst="0" w:colLast="0"/>
      <w:bookmarkEnd w:id="48"/>
      <w:r w:rsidRPr="00D51A3C">
        <w:rPr>
          <w:rFonts w:ascii="Helvetica" w:hAnsi="Helvetica"/>
          <w:sz w:val="28"/>
          <w:szCs w:val="28"/>
        </w:rPr>
        <w:t>S7.1 Identification of GWAS associated genes for schizophrenia</w:t>
      </w:r>
    </w:p>
    <w:p w14:paraId="610A14CE"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We used 5,996 schizophrenia (SCZ)-associated autosomal putative causal (credible) SNPs reported in the original study (Pardiñas et al., 2018</w:t>
      </w:r>
      <w:r>
        <w:rPr>
          <w:rFonts w:ascii="Times New Roman" w:eastAsia="Times New Roman" w:hAnsi="Times New Roman" w:cs="Times New Roman"/>
          <w:color w:val="575757"/>
        </w:rPr>
        <w:t>)</w:t>
      </w:r>
      <w:r>
        <w:rPr>
          <w:rFonts w:ascii="Times New Roman" w:eastAsia="Times New Roman" w:hAnsi="Times New Roman" w:cs="Times New Roman"/>
        </w:rPr>
        <w:t xml:space="preserve"> and categorized them into promoter/exonic and intergenic/intronic SNPs. Promoter/exonic SNPs were directly assigned to the target genes based on the genomic coordinates, while intergenic/intronic SNPs were annotated based on chromatin interactions and enhancer-target-gene linkages supported by activity relationships from Elastic net regression. We used promoter-based interactions defined by Hi-C and enhancer-target-gene linkages to assess whether credible SNPs reside in (1) regions that physically interact with promoters of any genes (see Section S6.3) and/or (2) enhancer regions supported by activity relationships (see Section S6.5). </w:t>
      </w:r>
    </w:p>
    <w:p w14:paraId="5ACD1327" w14:textId="77777777" w:rsidR="0077186D" w:rsidRDefault="00E47411">
      <w:pPr>
        <w:spacing w:before="0" w:line="240" w:lineRule="auto"/>
        <w:ind w:firstLine="720"/>
        <w:rPr>
          <w:rFonts w:ascii="Times New Roman" w:eastAsia="Times New Roman" w:hAnsi="Times New Roman" w:cs="Times New Roman"/>
          <w:color w:val="FF9900"/>
        </w:rPr>
      </w:pPr>
      <w:r>
        <w:rPr>
          <w:rFonts w:ascii="Times New Roman" w:eastAsia="Times New Roman" w:hAnsi="Times New Roman" w:cs="Times New Roman"/>
        </w:rPr>
        <w:t xml:space="preserve">Credible SNPs colocalize with 2,064 eQTLs associated with 282 eGenes, 91 of which overlap with those identified by the Hi-C driven approach. To confirm this overlap is mediated by the shared causal variants in GWAS and eQTLs, we performed a colocalization test (Giambartolomei et al., 2014), from which we identified 293 genes across 79 loci in which GWAS and eQTLs share causal variants. </w:t>
      </w:r>
    </w:p>
    <w:p w14:paraId="0864A3BA" w14:textId="77777777" w:rsidR="0077186D" w:rsidRDefault="00E47411">
      <w:pPr>
        <w:spacing w:before="0" w:line="240" w:lineRule="auto"/>
        <w:ind w:firstLine="720"/>
        <w:rPr>
          <w:rFonts w:ascii="Times New Roman" w:eastAsia="Times New Roman" w:hAnsi="Times New Roman" w:cs="Times New Roman"/>
          <w:color w:val="434343"/>
        </w:rPr>
      </w:pPr>
      <w:r>
        <w:rPr>
          <w:rFonts w:ascii="Times New Roman" w:eastAsia="Times New Roman" w:hAnsi="Times New Roman" w:cs="Times New Roman"/>
          <w:color w:val="434343"/>
        </w:rPr>
        <w:t xml:space="preserve">Collectively, we identified 176 genes across 83 loci from the direct assignment, 597 genes across 92 loci from the Hi-C driven approach, 388 genes across 37 loci from enhancer-target links, 293 genes across 79 loci from eQTL associations, and </w:t>
      </w:r>
      <w:r>
        <w:rPr>
          <w:rFonts w:ascii="Times New Roman" w:eastAsia="Times New Roman" w:hAnsi="Times New Roman" w:cs="Times New Roman"/>
          <w:color w:val="000000"/>
        </w:rPr>
        <w:t>29 genes across 23 loci</w:t>
      </w:r>
      <w:r>
        <w:rPr>
          <w:rFonts w:ascii="Times New Roman" w:eastAsia="Times New Roman" w:hAnsi="Times New Roman" w:cs="Times New Roman"/>
          <w:color w:val="434343"/>
        </w:rPr>
        <w:t xml:space="preserve"> from isoQTL associations. In total, this leads to 1,097 genes across 119 loci, which are referred as SCZ genes. We also selected risk genes that are identified by two or more metrics to obtain SCZ high-confidence (HC) genes (304 genes). Associated data files with the full list of 1,097 SCZ risk genes and the filtered list of 304 high-confidence SCZ genes are available on the website (adult.psychencode.org).</w:t>
      </w:r>
    </w:p>
    <w:p w14:paraId="17E9C0E8" w14:textId="77777777" w:rsidR="0077186D" w:rsidRDefault="00E47411">
      <w:pPr>
        <w:spacing w:before="0" w:line="240" w:lineRule="auto"/>
        <w:ind w:firstLine="720"/>
        <w:rPr>
          <w:rFonts w:ascii="Times New Roman" w:eastAsia="Times New Roman" w:hAnsi="Times New Roman" w:cs="Times New Roman"/>
          <w:color w:val="434343"/>
        </w:rPr>
      </w:pPr>
      <w:r>
        <w:rPr>
          <w:rFonts w:ascii="Times New Roman" w:eastAsia="Times New Roman" w:hAnsi="Times New Roman" w:cs="Times New Roman"/>
          <w:color w:val="434343"/>
        </w:rPr>
        <w:t>We compared SCZ risk genes defined by each metric (QTL=eQTL and isoQTL, Hi-C, and enhancer-target links) by performing an over-representation test. One key thing for an over-representation test is to define a background gene set, because each metric has different background genes. For example, 13,304 genes have enhancer-target links (hereby referred as E-T genes), 33,217 genes have QTLs, while Hi-C has the genome-wide search space. Therefore, we defined a background gene list by taking an intersect of eGenes and E-T genes. For each metric, we took an intersect of SCZ risk genes and the background gene set and used them for the Fisher’s exact test.</w:t>
      </w:r>
    </w:p>
    <w:p w14:paraId="7D9A4FCE"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To assess what fraction of SCZ genes have distal regulatory relationships with putative causal SNPs, we compared SCZ genes with the genes that locate within the LD regions with the index SNPs (r2&gt;0.6, includes genes partly overlapping with LDs). We also ran the colocalization test using the currently largest public dataset of eQTLs from the CMC (</w:t>
      </w:r>
      <w:r>
        <w:rPr>
          <w:rFonts w:ascii="Times New Roman" w:eastAsia="Times New Roman" w:hAnsi="Times New Roman" w:cs="Times New Roman"/>
          <w:color w:val="575757"/>
        </w:rPr>
        <w:t>Fromer et al., 2016</w:t>
      </w:r>
      <w:r>
        <w:rPr>
          <w:rFonts w:ascii="Times New Roman" w:eastAsia="Times New Roman" w:hAnsi="Times New Roman" w:cs="Times New Roman"/>
        </w:rPr>
        <w:t xml:space="preserve">), assigning 137 genes to 68 loci. Notably, our newly generated eQTLs identified twice more genes than CMC eQTLs. </w:t>
      </w:r>
    </w:p>
    <w:p w14:paraId="23F495A3" w14:textId="77777777" w:rsidR="0077186D" w:rsidRDefault="0077186D">
      <w:pPr>
        <w:spacing w:before="0" w:line="240" w:lineRule="auto"/>
        <w:ind w:firstLine="720"/>
        <w:rPr>
          <w:rFonts w:ascii="Times New Roman" w:eastAsia="Times New Roman" w:hAnsi="Times New Roman" w:cs="Times New Roman"/>
        </w:rPr>
      </w:pPr>
    </w:p>
    <w:p w14:paraId="791D552B" w14:textId="77777777" w:rsidR="0077186D" w:rsidRPr="00D51A3C" w:rsidRDefault="00E47411">
      <w:pPr>
        <w:pStyle w:val="Heading2"/>
        <w:spacing w:before="200" w:after="160"/>
        <w:rPr>
          <w:rFonts w:ascii="Helvetica" w:hAnsi="Helvetica"/>
          <w:sz w:val="28"/>
          <w:szCs w:val="28"/>
        </w:rPr>
      </w:pPr>
      <w:bookmarkStart w:id="49" w:name="_62redcq4ovm" w:colFirst="0" w:colLast="0"/>
      <w:bookmarkEnd w:id="49"/>
      <w:r w:rsidRPr="00D51A3C">
        <w:rPr>
          <w:rFonts w:ascii="Helvetica" w:hAnsi="Helvetica"/>
          <w:sz w:val="28"/>
          <w:szCs w:val="28"/>
        </w:rPr>
        <w:t>S7.2 Functional enrichment analysis</w:t>
      </w:r>
    </w:p>
    <w:p w14:paraId="75595358"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To assess whether SCZ genes and SCZ HC genes are dysregulated in neuropsychiatric disorders, we performed enrichment analysis by logistic regression on (1) differentially expressed genes (DEGs) in three types of disorders (ASD=autism spectrum disorder, SCZ=schizophrenia, BD=bipolar disorder) identified by (Gandal, M.J. et al., </w:t>
      </w:r>
      <w:r>
        <w:rPr>
          <w:rFonts w:ascii="Times New Roman" w:eastAsia="Times New Roman" w:hAnsi="Times New Roman" w:cs="Times New Roman"/>
          <w:i/>
        </w:rPr>
        <w:t>submitted</w:t>
      </w:r>
      <w:r>
        <w:rPr>
          <w:rFonts w:ascii="Times New Roman" w:eastAsia="Times New Roman" w:hAnsi="Times New Roman" w:cs="Times New Roman"/>
        </w:rPr>
        <w:t>), (2) genes affected by rare LoF variants in SCZ (TADA&lt;0.3; Singh et al., 2016), and (3) genes located in recurrent SCZ copy number variation (CNVs) (</w:t>
      </w:r>
      <w:r>
        <w:rPr>
          <w:rFonts w:ascii="Times New Roman" w:eastAsia="Times New Roman" w:hAnsi="Times New Roman" w:cs="Times New Roman"/>
          <w:color w:val="575757"/>
        </w:rPr>
        <w:t>Marshall et al., 2017</w:t>
      </w:r>
      <w:r>
        <w:rPr>
          <w:rFonts w:ascii="Times New Roman" w:eastAsia="Times New Roman" w:hAnsi="Times New Roman" w:cs="Times New Roman"/>
        </w:rPr>
        <w:t xml:space="preserve">). For the enrichment analysis on SCZ rare variants and CNVs, we used protein-coding genes for a background gene list and regressed exon lengths out. For the enrichment analysis on DEG, we used a union of eGenes and E-T genes detected in our study as a background gene list. </w:t>
      </w:r>
    </w:p>
    <w:p w14:paraId="7EDF5991" w14:textId="77777777" w:rsidR="0077186D" w:rsidRDefault="00E47411">
      <w:pPr>
        <w:spacing w:before="0" w:line="240" w:lineRule="auto"/>
        <w:ind w:firstLine="720"/>
        <w:rPr>
          <w:rFonts w:ascii="Times New Roman" w:eastAsia="Times New Roman" w:hAnsi="Times New Roman" w:cs="Times New Roman"/>
          <w:color w:val="434343"/>
        </w:rPr>
      </w:pPr>
      <w:r>
        <w:rPr>
          <w:rFonts w:ascii="Times New Roman" w:eastAsia="Times New Roman" w:hAnsi="Times New Roman" w:cs="Times New Roman"/>
          <w:color w:val="434343"/>
        </w:rPr>
        <w:t xml:space="preserve">We analyzed GO enrichment for SCZ genes and SCZ HC genes using GOElite. We used the union of detected eGenes and E-T genes as a background gene list. </w:t>
      </w:r>
    </w:p>
    <w:p w14:paraId="597C0097" w14:textId="77777777" w:rsidR="0077186D" w:rsidRDefault="00E47411">
      <w:pPr>
        <w:spacing w:before="0" w:line="240" w:lineRule="auto"/>
        <w:ind w:firstLine="720"/>
        <w:rPr>
          <w:rFonts w:ascii="Times New Roman" w:eastAsia="Times New Roman" w:hAnsi="Times New Roman" w:cs="Times New Roman"/>
          <w:color w:val="434343"/>
        </w:rPr>
      </w:pPr>
      <w:r>
        <w:rPr>
          <w:rFonts w:ascii="Times New Roman" w:eastAsia="Times New Roman" w:hAnsi="Times New Roman" w:cs="Times New Roman"/>
          <w:color w:val="434343"/>
        </w:rPr>
        <w:lastRenderedPageBreak/>
        <w:t xml:space="preserve">We used cell-level centered expression values to get average centered expression values for SCZ and SCZ HC genes in each cell type. Cell types were grouped into the clusters neurons, astrocytes, OPC, oligodendrocytes, microglia, endothelial cells, fetal neurons, and the neuronal subcluster (excitatory and inhibitory neurons) and measured relative expression levels in a given cluster by a </w:t>
      </w:r>
      <w:r>
        <w:rPr>
          <w:rFonts w:ascii="Times New Roman" w:eastAsia="Times New Roman" w:hAnsi="Times New Roman" w:cs="Times New Roman"/>
          <w:i/>
          <w:color w:val="434343"/>
        </w:rPr>
        <w:t>scale</w:t>
      </w:r>
      <w:r>
        <w:rPr>
          <w:rFonts w:ascii="Times New Roman" w:eastAsia="Times New Roman" w:hAnsi="Times New Roman" w:cs="Times New Roman"/>
          <w:color w:val="434343"/>
        </w:rPr>
        <w:t xml:space="preserve"> function in R. </w:t>
      </w:r>
    </w:p>
    <w:p w14:paraId="052F96DF" w14:textId="77777777" w:rsidR="0077186D" w:rsidRDefault="0077186D">
      <w:pPr>
        <w:spacing w:before="0" w:line="240" w:lineRule="auto"/>
        <w:ind w:firstLine="720"/>
        <w:rPr>
          <w:rFonts w:ascii="Times New Roman" w:eastAsia="Times New Roman" w:hAnsi="Times New Roman" w:cs="Times New Roman"/>
          <w:color w:val="434343"/>
        </w:rPr>
      </w:pPr>
    </w:p>
    <w:p w14:paraId="0DBB9FB6" w14:textId="77777777" w:rsidR="0077186D" w:rsidRPr="00D51A3C" w:rsidRDefault="00E47411">
      <w:pPr>
        <w:pStyle w:val="Heading2"/>
        <w:spacing w:before="200" w:after="160"/>
        <w:rPr>
          <w:rFonts w:ascii="Helvetica" w:hAnsi="Helvetica"/>
          <w:sz w:val="28"/>
          <w:szCs w:val="28"/>
        </w:rPr>
      </w:pPr>
      <w:bookmarkStart w:id="50" w:name="_hkju7gizl2cl" w:colFirst="0" w:colLast="0"/>
      <w:bookmarkEnd w:id="50"/>
      <w:r w:rsidRPr="00D51A3C">
        <w:rPr>
          <w:rFonts w:ascii="Helvetica" w:hAnsi="Helvetica"/>
          <w:sz w:val="28"/>
          <w:szCs w:val="28"/>
        </w:rPr>
        <w:t>S7.3 Identification of TFs associated with schizophrenia risk genes</w:t>
      </w:r>
    </w:p>
    <w:p w14:paraId="71EAD385"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TF-target regulatory relationships (see Section S6.5) were used to detect TFs that are enriched either in (1) promoters of SCZ genes or (2) enhancers that overlap with SCZ credible SNPs. We calculated the significance of the enrichment by P=Pbinom(k&gt;=s, n=n, p=p), when p = fraction of promoters/enhancers associated with credible SNPs, n = the number of total binding sites of a TF A (TFBSA) in promoters/enhancers, s = the number of total promoter/enhancer TFBSA associated with credible SNPs (Fig. S7.1). </w:t>
      </w:r>
    </w:p>
    <w:p w14:paraId="58C17D51" w14:textId="77777777" w:rsidR="0077186D" w:rsidRDefault="00E47411">
      <w:pPr>
        <w:spacing w:before="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For promoter enrichment, p = the number of SCZ genes / the number of genes that have TF-target-promoter links from the elastic net; s = the number of TFBSA within promoters of SCZ risk genes. For enhancer enrichment, p = the length of enhancers that harbor SCZ credible SNPs / the length of enhancers that have TF-enhancer-target links from the elastic net; s = the number of TFBSA within enhancers that harbor SCZ credible SNPs. For promoter enrichment, we calculated an enrichment P-value for each TF, which was subsequently corrected for the number of TFs bound to gene promoters. For enhancer enrichment, an enrichment P-value for each TF was subsequently corrected for the number of TFs within enhancers that harbor SCZ credible SNPs. </w:t>
      </w:r>
    </w:p>
    <w:p w14:paraId="11F16AC3" w14:textId="77777777" w:rsidR="0077186D" w:rsidRDefault="0077186D">
      <w:pPr>
        <w:spacing w:before="0" w:line="240" w:lineRule="auto"/>
        <w:ind w:firstLine="720"/>
        <w:rPr>
          <w:rFonts w:ascii="Times New Roman" w:eastAsia="Times New Roman" w:hAnsi="Times New Roman" w:cs="Times New Roman"/>
        </w:rPr>
      </w:pPr>
    </w:p>
    <w:p w14:paraId="7599889D" w14:textId="77777777" w:rsidR="0077186D" w:rsidRPr="00D51A3C" w:rsidRDefault="00E47411">
      <w:pPr>
        <w:pStyle w:val="Heading2"/>
        <w:spacing w:before="200" w:after="160"/>
        <w:rPr>
          <w:rFonts w:ascii="Helvetica" w:hAnsi="Helvetica"/>
          <w:sz w:val="28"/>
          <w:szCs w:val="28"/>
        </w:rPr>
      </w:pPr>
      <w:bookmarkStart w:id="51" w:name="_5nh6gl7cti8l" w:colFirst="0" w:colLast="0"/>
      <w:bookmarkEnd w:id="51"/>
      <w:r w:rsidRPr="00D51A3C">
        <w:rPr>
          <w:rFonts w:ascii="Helvetica" w:hAnsi="Helvetica"/>
          <w:sz w:val="28"/>
          <w:szCs w:val="28"/>
        </w:rPr>
        <w:t xml:space="preserve">S7.4 Partitioned heritability </w:t>
      </w:r>
    </w:p>
    <w:p w14:paraId="07B8272C" w14:textId="71B76730"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We assessed heritability explained by brain regulatory elements (enhancers) and variants (eQTLs) for different GWAS using partitioned LD score regression (LDSC, Finucane et al., 2015;</w:t>
      </w:r>
      <w:hyperlink r:id="rId41">
        <w:r>
          <w:rPr>
            <w:rFonts w:ascii="Times New Roman" w:eastAsia="Times New Roman" w:hAnsi="Times New Roman" w:cs="Times New Roman"/>
          </w:rPr>
          <w:t xml:space="preserve"> </w:t>
        </w:r>
      </w:hyperlink>
      <w:hyperlink r:id="rId42">
        <w:r>
          <w:rPr>
            <w:rFonts w:ascii="Times New Roman" w:eastAsia="Times New Roman" w:hAnsi="Times New Roman" w:cs="Times New Roman"/>
            <w:color w:val="1155CC"/>
            <w:u w:val="single"/>
          </w:rPr>
          <w:t>https://github.com/bulik/ldsc/wiki/Partitioned-Heritability</w:t>
        </w:r>
      </w:hyperlink>
      <w:r>
        <w:rPr>
          <w:rFonts w:ascii="Times New Roman" w:eastAsia="Times New Roman" w:hAnsi="Times New Roman" w:cs="Times New Roman"/>
        </w:rPr>
        <w:t xml:space="preserve">). We included 9 brain disorder GWAS and 3 non-brain disorder GWAS (GWAS sets and sources described below) in an attempt to test that partitioned heritability estimates of brain disorders are more strongly enriched in brain enhancers and eQTLs than in non-brain disorders. For eQTLs, we included all eQTLs in the model, since LD scores count for LD. We also used top SNPs (pruned for LD r2&gt;0.5) to ensure that the enrichment signal doesn’t come from the spurious LD structures, where we got similar enrichment results. </w:t>
      </w:r>
    </w:p>
    <w:tbl>
      <w:tblPr>
        <w:tblStyle w:val="a6"/>
        <w:tblW w:w="5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2370"/>
      </w:tblGrid>
      <w:tr w:rsidR="0077186D" w14:paraId="3CFA9E5B" w14:textId="77777777" w:rsidTr="00FC4E97">
        <w:trPr>
          <w:jc w:val="center"/>
        </w:trPr>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38239" w14:textId="77777777" w:rsidR="0077186D" w:rsidRDefault="00E47411">
            <w:pPr>
              <w:widowControl w:val="0"/>
              <w:spacing w:before="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Disorders</w:t>
            </w:r>
          </w:p>
        </w:tc>
        <w:tc>
          <w:tcPr>
            <w:tcW w:w="23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67AA3B" w14:textId="77777777" w:rsidR="0077186D" w:rsidRDefault="00E47411">
            <w:pPr>
              <w:widowControl w:val="0"/>
              <w:spacing w:before="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Source</w:t>
            </w:r>
          </w:p>
        </w:tc>
      </w:tr>
      <w:tr w:rsidR="0077186D" w14:paraId="40C7247D"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99EBE3"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ADHD</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2CFB53B5"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Demontis et al. 2017</w:t>
            </w:r>
          </w:p>
        </w:tc>
      </w:tr>
      <w:tr w:rsidR="0077186D" w14:paraId="544FE91D"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FB22B"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ASD</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64F2DE88"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Grove et al. 2017</w:t>
            </w:r>
          </w:p>
        </w:tc>
      </w:tr>
      <w:tr w:rsidR="0077186D" w14:paraId="58EFBF1F"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AED1FB"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Bipolar disorder</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05BA58DD"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Ruderfer et al. 2014</w:t>
            </w:r>
          </w:p>
        </w:tc>
      </w:tr>
      <w:tr w:rsidR="0077186D" w14:paraId="03E1079F"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83E1E1"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Depression (Broad General Practice)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5E7D3181"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Howard et al. 2017</w:t>
            </w:r>
          </w:p>
        </w:tc>
      </w:tr>
      <w:tr w:rsidR="0077186D" w14:paraId="080DDFB5"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EE10F6"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Schizophrenia</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4A0DA208"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Pardinas et al. 2018</w:t>
            </w:r>
          </w:p>
        </w:tc>
      </w:tr>
      <w:tr w:rsidR="0077186D" w14:paraId="481F8245"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4BCB38"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Educational attainment</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51BFDA1E"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Okbay et al. 2016</w:t>
            </w:r>
          </w:p>
        </w:tc>
      </w:tr>
      <w:tr w:rsidR="0077186D" w14:paraId="24463262"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D574F1"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Intelligence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46F446A0"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Sniekers et al. 2017</w:t>
            </w:r>
          </w:p>
        </w:tc>
      </w:tr>
      <w:tr w:rsidR="0077186D" w14:paraId="33A95340"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078D4E"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Alzheimer’s disease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20C4A98D"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Lambert et al. 2013</w:t>
            </w:r>
          </w:p>
        </w:tc>
      </w:tr>
      <w:tr w:rsidR="0077186D" w14:paraId="64BF093D"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EB8D9A"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Parkinson’s disease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44A40E22"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Nalls et al. 2014</w:t>
            </w:r>
          </w:p>
        </w:tc>
      </w:tr>
      <w:tr w:rsidR="0077186D" w14:paraId="054F0BD5"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D266AB"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Type 2 diabetes (T2D)</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15B96B1E"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Morris et al. 2012</w:t>
            </w:r>
          </w:p>
        </w:tc>
      </w:tr>
      <w:tr w:rsidR="0077186D" w14:paraId="145C6379"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85AB1E"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Coronary artery disease (CAD)</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57027557"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Schunkert et al. 2011</w:t>
            </w:r>
          </w:p>
        </w:tc>
      </w:tr>
      <w:tr w:rsidR="0077186D" w14:paraId="618A2F30" w14:textId="77777777" w:rsidTr="00FC4E97">
        <w:trPr>
          <w:jc w:val="center"/>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60DCC5"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Inflammatory bowl disease (IBD)</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1A0233CE" w14:textId="77777777" w:rsidR="0077186D" w:rsidRDefault="00E47411">
            <w:pPr>
              <w:widowControl w:val="0"/>
              <w:spacing w:before="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Liu et al. 2015</w:t>
            </w:r>
          </w:p>
        </w:tc>
      </w:tr>
    </w:tbl>
    <w:p w14:paraId="1AF344C3" w14:textId="22975A0A" w:rsidR="0077186D" w:rsidRPr="00FC4E97" w:rsidRDefault="00FC4E97" w:rsidP="00FC4E97">
      <w:pPr>
        <w:spacing w:before="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1D1EDCB2" wp14:editId="7DDDA694">
            <wp:extent cx="5766435" cy="70404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7.1.pdf"/>
                    <pic:cNvPicPr/>
                  </pic:nvPicPr>
                  <pic:blipFill>
                    <a:blip r:embed="rId43">
                      <a:extLst>
                        <a:ext uri="{28A0092B-C50C-407E-A947-70E740481C1C}">
                          <a14:useLocalDpi xmlns:a14="http://schemas.microsoft.com/office/drawing/2010/main" val="0"/>
                        </a:ext>
                      </a:extLst>
                    </a:blip>
                    <a:stretch>
                      <a:fillRect/>
                    </a:stretch>
                  </pic:blipFill>
                  <pic:spPr>
                    <a:xfrm>
                      <a:off x="0" y="0"/>
                      <a:ext cx="5768184" cy="7042607"/>
                    </a:xfrm>
                    <a:prstGeom prst="rect">
                      <a:avLst/>
                    </a:prstGeom>
                  </pic:spPr>
                </pic:pic>
              </a:graphicData>
            </a:graphic>
          </wp:inline>
        </w:drawing>
      </w:r>
    </w:p>
    <w:p w14:paraId="01A1B560" w14:textId="77777777" w:rsidR="0077186D" w:rsidRPr="00605DD0" w:rsidRDefault="00E47411">
      <w:pPr>
        <w:pBdr>
          <w:top w:val="single" w:sz="4" w:space="2" w:color="000000"/>
          <w:left w:val="single" w:sz="4" w:space="2" w:color="000000"/>
          <w:bottom w:val="single" w:sz="4" w:space="2" w:color="000000"/>
          <w:right w:val="single" w:sz="4" w:space="2" w:color="000000"/>
        </w:pBdr>
        <w:spacing w:before="80" w:after="120" w:line="240" w:lineRule="auto"/>
        <w:rPr>
          <w:rFonts w:ascii="Helvetica" w:eastAsia="Helvetica Neue" w:hAnsi="Helvetica" w:cs="Helvetica Neue"/>
          <w:color w:val="575757"/>
          <w:sz w:val="18"/>
          <w:szCs w:val="18"/>
        </w:rPr>
      </w:pPr>
      <w:r w:rsidRPr="00605DD0">
        <w:rPr>
          <w:rFonts w:ascii="Helvetica" w:eastAsia="Helvetica Neue" w:hAnsi="Helvetica" w:cs="Helvetica Neue"/>
          <w:b/>
          <w:color w:val="434343"/>
          <w:sz w:val="18"/>
          <w:szCs w:val="18"/>
        </w:rPr>
        <w:t xml:space="preserve">Fig. S7.1 Identification of schizophrenia risk genes. A. </w:t>
      </w:r>
      <w:r w:rsidRPr="00605DD0">
        <w:rPr>
          <w:rFonts w:ascii="Helvetica" w:eastAsia="Helvetica Neue" w:hAnsi="Helvetica" w:cs="Helvetica Neue"/>
          <w:color w:val="434343"/>
          <w:sz w:val="18"/>
          <w:szCs w:val="18"/>
        </w:rPr>
        <w:t xml:space="preserve">A schematic depicting how SCZ GWAS loci were assigned to putative genes. </w:t>
      </w:r>
      <w:r w:rsidRPr="00605DD0">
        <w:rPr>
          <w:rFonts w:ascii="Helvetica" w:eastAsia="Helvetica Neue" w:hAnsi="Helvetica" w:cs="Helvetica Neue"/>
          <w:b/>
          <w:color w:val="434343"/>
          <w:sz w:val="18"/>
          <w:szCs w:val="18"/>
        </w:rPr>
        <w:t xml:space="preserve">B. </w:t>
      </w:r>
      <w:r w:rsidRPr="00605DD0">
        <w:rPr>
          <w:rFonts w:ascii="Helvetica" w:eastAsia="Helvetica Neue" w:hAnsi="Helvetica" w:cs="Helvetica Neue"/>
          <w:color w:val="434343"/>
          <w:sz w:val="18"/>
          <w:szCs w:val="18"/>
        </w:rPr>
        <w:t xml:space="preserve">Gene ontology enrichment for SCZ-genes demonstrates that cholinergic receptors, synaptic genes, calcium channels, immune response-related genes, translational regulators, and RNA splicing regulators are associated with SCZ GWAS. </w:t>
      </w:r>
      <w:r w:rsidRPr="00605DD0">
        <w:rPr>
          <w:rFonts w:ascii="Helvetica" w:eastAsia="Helvetica Neue" w:hAnsi="Helvetica" w:cs="Helvetica Neue"/>
          <w:b/>
          <w:color w:val="434343"/>
          <w:sz w:val="18"/>
          <w:szCs w:val="18"/>
        </w:rPr>
        <w:t xml:space="preserve">C. </w:t>
      </w:r>
      <w:r w:rsidRPr="00605DD0">
        <w:rPr>
          <w:rFonts w:ascii="Helvetica" w:eastAsia="Helvetica Neue" w:hAnsi="Helvetica" w:cs="Helvetica Neue"/>
          <w:color w:val="434343"/>
          <w:sz w:val="18"/>
          <w:szCs w:val="18"/>
        </w:rPr>
        <w:t>Left, Colocalization analysis with eQTLs identified 2.13 fold more genes than the CMC eQTLs (Fromer et al., 2016</w:t>
      </w:r>
      <w:r w:rsidRPr="00605DD0">
        <w:rPr>
          <w:rFonts w:ascii="Helvetica" w:eastAsia="Helvetica Neue" w:hAnsi="Helvetica" w:cs="Helvetica Neue"/>
          <w:color w:val="575757"/>
          <w:sz w:val="18"/>
          <w:szCs w:val="18"/>
        </w:rPr>
        <w:t xml:space="preserve">). Right, Most SCZ genes (66.2%) are not located in the genome-wide significant loci (LD defined as r2&gt;0.6). </w:t>
      </w:r>
      <w:r w:rsidRPr="00605DD0">
        <w:rPr>
          <w:rFonts w:ascii="Helvetica" w:eastAsia="Helvetica Neue" w:hAnsi="Helvetica" w:cs="Helvetica Neue"/>
          <w:b/>
          <w:color w:val="575757"/>
          <w:sz w:val="18"/>
          <w:szCs w:val="18"/>
        </w:rPr>
        <w:t xml:space="preserve">D. </w:t>
      </w:r>
      <w:r w:rsidRPr="00605DD0">
        <w:rPr>
          <w:rFonts w:ascii="Helvetica" w:eastAsia="Helvetica Neue" w:hAnsi="Helvetica" w:cs="Helvetica Neue"/>
          <w:color w:val="575757"/>
          <w:sz w:val="18"/>
          <w:szCs w:val="18"/>
        </w:rPr>
        <w:t xml:space="preserve">SCZ risk genes are enriched for dysregulated genes in ASD and SCZ, genes affected by recurrent copy number variations (CNV) in SCZ (SCZ CNV), and genes intolerant to loss-of-function mutations (ExAC pLI&gt;0.9). SCZ LGD, genes that harbor likely gene disrupting (LGD) mutations in SCZ; HC, SCZ high-confidence genes; Downreg, downregulation; Upreg, upregulation. </w:t>
      </w:r>
      <w:r w:rsidRPr="00605DD0">
        <w:rPr>
          <w:rFonts w:ascii="Helvetica" w:eastAsia="Helvetica Neue" w:hAnsi="Helvetica" w:cs="Helvetica Neue"/>
          <w:b/>
          <w:color w:val="575757"/>
          <w:sz w:val="18"/>
          <w:szCs w:val="18"/>
        </w:rPr>
        <w:t xml:space="preserve">E. </w:t>
      </w:r>
      <w:r w:rsidRPr="00605DD0">
        <w:rPr>
          <w:rFonts w:ascii="Helvetica" w:eastAsia="Helvetica Neue" w:hAnsi="Helvetica" w:cs="Helvetica Neue"/>
          <w:color w:val="575757"/>
          <w:sz w:val="18"/>
          <w:szCs w:val="18"/>
        </w:rPr>
        <w:t xml:space="preserve">TFs that are significantly enriched in promoter regions of SCZ genes. </w:t>
      </w:r>
      <w:r w:rsidRPr="00605DD0">
        <w:rPr>
          <w:rFonts w:ascii="Helvetica" w:eastAsia="Helvetica Neue" w:hAnsi="Helvetica" w:cs="Helvetica Neue"/>
          <w:b/>
          <w:color w:val="575757"/>
          <w:sz w:val="18"/>
          <w:szCs w:val="18"/>
        </w:rPr>
        <w:t xml:space="preserve">F. </w:t>
      </w:r>
      <w:r w:rsidRPr="00605DD0">
        <w:rPr>
          <w:rFonts w:ascii="Helvetica" w:eastAsia="Helvetica Neue" w:hAnsi="Helvetica" w:cs="Helvetica Neue"/>
          <w:color w:val="575757"/>
          <w:sz w:val="18"/>
          <w:szCs w:val="18"/>
        </w:rPr>
        <w:t xml:space="preserve">TFs that are significantly enriched in enhancers that harbor SCZ credible SNPs. </w:t>
      </w:r>
    </w:p>
    <w:p w14:paraId="4886E0AB" w14:textId="77777777" w:rsidR="00527832" w:rsidRPr="00D51A3C" w:rsidRDefault="00527832" w:rsidP="00527832">
      <w:pPr>
        <w:pStyle w:val="Heading1"/>
        <w:spacing w:before="200" w:after="280" w:line="276" w:lineRule="auto"/>
        <w:rPr>
          <w:rFonts w:ascii="Helvetica" w:hAnsi="Helvetica"/>
          <w:sz w:val="44"/>
          <w:szCs w:val="44"/>
        </w:rPr>
      </w:pPr>
      <w:bookmarkStart w:id="52" w:name="_so0jf2c5y9wj" w:colFirst="0" w:colLast="0"/>
      <w:bookmarkEnd w:id="52"/>
      <w:r w:rsidRPr="00D51A3C">
        <w:rPr>
          <w:rFonts w:ascii="Helvetica" w:hAnsi="Helvetica"/>
          <w:sz w:val="44"/>
          <w:szCs w:val="44"/>
        </w:rPr>
        <w:lastRenderedPageBreak/>
        <w:t>S8. Supp. content to main text section "</w:t>
      </w:r>
      <w:r w:rsidRPr="00D51A3C">
        <w:rPr>
          <w:rFonts w:ascii="Helvetica" w:hAnsi="Helvetica"/>
          <w:sz w:val="44"/>
          <w:szCs w:val="44"/>
          <w:u w:val="single"/>
        </w:rPr>
        <w:t>Deep-learning model</w:t>
      </w:r>
      <w:r w:rsidRPr="00D51A3C">
        <w:rPr>
          <w:rFonts w:ascii="Helvetica" w:hAnsi="Helvetica"/>
          <w:sz w:val="44"/>
          <w:szCs w:val="44"/>
        </w:rPr>
        <w:t>”</w:t>
      </w:r>
    </w:p>
    <w:p w14:paraId="7965CBDF" w14:textId="77777777" w:rsidR="00527832" w:rsidRPr="00D51A3C" w:rsidRDefault="00527832" w:rsidP="00A2563A">
      <w:pPr>
        <w:pStyle w:val="Heading2"/>
        <w:spacing w:before="0"/>
        <w:rPr>
          <w:rFonts w:ascii="Helvetica" w:hAnsi="Helvetica"/>
          <w:sz w:val="28"/>
          <w:szCs w:val="28"/>
        </w:rPr>
      </w:pPr>
      <w:bookmarkStart w:id="53" w:name="_kcldgrmgg5x3" w:colFirst="0" w:colLast="0"/>
      <w:bookmarkEnd w:id="53"/>
      <w:r w:rsidRPr="00D51A3C">
        <w:rPr>
          <w:rFonts w:ascii="Helvetica" w:hAnsi="Helvetica"/>
          <w:sz w:val="28"/>
          <w:szCs w:val="28"/>
        </w:rPr>
        <w:t>S8.1 Data</w:t>
      </w:r>
    </w:p>
    <w:p w14:paraId="498B89BA" w14:textId="306CF924" w:rsidR="00527832" w:rsidRDefault="00527832" w:rsidP="00A2563A">
      <w:pPr>
        <w:spacing w:before="0" w:line="240" w:lineRule="auto"/>
        <w:rPr>
          <w:rFonts w:ascii="Times New Roman" w:hAnsi="Times New Roman" w:cs="Times New Roman"/>
        </w:rPr>
      </w:pPr>
      <w:r w:rsidRPr="00FC7FB5">
        <w:rPr>
          <w:rFonts w:ascii="Times New Roman" w:hAnsi="Times New Roman" w:cs="Times New Roman"/>
        </w:rPr>
        <w:t xml:space="preserve">We integrate data of the kinds described above into a single model connecting genotype, functional genomics and phenotype data from PsychENCODE in the Prefrontal Cortex.  We build separate models for the phenotypes Schizophrenia (SCZ), Bipolar disorder (BPD), Autism spectrum disorder (ASD), age (AGE), gender (GEN) and reported ethnicity (ETH).  For each phenotype, we created </w:t>
      </w:r>
      <w:r w:rsidRPr="003109EF">
        <w:rPr>
          <w:rFonts w:ascii="Times New Roman" w:hAnsi="Times New Roman" w:cs="Times New Roman"/>
        </w:rPr>
        <w:t>10 balanced train / test splits</w:t>
      </w:r>
      <w:r w:rsidRPr="00FC7FB5">
        <w:rPr>
          <w:rFonts w:ascii="Times New Roman" w:hAnsi="Times New Roman" w:cs="Times New Roman"/>
        </w:rPr>
        <w:t xml:space="preserve"> as described below, and we report the performance of all models averaged across these 10 splits of the data.  For the disease conditions, these splits contain equal numbers of cases and controls, while for age, gender and ethnicity, only control samples are used.  As inputs to the model during training, we use the imputed genotypes; intermediate phenotype data including gene expression, enhancer h3k27ac activation levels, cell fraction estimates, and co-expression module mean expression; and high-level phenotype data corresponding to the categories above.  </w:t>
      </w:r>
      <w:r>
        <w:rPr>
          <w:rFonts w:ascii="Times New Roman" w:hAnsi="Times New Roman" w:cs="Times New Roman"/>
        </w:rPr>
        <w:t>Normalization of the g</w:t>
      </w:r>
      <w:r w:rsidRPr="000172AC">
        <w:rPr>
          <w:rFonts w:ascii="Times New Roman" w:hAnsi="Times New Roman" w:cs="Times New Roman"/>
        </w:rPr>
        <w:t>ene expression and enhancer activation data was</w:t>
      </w:r>
      <w:r>
        <w:rPr>
          <w:rFonts w:ascii="Times New Roman" w:hAnsi="Times New Roman" w:cs="Times New Roman"/>
        </w:rPr>
        <w:t xml:space="preserve"> identical to that used in the</w:t>
      </w:r>
      <w:r w:rsidRPr="000172AC">
        <w:rPr>
          <w:rFonts w:ascii="Times New Roman" w:hAnsi="Times New Roman" w:cs="Times New Roman"/>
        </w:rPr>
        <w:t xml:space="preserve"> QTL calculations.</w:t>
      </w:r>
      <w:r w:rsidRPr="00FC7FB5">
        <w:rPr>
          <w:rFonts w:ascii="Times New Roman" w:hAnsi="Times New Roman" w:cs="Times New Roman"/>
        </w:rPr>
        <w:t xml:space="preserve">  Also, for the cRBM, cDBM and DSPN models, all functional genomics data was binarized by thresholding at the median value (per gene/enhancer/cell-type/module).  Further, DSPN model connectivity was constrained by using the estimated eQTLs, cQTLs and fQTLs, along with the </w:t>
      </w:r>
      <w:r>
        <w:rPr>
          <w:rFonts w:ascii="Times New Roman" w:hAnsi="Times New Roman" w:cs="Times New Roman"/>
        </w:rPr>
        <w:t>Gene Regulatory Network (</w:t>
      </w:r>
      <w:r w:rsidRPr="000172AC">
        <w:rPr>
          <w:rFonts w:ascii="Times New Roman" w:hAnsi="Times New Roman" w:cs="Times New Roman"/>
        </w:rPr>
        <w:t>GRN</w:t>
      </w:r>
      <w:r>
        <w:rPr>
          <w:rFonts w:ascii="Times New Roman" w:hAnsi="Times New Roman" w:cs="Times New Roman"/>
        </w:rPr>
        <w:t>)</w:t>
      </w:r>
      <w:r w:rsidRPr="00FC7FB5">
        <w:rPr>
          <w:rFonts w:ascii="Times New Roman" w:hAnsi="Times New Roman" w:cs="Times New Roman"/>
        </w:rPr>
        <w:t xml:space="preserve"> TF-gene and enhancer-gene linkages estimated in the elastic net analysis.</w:t>
      </w:r>
    </w:p>
    <w:p w14:paraId="5F9E99D7" w14:textId="77777777" w:rsidR="00B31588" w:rsidRDefault="00B31588" w:rsidP="00A2563A">
      <w:pPr>
        <w:spacing w:before="0" w:line="240" w:lineRule="auto"/>
        <w:rPr>
          <w:rFonts w:ascii="Times New Roman" w:hAnsi="Times New Roman" w:cs="Times New Roman"/>
        </w:rPr>
      </w:pPr>
    </w:p>
    <w:p w14:paraId="0225932C" w14:textId="77777777" w:rsidR="00A2563A" w:rsidRPr="00FC7FB5" w:rsidRDefault="00A2563A" w:rsidP="00A2563A">
      <w:pPr>
        <w:spacing w:before="0" w:line="240" w:lineRule="auto"/>
        <w:rPr>
          <w:rFonts w:ascii="Times New Roman" w:hAnsi="Times New Roman" w:cs="Times New Roman"/>
        </w:rPr>
      </w:pPr>
    </w:p>
    <w:p w14:paraId="7F5BE4F1" w14:textId="190D345E" w:rsidR="00527832" w:rsidRPr="00D51A3C" w:rsidRDefault="00527832" w:rsidP="00A2563A">
      <w:pPr>
        <w:spacing w:before="0" w:line="240" w:lineRule="auto"/>
        <w:rPr>
          <w:rFonts w:ascii="Helvetica" w:hAnsi="Helvetica" w:cs="Times New Roman"/>
          <w:b/>
        </w:rPr>
      </w:pPr>
      <w:r w:rsidRPr="00D51A3C">
        <w:rPr>
          <w:rFonts w:ascii="Helvetica" w:hAnsi="Helvetica" w:cs="Times New Roman"/>
          <w:b/>
        </w:rPr>
        <w:t>8.1.1 Balanced Datasets</w:t>
      </w:r>
    </w:p>
    <w:p w14:paraId="036AE3BF" w14:textId="7822FA56"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rPr>
        <w:t>We first describe how the balanced datasets are created for SCZ, and then describe how the balanced datasets are created for the other high-level phenotypes using a similar process with small modifications.  For SCZ, we divide the PEC data into subsets, each containing samples from a common assay (BipSeq, brainGVEX, CMC, CMC-HBCC,</w:t>
      </w:r>
      <w:r>
        <w:rPr>
          <w:rFonts w:ascii="Times New Roman" w:hAnsi="Times New Roman" w:cs="Times New Roman"/>
        </w:rPr>
        <w:t xml:space="preserve"> Libd, UCLA-ASD, Yale-ASD or GTEx</w:t>
      </w:r>
      <w:r w:rsidRPr="00FC7FB5">
        <w:rPr>
          <w:rFonts w:ascii="Times New Roman" w:hAnsi="Times New Roman" w:cs="Times New Roman"/>
        </w:rPr>
        <w:t xml:space="preserve">-DFC), the same gender (M or F), the same ethnicity (Caucasian (CC) or African American (AA), to which most samples belonged), and the same age range (1-9, 10-19, 20-29, 30-39, 40-49, 50-59, 60-69, 70-79, 80-89, 90+).  For each subset, we found all SCZ and </w:t>
      </w:r>
      <w:r w:rsidR="00B94194">
        <w:rPr>
          <w:rFonts w:ascii="Times New Roman" w:hAnsi="Times New Roman" w:cs="Times New Roman"/>
        </w:rPr>
        <w:t>control (</w:t>
      </w:r>
      <w:r w:rsidRPr="00FC7FB5">
        <w:rPr>
          <w:rFonts w:ascii="Times New Roman" w:hAnsi="Times New Roman" w:cs="Times New Roman"/>
        </w:rPr>
        <w:t>CTR</w:t>
      </w:r>
      <w:r w:rsidR="00B94194">
        <w:rPr>
          <w:rFonts w:ascii="Times New Roman" w:hAnsi="Times New Roman" w:cs="Times New Roman"/>
        </w:rPr>
        <w:t>)</w:t>
      </w:r>
      <w:r w:rsidRPr="00FC7FB5">
        <w:rPr>
          <w:rFonts w:ascii="Times New Roman" w:hAnsi="Times New Roman" w:cs="Times New Roman"/>
        </w:rPr>
        <w:t xml:space="preserve"> samples within that subset, with counts </w:t>
      </w:r>
      <m:oMath>
        <m:r>
          <w:rPr>
            <w:rFonts w:ascii="Cambria Math" w:hAnsi="Cambria Math" w:cs="Times New Roman"/>
          </w:rPr>
          <m:t>m</m:t>
        </m:r>
      </m:oMath>
      <w:r w:rsidRPr="00FC7FB5">
        <w:rPr>
          <w:rFonts w:ascii="Times New Roman" w:hAnsi="Times New Roman" w:cs="Times New Roman"/>
        </w:rPr>
        <w:t xml:space="preserve"> and </w:t>
      </w:r>
      <m:oMath>
        <m:r>
          <w:rPr>
            <w:rFonts w:ascii="Cambria Math" w:hAnsi="Cambria Math" w:cs="Times New Roman"/>
          </w:rPr>
          <m:t>n</m:t>
        </m:r>
      </m:oMath>
      <w:r w:rsidRPr="00FC7FB5">
        <w:rPr>
          <w:rFonts w:ascii="Times New Roman" w:hAnsi="Times New Roman" w:cs="Times New Roman"/>
        </w:rPr>
        <w:t xml:space="preserve"> for the number of cases and controls respectively.  We then sampled uniformly without replacement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subset</m:t>
            </m:r>
          </m:sub>
        </m:sSub>
        <m:r>
          <w:rPr>
            <w:rFonts w:ascii="Cambria Math" w:hAnsi="Cambria Math" w:cs="Times New Roman"/>
          </w:rPr>
          <m:t>=</m:t>
        </m:r>
        <m:r>
          <m:rPr>
            <m:sty m:val="p"/>
          </m:rPr>
          <w:rPr>
            <w:rFonts w:ascii="Cambria Math" w:hAnsi="Cambria Math" w:cs="Times New Roman"/>
          </w:rPr>
          <m:t>min⁡</m:t>
        </m:r>
        <m:r>
          <w:rPr>
            <w:rFonts w:ascii="Cambria Math" w:hAnsi="Cambria Math" w:cs="Times New Roman"/>
          </w:rPr>
          <m:t>(m,n)</m:t>
        </m:r>
      </m:oMath>
      <w:r w:rsidRPr="00FC7FB5">
        <w:rPr>
          <w:rFonts w:ascii="Times New Roman" w:hAnsi="Times New Roman" w:cs="Times New Roman"/>
        </w:rPr>
        <w:t xml:space="preserve"> SCZ samples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subset</m:t>
            </m:r>
          </m:sub>
        </m:sSub>
      </m:oMath>
      <w:r w:rsidRPr="00FC7FB5">
        <w:rPr>
          <w:rFonts w:ascii="Times New Roman" w:hAnsi="Times New Roman" w:cs="Times New Roman"/>
        </w:rPr>
        <w:t xml:space="preserve"> CTR samples from the subset to add to a ‘pool’ of samples for the current data split.  After having done this for all such subsets so that the pool contains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pool</m:t>
            </m:r>
          </m:sub>
        </m:sSub>
      </m:oMath>
      <w:r w:rsidRPr="00FC7FB5">
        <w:rPr>
          <w:rFonts w:ascii="Times New Roman" w:hAnsi="Times New Roman" w:cs="Times New Roman"/>
        </w:rPr>
        <w:t xml:space="preserve"> SCZ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pool</m:t>
            </m:r>
          </m:sub>
        </m:sSub>
      </m:oMath>
      <w:r w:rsidRPr="00FC7FB5">
        <w:rPr>
          <w:rFonts w:ascii="Times New Roman" w:hAnsi="Times New Roman" w:cs="Times New Roman"/>
        </w:rPr>
        <w:t xml:space="preserve"> CTR samples, we partition the case samples randomly into groups of size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split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pool</m:t>
                </m:r>
              </m:sub>
            </m:sSub>
          </m:e>
        </m:d>
      </m:oMath>
      <w:r w:rsidRPr="00FC7FB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pool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Pr="00FC7FB5">
        <w:rPr>
          <w:rFonts w:ascii="Times New Roman" w:hAnsi="Times New Roman" w:cs="Times New Roman"/>
        </w:rPr>
        <w:t xml:space="preserve"> for training and testing respectively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split</m:t>
            </m:r>
          </m:sub>
        </m:sSub>
        <m:r>
          <w:rPr>
            <w:rFonts w:ascii="Cambria Math" w:hAnsi="Cambria Math" w:cs="Times New Roman"/>
          </w:rPr>
          <m:t>=0.9</m:t>
        </m:r>
      </m:oMath>
      <w:r w:rsidRPr="00FC7FB5">
        <w:rPr>
          <w:rFonts w:ascii="Times New Roman" w:hAnsi="Times New Roman" w:cs="Times New Roman"/>
        </w:rPr>
        <w:t>), and do likewise to add equal numbers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sidRPr="00FC7FB5">
        <w:rPr>
          <w:rFonts w:ascii="Times New Roman" w:hAnsi="Times New Roman" w:cs="Times New Roman"/>
        </w:rPr>
        <w:t>) of controls to each partition.  We repeat the whole process 10 times to generate 10 data splits; the above process ensures that each training and test partition contains a 50/50 split of SCZ/CTR samples, and additionally that the distribution of covariates (assay, gender, ethnicity and age) is approximately the same for cases and controls in the training and testing partitions.</w:t>
      </w:r>
    </w:p>
    <w:p w14:paraId="0FD780DC" w14:textId="77777777" w:rsidR="00527832" w:rsidRDefault="00527832" w:rsidP="00A2563A">
      <w:pPr>
        <w:spacing w:before="0" w:line="240" w:lineRule="auto"/>
        <w:ind w:firstLine="720"/>
        <w:rPr>
          <w:rFonts w:ascii="Times New Roman" w:hAnsi="Times New Roman" w:cs="Times New Roman"/>
        </w:rPr>
      </w:pPr>
      <w:r w:rsidRPr="00FC7FB5">
        <w:rPr>
          <w:rFonts w:ascii="Times New Roman" w:hAnsi="Times New Roman" w:cs="Times New Roman"/>
        </w:rPr>
        <w:t xml:space="preserve">Exactly the same method is used to create balanced data splits for BPD.  For ASD, due to the limited number of cases, we set </w:t>
      </w:r>
      <m:oMath>
        <m:r>
          <w:rPr>
            <w:rFonts w:ascii="Cambria Math" w:hAnsi="Cambria Math" w:cs="Times New Roman"/>
          </w:rPr>
          <m:t>τ=0.8</m:t>
        </m:r>
      </m:oMath>
      <w:r w:rsidRPr="00FC7FB5">
        <w:rPr>
          <w:rFonts w:ascii="Times New Roman" w:hAnsi="Times New Roman" w:cs="Times New Roman"/>
        </w:rPr>
        <w:t xml:space="preserve">, and balance only for assay and gender (not for ethnicity and age range).  For the non-disease phenotypes (AGE, GEN and ETH), a similar method is used but with the following modifications.  Here, we use CTR samples only, and split the PEC data into subsets containing samples from a common assay, and which are matched on all covariates as above except the high-level phenotype being modeled.  Then, equal numbers of samples are randomly selected for each binary value of the modeled phenotype to be added to the training/testing partitions (respectively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Pr="00FC7FB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sidRPr="00FC7FB5">
        <w:rPr>
          <w:rFonts w:ascii="Times New Roman" w:hAnsi="Times New Roman" w:cs="Times New Roman"/>
        </w:rPr>
        <w:t xml:space="preserve"> for training and testing as above); for GEN the binary values are M/F, for ETH they are CC/AA, and for AGE we binarize the trait as 0/1 such that 1 indicates that a sample is older than the median age of 51 (NB the median age binarization is used only when AGE is the modeled phenotype; for all other phenotypes age is balanced using the decade age bins as above).  The above method generates 10 data splits each of the </w:t>
      </w:r>
      <w:r w:rsidRPr="00FC7FB5">
        <w:rPr>
          <w:rFonts w:ascii="Times New Roman" w:hAnsi="Times New Roman" w:cs="Times New Roman"/>
        </w:rPr>
        <w:lastRenderedPageBreak/>
        <w:t xml:space="preserve">following sizes (training/testing):  SCZ (640/70); BPD (170/18); </w:t>
      </w:r>
      <w:r w:rsidRPr="001C2AEA">
        <w:rPr>
          <w:rFonts w:ascii="Times New Roman" w:hAnsi="Times New Roman" w:cs="Times New Roman"/>
        </w:rPr>
        <w:t>ASD (50/12);</w:t>
      </w:r>
      <w:r w:rsidRPr="00FC7FB5">
        <w:rPr>
          <w:rFonts w:ascii="Times New Roman" w:hAnsi="Times New Roman" w:cs="Times New Roman"/>
        </w:rPr>
        <w:t xml:space="preserve"> AGE (244/26); ETH (284/30); GEN (312/34).</w:t>
      </w:r>
    </w:p>
    <w:p w14:paraId="27519ABC" w14:textId="77777777" w:rsidR="00A2563A" w:rsidRPr="00FC7FB5" w:rsidRDefault="00A2563A" w:rsidP="005A0CED">
      <w:pPr>
        <w:spacing w:before="0" w:line="240" w:lineRule="auto"/>
        <w:rPr>
          <w:rFonts w:ascii="Times New Roman" w:hAnsi="Times New Roman" w:cs="Times New Roman"/>
        </w:rPr>
      </w:pPr>
    </w:p>
    <w:p w14:paraId="59772673" w14:textId="77777777" w:rsidR="00527832" w:rsidRPr="00FC7FB5" w:rsidRDefault="00527832" w:rsidP="00A2563A">
      <w:pPr>
        <w:spacing w:before="0" w:line="240" w:lineRule="auto"/>
        <w:rPr>
          <w:rFonts w:ascii="Times New Roman" w:hAnsi="Times New Roman" w:cs="Times New Roman"/>
        </w:rPr>
      </w:pPr>
    </w:p>
    <w:p w14:paraId="4B0B0243" w14:textId="77777777" w:rsidR="00527832" w:rsidRDefault="00527832" w:rsidP="00A2563A">
      <w:pPr>
        <w:pStyle w:val="Heading2"/>
        <w:spacing w:before="0"/>
        <w:rPr>
          <w:rFonts w:ascii="Helvetica" w:hAnsi="Helvetica"/>
          <w:sz w:val="28"/>
          <w:szCs w:val="28"/>
        </w:rPr>
      </w:pPr>
      <w:r w:rsidRPr="00D51A3C">
        <w:rPr>
          <w:rFonts w:ascii="Helvetica" w:hAnsi="Helvetica"/>
          <w:sz w:val="28"/>
          <w:szCs w:val="28"/>
        </w:rPr>
        <w:t>S8.2 Model descriptions, training and inference with observed intermediate phenotypes</w:t>
      </w:r>
    </w:p>
    <w:p w14:paraId="768BC171" w14:textId="77777777" w:rsidR="00A2563A" w:rsidRPr="00A2563A" w:rsidRDefault="00A2563A" w:rsidP="00A2563A"/>
    <w:p w14:paraId="0062A12E" w14:textId="77777777" w:rsidR="00527832" w:rsidRPr="00D51A3C" w:rsidRDefault="00527832" w:rsidP="00A2563A">
      <w:pPr>
        <w:pStyle w:val="Heading2"/>
        <w:spacing w:before="0"/>
        <w:jc w:val="both"/>
        <w:rPr>
          <w:rFonts w:ascii="Helvetica" w:hAnsi="Helvetica" w:cs="Times New Roman"/>
          <w:sz w:val="22"/>
          <w:szCs w:val="22"/>
        </w:rPr>
      </w:pPr>
      <w:r w:rsidRPr="00D51A3C">
        <w:rPr>
          <w:rFonts w:ascii="Helvetica" w:hAnsi="Helvetica" w:cs="Times New Roman"/>
          <w:sz w:val="22"/>
          <w:szCs w:val="22"/>
        </w:rPr>
        <w:t>8.2.1 Logistic regression (LR)</w:t>
      </w:r>
    </w:p>
    <w:p w14:paraId="62CE1735" w14:textId="7A97F4BC" w:rsidR="00527832" w:rsidRPr="00FC7FB5" w:rsidRDefault="005203C5" w:rsidP="00A2563A">
      <w:pPr>
        <w:spacing w:before="0" w:line="240" w:lineRule="auto"/>
        <w:jc w:val="both"/>
        <w:rPr>
          <w:rFonts w:ascii="Times New Roman" w:hAnsi="Times New Roman" w:cs="Times New Roman"/>
        </w:rPr>
      </w:pPr>
      <w:r w:rsidRPr="00FC7FB5">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57B35F7" wp14:editId="0D6AC587">
                <wp:simplePos x="0" y="0"/>
                <wp:positionH relativeFrom="column">
                  <wp:posOffset>5716905</wp:posOffset>
                </wp:positionH>
                <wp:positionV relativeFrom="paragraph">
                  <wp:posOffset>145256</wp:posOffset>
                </wp:positionV>
                <wp:extent cx="163195" cy="335915"/>
                <wp:effectExtent l="0" t="0" r="14605" b="19685"/>
                <wp:wrapNone/>
                <wp:docPr id="37" name="Text Box 37"/>
                <wp:cNvGraphicFramePr/>
                <a:graphic xmlns:a="http://schemas.openxmlformats.org/drawingml/2006/main">
                  <a:graphicData uri="http://schemas.microsoft.com/office/word/2010/wordprocessingShape">
                    <wps:wsp>
                      <wps:cNvSpPr txBox="1"/>
                      <wps:spPr>
                        <a:xfrm>
                          <a:off x="0" y="0"/>
                          <a:ext cx="163195"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D8DDD" w14:textId="77777777" w:rsidR="00B31588" w:rsidRPr="005E01D8" w:rsidRDefault="00B31588" w:rsidP="00527832">
                            <w:pPr>
                              <w:rPr>
                                <w:lang w:val="en-US"/>
                              </w:rPr>
                            </w:pPr>
                            <w:r>
                              <w:rPr>
                                <w:lang w:val="en-US"/>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57B35F7" id="_x0000_t202" coordsize="21600,21600" o:spt="202" path="m,l,21600r21600,l21600,xe">
                <v:stroke joinstyle="miter"/>
                <v:path gradientshapeok="t" o:connecttype="rect"/>
              </v:shapetype>
              <v:shape id="Text Box 37" o:spid="_x0000_s1026" type="#_x0000_t202" style="position:absolute;left:0;text-align:left;margin-left:450.15pt;margin-top:11.45pt;width:12.85pt;height:26.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" filled="f" stroked="f">
                <v:textbox style="mso-fit-shape-to-text:t" inset="0,0,0,0">
                  <w:txbxContent>
                    <w:p w14:paraId="32AD8DDD" w14:textId="77777777" w:rsidR="00B31588" w:rsidRPr="005E01D8" w:rsidRDefault="00B31588" w:rsidP="00527832">
                      <w:pPr>
                        <w:rPr>
                          <w:lang w:val="en-US"/>
                        </w:rPr>
                      </w:pPr>
                      <w:r>
                        <w:rPr>
                          <w:lang w:val="en-US"/>
                        </w:rPr>
                        <w:t>(1)</w:t>
                      </w:r>
                    </w:p>
                  </w:txbxContent>
                </v:textbox>
              </v:shape>
            </w:pict>
          </mc:Fallback>
        </mc:AlternateContent>
      </w:r>
      <w:r w:rsidR="00527832" w:rsidRPr="00FC7FB5">
        <w:rPr>
          <w:rFonts w:ascii="Times New Roman" w:hAnsi="Times New Roman" w:cs="Times New Roman"/>
        </w:rPr>
        <w:t>We train LR models to predict a binary phenotype from a single level of predictors (either genotype or an intermediate phenotype).  The model has the form:</w:t>
      </w:r>
    </w:p>
    <w:p w14:paraId="175D409F" w14:textId="77777777" w:rsidR="00527832" w:rsidRPr="00FC7FB5" w:rsidRDefault="00527832" w:rsidP="00A2563A">
      <w:pPr>
        <w:spacing w:before="0" w:line="240" w:lineRule="auto"/>
        <w:jc w:val="both"/>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y=1</m:t>
              </m:r>
            </m:e>
            <m:e>
              <m:r>
                <m:rPr>
                  <m:sty m:val="b"/>
                </m:rPr>
                <w:rPr>
                  <w:rFonts w:ascii="Cambria Math" w:hAnsi="Cambria Math" w:cs="Times New Roman"/>
                </w:rPr>
                <m:t>x</m:t>
              </m:r>
            </m:e>
          </m:d>
          <m:r>
            <w:rPr>
              <w:rFonts w:ascii="Cambria Math" w:hAnsi="Cambria Math" w:cs="Times New Roman"/>
            </w:rPr>
            <m:t>=σ</m:t>
          </m:r>
          <m:d>
            <m:dPr>
              <m:ctrlPr>
                <w:rPr>
                  <w:rFonts w:ascii="Cambria Math" w:hAnsi="Cambria Math" w:cs="Times New Roman"/>
                  <w:i/>
                </w:rPr>
              </m:ctrlPr>
            </m:dPr>
            <m:e>
              <m:r>
                <m:rPr>
                  <m:sty m:val="b"/>
                </m:rPr>
                <w:rPr>
                  <w:rFonts w:ascii="Cambria Math" w:hAnsi="Cambria Math" w:cs="Times New Roman"/>
                </w:rPr>
                <m:t>w</m:t>
              </m:r>
              <m:r>
                <w:rPr>
                  <w:rFonts w:ascii="Cambria Math" w:hAnsi="Cambria Math" w:cs="Times New Roman"/>
                </w:rPr>
                <m:t>⋅</m:t>
              </m:r>
              <m:r>
                <m:rPr>
                  <m:sty m:val="b"/>
                </m:rPr>
                <w:rPr>
                  <w:rFonts w:ascii="Cambria Math" w:hAnsi="Cambria Math" w:cs="Times New Roman"/>
                </w:rPr>
                <m:t>x+</m:t>
              </m:r>
              <m:r>
                <w:rPr>
                  <w:rFonts w:ascii="Cambria Math" w:hAnsi="Cambria Math" w:cs="Times New Roman"/>
                </w:rPr>
                <m:t>b</m:t>
              </m:r>
            </m:e>
          </m:d>
          <m:r>
            <w:rPr>
              <w:rFonts w:ascii="Cambria Math" w:hAnsi="Cambria Math" w:cs="Times New Roman"/>
            </w:rPr>
            <m:t>,</m:t>
          </m:r>
        </m:oMath>
      </m:oMathPara>
    </w:p>
    <w:p w14:paraId="6F84D8FE" w14:textId="342E985D"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rPr>
        <w:t xml:space="preserve">where </w:t>
      </w:r>
      <m:oMath>
        <m:r>
          <w:rPr>
            <w:rFonts w:ascii="Cambria Math" w:hAnsi="Cambria Math" w:cs="Times New Roman"/>
          </w:rPr>
          <m:t>y</m:t>
        </m:r>
      </m:oMath>
      <w:r w:rsidRPr="00FC7FB5">
        <w:rPr>
          <w:rFonts w:ascii="Times New Roman" w:hAnsi="Times New Roman" w:cs="Times New Roman"/>
        </w:rPr>
        <w:t xml:space="preserve"> is the phenotype, </w:t>
      </w:r>
      <m:oMath>
        <m:r>
          <m:rPr>
            <m:sty m:val="b"/>
          </m:rPr>
          <w:rPr>
            <w:rFonts w:ascii="Cambria Math" w:hAnsi="Cambria Math" w:cs="Times New Roman"/>
          </w:rPr>
          <m:t>x</m:t>
        </m:r>
      </m:oMath>
      <w:r w:rsidRPr="00FC7FB5">
        <w:rPr>
          <w:rFonts w:ascii="Times New Roman" w:hAnsi="Times New Roman" w:cs="Times New Roman"/>
          <w:b/>
        </w:rPr>
        <w:t xml:space="preserve"> </w:t>
      </w:r>
      <w:r w:rsidRPr="00FC7FB5">
        <w:rPr>
          <w:rFonts w:ascii="Times New Roman" w:hAnsi="Times New Roman" w:cs="Times New Roman"/>
        </w:rPr>
        <w:t xml:space="preserve">is a vector of predictors, </w:t>
      </w:r>
      <m:oMath>
        <m:r>
          <m:rPr>
            <m:sty m:val="b"/>
          </m:rPr>
          <w:rPr>
            <w:rFonts w:ascii="Cambria Math" w:hAnsi="Cambria Math" w:cs="Times New Roman"/>
          </w:rPr>
          <m:t>w</m:t>
        </m:r>
      </m:oMath>
      <w:r w:rsidRPr="00FC7FB5">
        <w:rPr>
          <w:rFonts w:ascii="Times New Roman" w:hAnsi="Times New Roman" w:cs="Times New Roman"/>
          <w:b/>
        </w:rPr>
        <w:t xml:space="preserve"> </w:t>
      </w:r>
      <w:r w:rsidRPr="00FC7FB5">
        <w:rPr>
          <w:rFonts w:ascii="Times New Roman" w:hAnsi="Times New Roman" w:cs="Times New Roman"/>
        </w:rPr>
        <w:t xml:space="preserve">is a weight vector, </w:t>
      </w:r>
      <m:oMath>
        <m:r>
          <w:rPr>
            <w:rFonts w:ascii="Cambria Math" w:hAnsi="Cambria Math" w:cs="Times New Roman"/>
          </w:rPr>
          <m:t>b</m:t>
        </m:r>
      </m:oMath>
      <w:r w:rsidRPr="00FC7FB5">
        <w:rPr>
          <w:rFonts w:ascii="Times New Roman" w:hAnsi="Times New Roman" w:cs="Times New Roman"/>
        </w:rPr>
        <w:t xml:space="preserve"> is the bias term, and </w:t>
      </w:r>
      <m:oMath>
        <m:r>
          <w:rPr>
            <w:rFonts w:ascii="Cambria Math" w:hAnsi="Cambria Math" w:cs="Times New Roman"/>
          </w:rPr>
          <m:t>σ</m:t>
        </m:r>
      </m:oMath>
      <w:r w:rsidRPr="00FC7FB5">
        <w:rPr>
          <w:rFonts w:ascii="Times New Roman" w:hAnsi="Times New Roman" w:cs="Times New Roman"/>
        </w:rPr>
        <w:t xml:space="preserve"> is the logistic function, </w:t>
      </w:r>
      <m:oMath>
        <m:r>
          <w:rPr>
            <w:rFonts w:ascii="Cambria Math" w:hAnsi="Cambria Math" w:cs="Times New Roman"/>
          </w:rPr>
          <m:t>σ</m:t>
        </m:r>
        <m:d>
          <m:dPr>
            <m:ctrlPr>
              <w:rPr>
                <w:rFonts w:ascii="Cambria Math" w:hAnsi="Cambria Math" w:cs="Times New Roman"/>
                <w:i/>
              </w:rPr>
            </m:ctrlPr>
          </m:dPr>
          <m:e>
            <m:r>
              <w:rPr>
                <w:rFonts w:ascii="Cambria Math" w:hAnsi="Cambria Math" w:cs="Times New Roman"/>
              </w:rPr>
              <m:t>a</m:t>
            </m:r>
          </m:e>
        </m:d>
        <m:r>
          <w:rPr>
            <w:rFonts w:ascii="Cambria Math" w:hAnsi="Cambria Math" w:cs="Times New Roman"/>
          </w:rPr>
          <m:t>=1/(1+</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-a</m:t>
            </m:r>
          </m:sup>
        </m:sSup>
        <m:r>
          <w:rPr>
            <w:rFonts w:ascii="Cambria Math" w:hAnsi="Cambria Math" w:cs="Times New Roman"/>
          </w:rPr>
          <m:t>)</m:t>
        </m:r>
      </m:oMath>
      <w:r w:rsidRPr="00FC7FB5">
        <w:rPr>
          <w:rFonts w:ascii="Times New Roman" w:hAnsi="Times New Roman" w:cs="Times New Roman"/>
        </w:rPr>
        <w:t xml:space="preserve">.  Since training and test sets are both balanced, for a test sample we use the predictor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test</m:t>
            </m:r>
          </m:sub>
        </m:sSub>
        <m:r>
          <w:rPr>
            <w:rFonts w:ascii="Cambria Math" w:hAnsi="Cambria Math" w:cs="Times New Roman"/>
          </w:rPr>
          <m:t>=[</m:t>
        </m:r>
        <m:r>
          <m:rPr>
            <m:sty m:val="b"/>
          </m:rPr>
          <w:rPr>
            <w:rFonts w:ascii="Cambria Math" w:hAnsi="Cambria Math" w:cs="Times New Roman"/>
          </w:rPr>
          <m:t>w</m:t>
        </m:r>
        <m: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x</m:t>
            </m:r>
            <m:ctrlPr>
              <w:rPr>
                <w:rFonts w:ascii="Cambria Math" w:hAnsi="Cambria Math" w:cs="Times New Roman"/>
                <w:i/>
              </w:rPr>
            </m:ctrlPr>
          </m:e>
          <m:sub>
            <m:r>
              <w:rPr>
                <w:rFonts w:ascii="Cambria Math" w:hAnsi="Cambria Math" w:cs="Times New Roman"/>
              </w:rPr>
              <m:t>test</m:t>
            </m:r>
          </m:sub>
        </m:sSub>
        <m:r>
          <m:rPr>
            <m:sty m:val="b"/>
          </m:rPr>
          <w:rPr>
            <w:rFonts w:ascii="Cambria Math" w:hAnsi="Cambria Math" w:cs="Times New Roman"/>
          </w:rPr>
          <m:t>+</m:t>
        </m:r>
        <m:r>
          <w:rPr>
            <w:rFonts w:ascii="Cambria Math" w:hAnsi="Cambria Math" w:cs="Times New Roman"/>
          </w:rPr>
          <m:t>b&gt;0.5]</m:t>
        </m:r>
      </m:oMath>
      <w:r w:rsidRPr="00FC7FB5">
        <w:rPr>
          <w:rFonts w:ascii="Times New Roman" w:hAnsi="Times New Roman" w:cs="Times New Roman"/>
        </w:rPr>
        <w:t xml:space="preserve">, where </w:t>
      </w:r>
      <m:oMath>
        <m:r>
          <w:rPr>
            <w:rFonts w:ascii="Cambria Math" w:hAnsi="Cambria Math" w:cs="Times New Roman"/>
          </w:rPr>
          <m:t>[a]</m:t>
        </m:r>
      </m:oMath>
      <w:r w:rsidRPr="00FC7FB5">
        <w:rPr>
          <w:rFonts w:ascii="Times New Roman" w:hAnsi="Times New Roman" w:cs="Times New Roman"/>
        </w:rPr>
        <w:t xml:space="preserve"> is the Iverson bracket, which is 1 if </w:t>
      </w:r>
      <w:r w:rsidRPr="00FC7FB5">
        <w:rPr>
          <w:rFonts w:ascii="Times New Roman" w:hAnsi="Times New Roman" w:cs="Times New Roman"/>
          <w:i/>
        </w:rPr>
        <w:t xml:space="preserve">a </w:t>
      </w:r>
      <w:r w:rsidRPr="00FC7FB5">
        <w:rPr>
          <w:rFonts w:ascii="Times New Roman" w:hAnsi="Times New Roman" w:cs="Times New Roman"/>
        </w:rPr>
        <w:t>is true, and 0 otherwise.</w:t>
      </w:r>
    </w:p>
    <w:p w14:paraId="5685822E" w14:textId="77777777" w:rsidR="00527832" w:rsidRPr="00FC7FB5" w:rsidRDefault="00527832" w:rsidP="00A2563A">
      <w:pPr>
        <w:spacing w:before="0" w:line="240" w:lineRule="auto"/>
        <w:rPr>
          <w:rFonts w:ascii="Times New Roman" w:hAnsi="Times New Roman" w:cs="Times New Roman"/>
        </w:rPr>
      </w:pPr>
    </w:p>
    <w:p w14:paraId="5AE00CEE"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26948331" wp14:editId="76AB8D91">
                <wp:simplePos x="0" y="0"/>
                <wp:positionH relativeFrom="column">
                  <wp:posOffset>5769610</wp:posOffset>
                </wp:positionH>
                <wp:positionV relativeFrom="paragraph">
                  <wp:posOffset>222726</wp:posOffset>
                </wp:positionV>
                <wp:extent cx="277495" cy="334645"/>
                <wp:effectExtent l="0" t="0" r="1905" b="20955"/>
                <wp:wrapNone/>
                <wp:docPr id="58" name="Text Box 58"/>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51329" w14:textId="77777777" w:rsidR="00B31588" w:rsidRPr="005E01D8" w:rsidRDefault="00B31588" w:rsidP="00527832">
                            <w:pPr>
                              <w:rPr>
                                <w:lang w:val="en-US"/>
                              </w:rPr>
                            </w:pPr>
                            <w:r w:rsidRPr="001C2AEA">
                              <w:rPr>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948331" id="Text Box 58" o:spid="_x0000_s1027" type="#_x0000_t202" style="position:absolute;margin-left:454.3pt;margin-top:17.55pt;width:21.8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" filled="f" stroked="f">
                <v:textbox inset="0,0,0,0">
                  <w:txbxContent>
                    <w:p w14:paraId="68651329" w14:textId="77777777" w:rsidR="00B31588" w:rsidRPr="005E01D8" w:rsidRDefault="00B31588" w:rsidP="00527832">
                      <w:pPr>
                        <w:rPr>
                          <w:lang w:val="en-US"/>
                        </w:rPr>
                      </w:pPr>
                      <w:r w:rsidRPr="001C2AEA">
                        <w:rPr>
                          <w:lang w:val="en-US"/>
                        </w:rPr>
                        <w:t>(2)</w:t>
                      </w:r>
                    </w:p>
                  </w:txbxContent>
                </v:textbox>
              </v:shape>
            </w:pict>
          </mc:Fallback>
        </mc:AlternateContent>
      </w:r>
      <w:r w:rsidRPr="00FC7FB5">
        <w:rPr>
          <w:rFonts w:ascii="Times New Roman" w:hAnsi="Times New Roman" w:cs="Times New Roman"/>
        </w:rPr>
        <w:t>For each data split, we initially perform feature selection by calculating the correlation of each predictor with the high-level phenotype:</w:t>
      </w:r>
    </w:p>
    <w:p w14:paraId="605CE7B7" w14:textId="77777777" w:rsidR="00527832" w:rsidRPr="00FC7FB5" w:rsidRDefault="003C62F0" w:rsidP="00A2563A">
      <w:pPr>
        <w:spacing w:before="0" w:line="240" w:lineRule="auto"/>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m:t>
            </m:r>
          </m:sub>
        </m:sSub>
        <m:r>
          <w:rPr>
            <w:rFonts w:ascii="Cambria Math" w:hAnsi="Cambria Math" w:cs="Times New Roman"/>
          </w:rPr>
          <m:t>=</m:t>
        </m:r>
        <m:r>
          <m:rPr>
            <m:sty m:val="p"/>
          </m:rPr>
          <w:rPr>
            <w:rFonts w:ascii="Cambria Math" w:hAnsi="Cambria Math" w:cs="Times New Roman"/>
          </w:rPr>
          <m:t>corr</m:t>
        </m:r>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N</m:t>
                </m:r>
              </m:sub>
            </m:sSub>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1j</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Nj</m:t>
                </m:r>
              </m:sub>
            </m:sSub>
          </m:e>
        </m:d>
        <m:r>
          <w:rPr>
            <w:rFonts w:ascii="Cambria Math" w:hAnsi="Cambria Math" w:cs="Times New Roman"/>
          </w:rPr>
          <m:t>)</m:t>
        </m:r>
      </m:oMath>
      <w:r w:rsidR="00527832" w:rsidRPr="00FC7FB5">
        <w:rPr>
          <w:rFonts w:ascii="Times New Roman" w:hAnsi="Times New Roman" w:cs="Times New Roman"/>
        </w:rPr>
        <w:t>,</w:t>
      </w:r>
    </w:p>
    <w:p w14:paraId="67324ED7" w14:textId="77777777" w:rsidR="00527832" w:rsidRDefault="00527832" w:rsidP="00A2563A">
      <w:pPr>
        <w:spacing w:before="0" w:line="240" w:lineRule="auto"/>
        <w:rPr>
          <w:rFonts w:ascii="Times New Roman" w:hAnsi="Times New Roman" w:cs="Times New Roman"/>
        </w:rPr>
      </w:pPr>
      <w:r w:rsidRPr="00FC7FB5">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oMath>
      <w:r w:rsidRPr="00FC7FB5">
        <w:rPr>
          <w:rFonts w:ascii="Times New Roman" w:hAnsi="Times New Roman" w:cs="Times New Roman"/>
        </w:rPr>
        <w:t xml:space="preserve"> is the phenotype of the </w:t>
      </w:r>
      <w:r w:rsidRPr="00FC7FB5">
        <w:rPr>
          <w:rFonts w:ascii="Times New Roman" w:hAnsi="Times New Roman" w:cs="Times New Roman"/>
          <w:i/>
        </w:rPr>
        <w:t>i</w:t>
      </w:r>
      <w:r w:rsidRPr="00FC7FB5">
        <w:rPr>
          <w:rFonts w:ascii="Times New Roman" w:hAnsi="Times New Roman" w:cs="Times New Roman"/>
        </w:rPr>
        <w:t xml:space="preserve">’th training sample,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oMath>
      <w:r w:rsidRPr="00FC7FB5">
        <w:rPr>
          <w:rFonts w:ascii="Times New Roman" w:hAnsi="Times New Roman" w:cs="Times New Roman"/>
        </w:rPr>
        <w:t xml:space="preserve"> is the value of the </w:t>
      </w:r>
      <w:r w:rsidRPr="00FC7FB5">
        <w:rPr>
          <w:rFonts w:ascii="Times New Roman" w:hAnsi="Times New Roman" w:cs="Times New Roman"/>
          <w:i/>
        </w:rPr>
        <w:t>j</w:t>
      </w:r>
      <w:r w:rsidRPr="00FC7FB5">
        <w:rPr>
          <w:rFonts w:ascii="Times New Roman" w:hAnsi="Times New Roman" w:cs="Times New Roman"/>
        </w:rPr>
        <w:t xml:space="preserve">’th predictor at the </w:t>
      </w:r>
      <w:r w:rsidRPr="00FC7FB5">
        <w:rPr>
          <w:rFonts w:ascii="Times New Roman" w:hAnsi="Times New Roman" w:cs="Times New Roman"/>
          <w:i/>
        </w:rPr>
        <w:t>i</w:t>
      </w:r>
      <w:r w:rsidRPr="00FC7FB5">
        <w:rPr>
          <w:rFonts w:ascii="Times New Roman" w:hAnsi="Times New Roman" w:cs="Times New Roman"/>
        </w:rPr>
        <w:t xml:space="preserve">’th training sample, and </w:t>
      </w:r>
      <m:oMath>
        <m:r>
          <m:rPr>
            <m:sty m:val="p"/>
          </m:rPr>
          <w:rPr>
            <w:rFonts w:ascii="Cambria Math" w:hAnsi="Cambria Math" w:cs="Times New Roman"/>
          </w:rPr>
          <m:t>corr</m:t>
        </m:r>
      </m:oMath>
      <w:r w:rsidRPr="00FC7FB5">
        <w:rPr>
          <w:rFonts w:ascii="Times New Roman" w:hAnsi="Times New Roman" w:cs="Times New Roman"/>
        </w:rPr>
        <w:t xml:space="preserve"> is the Pearson correlation function, </w:t>
      </w:r>
      <m:oMath>
        <m:r>
          <m:rPr>
            <m:sty m:val="p"/>
          </m:rPr>
          <w:rPr>
            <w:rFonts w:ascii="Cambria Math" w:hAnsi="Cambria Math" w:cs="Times New Roman"/>
          </w:rPr>
          <m:t>corr</m:t>
        </m:r>
        <m:d>
          <m:dPr>
            <m:ctrlPr>
              <w:rPr>
                <w:rFonts w:ascii="Cambria Math" w:hAnsi="Cambria Math" w:cs="Times New Roman"/>
                <w:i/>
              </w:rPr>
            </m:ctrlPr>
          </m:dPr>
          <m:e>
            <m:r>
              <m:rPr>
                <m:sty m:val="b"/>
              </m:rPr>
              <w:rPr>
                <w:rFonts w:ascii="Cambria Math" w:hAnsi="Cambria Math" w:cs="Times New Roman"/>
              </w:rPr>
              <m:t>a</m:t>
            </m:r>
            <m:r>
              <w:rPr>
                <w:rFonts w:ascii="Cambria Math" w:hAnsi="Cambria Math" w:cs="Times New Roman"/>
              </w:rPr>
              <m:t>,</m:t>
            </m:r>
            <m:r>
              <m:rPr>
                <m:sty m:val="b"/>
              </m:rPr>
              <w:rPr>
                <w:rFonts w:ascii="Cambria Math" w:hAnsi="Cambria Math" w:cs="Times New Roman"/>
              </w:rPr>
              <m:t>b</m:t>
            </m:r>
          </m:e>
        </m:d>
        <m:r>
          <w:rPr>
            <w:rFonts w:ascii="Cambria Math" w:hAnsi="Cambria Math" w:cs="Times New Roman"/>
          </w:rPr>
          <m:t>=</m:t>
        </m:r>
        <m:r>
          <m:rPr>
            <m:sty m:val="b"/>
          </m:rPr>
          <w:rPr>
            <w:rFonts w:ascii="Cambria Math" w:hAnsi="Cambria Math" w:cs="Times New Roman"/>
          </w:rPr>
          <m:t>a</m:t>
        </m:r>
        <m:r>
          <w:rPr>
            <w:rFonts w:ascii="Cambria Math" w:hAnsi="Cambria Math" w:cs="Times New Roman"/>
          </w:rPr>
          <m:t>⋅</m:t>
        </m:r>
        <m:r>
          <m:rPr>
            <m:sty m:val="b"/>
          </m:rPr>
          <w:rPr>
            <w:rFonts w:ascii="Cambria Math" w:hAnsi="Cambria Math" w:cs="Times New Roman"/>
          </w:rPr>
          <m:t>b</m:t>
        </m:r>
        <m:r>
          <w:rPr>
            <w:rFonts w:ascii="Cambria Math" w:hAnsi="Cambria Math" w:cs="Times New Roman"/>
          </w:rPr>
          <m:t>/(</m:t>
        </m:r>
        <m:d>
          <m:dPr>
            <m:begChr m:val="|"/>
            <m:endChr m:val="|"/>
            <m:ctrlPr>
              <w:rPr>
                <w:rFonts w:ascii="Cambria Math" w:hAnsi="Cambria Math" w:cs="Times New Roman"/>
                <w:i/>
              </w:rPr>
            </m:ctrlPr>
          </m:dPr>
          <m:e>
            <m:d>
              <m:dPr>
                <m:begChr m:val="|"/>
                <m:endChr m:val="|"/>
                <m:ctrlPr>
                  <w:rPr>
                    <w:rFonts w:ascii="Cambria Math" w:hAnsi="Cambria Math" w:cs="Times New Roman"/>
                    <w:i/>
                  </w:rPr>
                </m:ctrlPr>
              </m:dPr>
              <m:e>
                <m:r>
                  <m:rPr>
                    <m:sty m:val="b"/>
                  </m:rPr>
                  <w:rPr>
                    <w:rFonts w:ascii="Cambria Math" w:hAnsi="Cambria Math" w:cs="Times New Roman"/>
                  </w:rPr>
                  <m:t>a</m:t>
                </m:r>
              </m:e>
            </m:d>
          </m:e>
        </m:d>
        <m:r>
          <w:rPr>
            <w:rFonts w:ascii="Cambria Math" w:hAnsi="Cambria Math" w:cs="Times New Roman"/>
          </w:rPr>
          <m:t>⋅</m:t>
        </m:r>
        <m:d>
          <m:dPr>
            <m:begChr m:val="|"/>
            <m:endChr m:val="|"/>
            <m:ctrlPr>
              <w:rPr>
                <w:rFonts w:ascii="Cambria Math" w:hAnsi="Cambria Math" w:cs="Times New Roman"/>
                <w:i/>
              </w:rPr>
            </m:ctrlPr>
          </m:dPr>
          <m:e>
            <m:d>
              <m:dPr>
                <m:begChr m:val="|"/>
                <m:endChr m:val="|"/>
                <m:ctrlPr>
                  <w:rPr>
                    <w:rFonts w:ascii="Cambria Math" w:hAnsi="Cambria Math" w:cs="Times New Roman"/>
                    <w:i/>
                  </w:rPr>
                </m:ctrlPr>
              </m:dPr>
              <m:e>
                <m:r>
                  <m:rPr>
                    <m:sty m:val="b"/>
                  </m:rPr>
                  <w:rPr>
                    <w:rFonts w:ascii="Cambria Math" w:hAnsi="Cambria Math" w:cs="Times New Roman"/>
                  </w:rPr>
                  <m:t>b</m:t>
                </m:r>
              </m:e>
            </m:d>
          </m:e>
        </m:d>
        <m:r>
          <w:rPr>
            <w:rFonts w:ascii="Cambria Math" w:hAnsi="Cambria Math" w:cs="Times New Roman"/>
          </w:rPr>
          <m:t>)</m:t>
        </m:r>
      </m:oMath>
      <w:r w:rsidRPr="00FC7FB5">
        <w:rPr>
          <w:rFonts w:ascii="Times New Roman" w:hAnsi="Times New Roman" w:cs="Times New Roman"/>
        </w:rPr>
        <w:t xml:space="preserve">.  To perform feature selection, we rank the predictors by the absolute value of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m:t>
            </m:r>
          </m:sub>
        </m:sSub>
      </m:oMath>
      <w:r w:rsidRPr="00FC7FB5">
        <w:rPr>
          <w:rFonts w:ascii="Times New Roman" w:hAnsi="Times New Roman" w:cs="Times New Roman"/>
        </w:rPr>
        <w:t xml:space="preserve"> in descending order for a given training split, and include only predictors </w:t>
      </w:r>
      <m:oMath>
        <m:r>
          <w:rPr>
            <w:rFonts w:ascii="Cambria Math" w:hAnsi="Cambria Math" w:cs="Times New Roman"/>
          </w:rPr>
          <m:t>1…</m:t>
        </m:r>
        <m:d>
          <m:dPr>
            <m:begChr m:val="⌈"/>
            <m:endChr m:val="⌉"/>
            <m:ctrlPr>
              <w:rPr>
                <w:rFonts w:ascii="Cambria Math" w:hAnsi="Cambria Math" w:cs="Times New Roman"/>
                <w:i/>
              </w:rPr>
            </m:ctrlPr>
          </m:dPr>
          <m:e>
            <m:r>
              <w:rPr>
                <w:rFonts w:ascii="Cambria Math" w:hAnsi="Cambria Math" w:cs="Times New Roman"/>
              </w:rPr>
              <m:t>πN</m:t>
            </m:r>
          </m:e>
        </m:d>
      </m:oMath>
      <w:r w:rsidRPr="00FC7FB5">
        <w:rPr>
          <w:rFonts w:ascii="Times New Roman" w:hAnsi="Times New Roman" w:cs="Times New Roman"/>
        </w:rPr>
        <w:t xml:space="preserve"> in the model for that data split. We learn two LR models for each phenotype, the first using the imputed genotypes at the eSNPs as predictors, and the second using PFC gene expression levels (transcriptome) as predictors.  We set </w:t>
      </w:r>
      <m:oMath>
        <m:r>
          <w:rPr>
            <w:rFonts w:ascii="Cambria Math" w:hAnsi="Cambria Math" w:cs="Times New Roman"/>
          </w:rPr>
          <m:t>π=0.01</m:t>
        </m:r>
      </m:oMath>
      <w:r w:rsidRPr="00FC7FB5">
        <w:rPr>
          <w:rFonts w:ascii="Times New Roman" w:hAnsi="Times New Roman" w:cs="Times New Roman"/>
        </w:rPr>
        <w:t xml:space="preserve"> and </w:t>
      </w:r>
      <m:oMath>
        <m:r>
          <w:rPr>
            <w:rFonts w:ascii="Cambria Math" w:hAnsi="Cambria Math" w:cs="Times New Roman"/>
          </w:rPr>
          <m:t>π=0.0001</m:t>
        </m:r>
      </m:oMath>
      <w:r w:rsidRPr="00FC7FB5">
        <w:rPr>
          <w:rFonts w:ascii="Times New Roman" w:hAnsi="Times New Roman" w:cs="Times New Roman"/>
        </w:rPr>
        <w:t xml:space="preserve"> for the genotype and transcriptome models respectively. For optimization, we use the Matlab Statistics and Machine Learning toolbox (glmfit).</w:t>
      </w:r>
    </w:p>
    <w:p w14:paraId="00A9E8A1" w14:textId="77777777" w:rsidR="00A2563A" w:rsidRPr="00FC7FB5" w:rsidRDefault="00A2563A" w:rsidP="00A2563A">
      <w:pPr>
        <w:spacing w:before="0" w:line="240" w:lineRule="auto"/>
        <w:rPr>
          <w:rFonts w:ascii="Times New Roman" w:hAnsi="Times New Roman" w:cs="Times New Roman"/>
        </w:rPr>
      </w:pPr>
    </w:p>
    <w:p w14:paraId="10077582" w14:textId="77777777" w:rsidR="00527832" w:rsidRPr="00FC7FB5" w:rsidRDefault="00527832" w:rsidP="00A2563A">
      <w:pPr>
        <w:spacing w:before="0" w:line="240" w:lineRule="auto"/>
        <w:rPr>
          <w:rFonts w:ascii="Times New Roman" w:hAnsi="Times New Roman" w:cs="Times New Roman"/>
          <w:sz w:val="24"/>
          <w:szCs w:val="24"/>
        </w:rPr>
      </w:pPr>
    </w:p>
    <w:p w14:paraId="0933C92E" w14:textId="77777777" w:rsidR="00527832" w:rsidRPr="00D51A3C" w:rsidRDefault="00527832" w:rsidP="00A2563A">
      <w:pPr>
        <w:spacing w:before="0" w:line="240" w:lineRule="auto"/>
        <w:rPr>
          <w:rFonts w:ascii="Helvetica" w:hAnsi="Helvetica" w:cs="Times New Roman"/>
          <w:b/>
        </w:rPr>
      </w:pPr>
      <w:r w:rsidRPr="00D51A3C">
        <w:rPr>
          <w:rFonts w:ascii="Helvetica" w:hAnsi="Helvetica" w:cs="Times New Roman"/>
          <w:b/>
        </w:rPr>
        <w:t>8.2.2 Conditional Restricted Boltzmann Machine (cRBM)</w:t>
      </w:r>
    </w:p>
    <w:p w14:paraId="22B9B218" w14:textId="48D6C9D8" w:rsidR="00527832" w:rsidRPr="00FC7FB5" w:rsidRDefault="005203C5" w:rsidP="00A2563A">
      <w:pPr>
        <w:spacing w:before="0" w:line="240" w:lineRule="auto"/>
        <w:rPr>
          <w:rFonts w:ascii="Times New Roman" w:hAnsi="Times New Roman" w:cs="Times New Roman"/>
        </w:rPr>
      </w:pPr>
      <w:r w:rsidRPr="00FC7FB5">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1BC2BC62" wp14:editId="76EB01E2">
                <wp:simplePos x="0" y="0"/>
                <wp:positionH relativeFrom="column">
                  <wp:posOffset>5770245</wp:posOffset>
                </wp:positionH>
                <wp:positionV relativeFrom="paragraph">
                  <wp:posOffset>1729422</wp:posOffset>
                </wp:positionV>
                <wp:extent cx="277495" cy="334645"/>
                <wp:effectExtent l="0" t="0" r="1905" b="20955"/>
                <wp:wrapNone/>
                <wp:docPr id="59" name="Text Box 59"/>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843128" w14:textId="77777777" w:rsidR="00B31588" w:rsidRPr="005E01D8" w:rsidRDefault="00B31588" w:rsidP="00527832">
                            <w:pPr>
                              <w:rPr>
                                <w:lang w:val="en-US"/>
                              </w:rPr>
                            </w:pPr>
                            <w:r>
                              <w:rPr>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C2BC62" id="Text Box 59" o:spid="_x0000_s1028" type="#_x0000_t202" style="position:absolute;margin-left:454.35pt;margin-top:136.15pt;width:21.85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" filled="f" stroked="f">
                <v:textbox inset="0,0,0,0">
                  <w:txbxContent>
                    <w:p w14:paraId="0B843128" w14:textId="77777777" w:rsidR="00B31588" w:rsidRPr="005E01D8" w:rsidRDefault="00B31588" w:rsidP="00527832">
                      <w:pPr>
                        <w:rPr>
                          <w:lang w:val="en-US"/>
                        </w:rPr>
                      </w:pPr>
                      <w:r>
                        <w:rPr>
                          <w:lang w:val="en-US"/>
                        </w:rPr>
                        <w:t>(3)</w:t>
                      </w:r>
                    </w:p>
                  </w:txbxContent>
                </v:textbox>
              </v:shape>
            </w:pict>
          </mc:Fallback>
        </mc:AlternateContent>
      </w:r>
      <w:r w:rsidR="00527832" w:rsidRPr="00FC7FB5">
        <w:rPr>
          <w:rFonts w:ascii="Times New Roman" w:hAnsi="Times New Roman" w:cs="Times New Roman"/>
        </w:rPr>
        <w:t xml:space="preserve">A Restricted Boltzmann Machine (RBM) models the joint distribution of a set of visible and hidden units; we will denote the visible units as </w:t>
      </w:r>
      <m:oMath>
        <m:r>
          <m:rPr>
            <m:sty m:val="b"/>
          </m:rPr>
          <w:rPr>
            <w:rFonts w:ascii="Cambria Math" w:hAnsi="Cambria Math" w:cs="Times New Roman"/>
          </w:rPr>
          <m:t>x</m:t>
        </m:r>
      </m:oMath>
      <w:r w:rsidR="00527832" w:rsidRPr="00FC7FB5">
        <w:rPr>
          <w:rFonts w:ascii="Times New Roman" w:hAnsi="Times New Roman" w:cs="Times New Roman"/>
          <w:b/>
        </w:rPr>
        <w:t xml:space="preserve"> </w:t>
      </w:r>
      <w:r w:rsidR="00527832" w:rsidRPr="00FC7FB5">
        <w:rPr>
          <w:rFonts w:ascii="Times New Roman" w:hAnsi="Times New Roman" w:cs="Times New Roman"/>
        </w:rPr>
        <w:t>and</w:t>
      </w:r>
      <w:r w:rsidR="00527832" w:rsidRPr="00FC7FB5">
        <w:rPr>
          <w:rFonts w:ascii="Times New Roman" w:hAnsi="Times New Roman" w:cs="Times New Roman"/>
          <w:b/>
        </w:rPr>
        <w:t xml:space="preserve"> </w:t>
      </w:r>
      <m:oMath>
        <m:r>
          <w:rPr>
            <w:rFonts w:ascii="Cambria Math" w:hAnsi="Cambria Math" w:cs="Times New Roman"/>
          </w:rPr>
          <m:t>y</m:t>
        </m:r>
      </m:oMath>
      <w:r w:rsidR="00527832" w:rsidRPr="00FC7FB5">
        <w:rPr>
          <w:rFonts w:ascii="Times New Roman" w:hAnsi="Times New Roman" w:cs="Times New Roman"/>
          <w:b/>
        </w:rPr>
        <w:t xml:space="preserve"> </w:t>
      </w:r>
      <w:r w:rsidR="00527832" w:rsidRPr="00FC7FB5">
        <w:rPr>
          <w:rFonts w:ascii="Times New Roman" w:hAnsi="Times New Roman" w:cs="Times New Roman"/>
        </w:rPr>
        <w:t xml:space="preserve">corresponding to the intermediate and high-level phenotypes respectively, and the hidden units as </w:t>
      </w:r>
      <m:oMath>
        <m:r>
          <m:rPr>
            <m:sty m:val="b"/>
          </m:rPr>
          <w:rPr>
            <w:rFonts w:ascii="Cambria Math" w:hAnsi="Cambria Math" w:cs="Times New Roman"/>
          </w:rPr>
          <m:t>h</m:t>
        </m:r>
      </m:oMath>
      <w:r w:rsidR="00527832" w:rsidRPr="00FC7FB5">
        <w:rPr>
          <w:rFonts w:ascii="Times New Roman" w:hAnsi="Times New Roman" w:cs="Times New Roman"/>
        </w:rPr>
        <w:t xml:space="preserve">, all of which are binary variables (multivariate in the case of </w:t>
      </w:r>
      <m:oMath>
        <m:r>
          <m:rPr>
            <m:sty m:val="b"/>
          </m:rPr>
          <w:rPr>
            <w:rFonts w:ascii="Cambria Math" w:hAnsi="Cambria Math" w:cs="Times New Roman"/>
          </w:rPr>
          <m:t>x</m:t>
        </m:r>
      </m:oMath>
      <w:r w:rsidR="00527832" w:rsidRPr="00FC7FB5">
        <w:rPr>
          <w:rFonts w:ascii="Times New Roman" w:hAnsi="Times New Roman" w:cs="Times New Roman"/>
          <w:b/>
        </w:rPr>
        <w:t xml:space="preserve"> </w:t>
      </w:r>
      <w:r w:rsidR="00527832" w:rsidRPr="00FC7FB5">
        <w:rPr>
          <w:rFonts w:ascii="Times New Roman" w:hAnsi="Times New Roman" w:cs="Times New Roman"/>
        </w:rPr>
        <w:t>and</w:t>
      </w:r>
      <w:r w:rsidR="00527832" w:rsidRPr="00FC7FB5">
        <w:rPr>
          <w:rFonts w:ascii="Times New Roman" w:hAnsi="Times New Roman" w:cs="Times New Roman"/>
          <w:b/>
        </w:rPr>
        <w:t xml:space="preserve"> </w:t>
      </w:r>
      <m:oMath>
        <m:r>
          <m:rPr>
            <m:sty m:val="b"/>
          </m:rPr>
          <w:rPr>
            <w:rFonts w:ascii="Cambria Math" w:hAnsi="Cambria Math" w:cs="Times New Roman"/>
          </w:rPr>
          <m:t>h</m:t>
        </m:r>
      </m:oMath>
      <w:r w:rsidR="00527832" w:rsidRPr="00FC7FB5">
        <w:rPr>
          <w:rFonts w:ascii="Times New Roman" w:hAnsi="Times New Roman" w:cs="Times New Roman"/>
        </w:rPr>
        <w:t>).</w:t>
      </w:r>
      <w:r w:rsidR="00527832" w:rsidRPr="00FC7FB5">
        <w:rPr>
          <w:rFonts w:ascii="Times New Roman" w:hAnsi="Times New Roman" w:cs="Times New Roman"/>
          <w:b/>
        </w:rPr>
        <w:t xml:space="preserve">  </w:t>
      </w:r>
      <w:r w:rsidR="00527832" w:rsidRPr="00FC7FB5">
        <w:rPr>
          <w:rFonts w:ascii="Times New Roman" w:hAnsi="Times New Roman" w:cs="Times New Roman"/>
        </w:rPr>
        <w:t xml:space="preserve">An RBM has the form </w:t>
      </w: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e>
        </m:d>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RBM</m:t>
                    </m:r>
                  </m:sub>
                </m:sSub>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e>
                </m:d>
              </m:e>
            </m:d>
          </m:e>
        </m:func>
        <m:r>
          <w:rPr>
            <w:rFonts w:ascii="Cambria Math" w:hAnsi="Cambria Math" w:cs="Times New Roman"/>
          </w:rPr>
          <m:t>/Z</m:t>
        </m:r>
      </m:oMath>
      <w:r w:rsidR="00527832" w:rsidRPr="00FC7FB5">
        <w:rPr>
          <w:rFonts w:ascii="Times New Roman" w:hAnsi="Times New Roman" w:cs="Times New Roman"/>
        </w:rPr>
        <w:t xml:space="preserve">, where </w:t>
      </w:r>
      <m:oMath>
        <m:r>
          <w:rPr>
            <w:rFonts w:ascii="Cambria Math" w:hAnsi="Cambria Math" w:cs="Times New Roman"/>
          </w:rPr>
          <m:t>Z</m:t>
        </m:r>
      </m:oMath>
      <w:r w:rsidR="00527832" w:rsidRPr="00FC7FB5">
        <w:rPr>
          <w:rFonts w:ascii="Times New Roman" w:hAnsi="Times New Roman" w:cs="Times New Roman"/>
        </w:rPr>
        <w:t xml:space="preserve"> is a normalizing partition function,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RBM</m:t>
            </m:r>
          </m:sub>
        </m:sSub>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e>
        </m:d>
      </m:oMath>
      <w:r w:rsidR="00527832" w:rsidRPr="00FC7FB5">
        <w:rPr>
          <w:rFonts w:ascii="Times New Roman" w:hAnsi="Times New Roman" w:cs="Times New Roman"/>
        </w:rPr>
        <w:t xml:space="preserve"> is the RBM energy function, which has the form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RBM</m:t>
            </m:r>
          </m:sub>
        </m:sSub>
        <m:d>
          <m:dPr>
            <m:ctrlPr>
              <w:rPr>
                <w:rFonts w:ascii="Cambria Math" w:hAnsi="Cambria Math" w:cs="Times New Roman"/>
                <w:i/>
              </w:rPr>
            </m:ctrlPr>
          </m:dPr>
          <m:e>
            <m:r>
              <m:rPr>
                <m:sty m:val="b"/>
              </m:rPr>
              <w:rPr>
                <w:rFonts w:ascii="Cambria Math" w:hAnsi="Cambria Math" w:cs="Times New Roman"/>
              </w:rPr>
              <m:t>x,</m:t>
            </m:r>
            <m:r>
              <w:rPr>
                <w:rFonts w:ascii="Cambria Math" w:hAnsi="Cambria Math" w:cs="Times New Roman"/>
              </w:rPr>
              <m:t>y</m:t>
            </m:r>
            <m:r>
              <m:rPr>
                <m:sty m:val="b"/>
              </m:rPr>
              <w:rPr>
                <w:rFonts w:ascii="Cambria Math" w:hAnsi="Cambria Math" w:cs="Times New Roman"/>
              </w:rPr>
              <m:t>,h</m:t>
            </m:r>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w:rPr>
                <w:rFonts w:ascii="Cambria Math" w:hAnsi="Cambria Math" w:cs="Times New Roman"/>
              </w:rPr>
              <m:t>,y</m:t>
            </m:r>
            <m:ctrlPr>
              <w:rPr>
                <w:rFonts w:ascii="Cambria Math" w:hAnsi="Cambria Math" w:cs="Times New Roman"/>
                <w:b/>
                <w:i/>
              </w:rPr>
            </m:ctrlPr>
          </m:e>
        </m:d>
        <m:r>
          <m:rPr>
            <m:sty m:val="b"/>
          </m:rPr>
          <w:rPr>
            <w:rFonts w:ascii="Cambria Math" w:hAnsi="Cambria Math" w:cs="Times New Roman"/>
          </w:rPr>
          <m:t>Wh</m:t>
        </m:r>
        <m:r>
          <m:rPr>
            <m:sty m:val="bi"/>
          </m:rP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w:rPr>
                <w:rFonts w:ascii="Cambria Math" w:hAnsi="Cambria Math" w:cs="Times New Roman"/>
              </w:rPr>
              <m:t>,y</m:t>
            </m:r>
            <m:ctrlPr>
              <w:rPr>
                <w:rFonts w:ascii="Cambria Math" w:hAnsi="Cambria Math" w:cs="Times New Roman"/>
                <w:b/>
                <w:i/>
              </w:rPr>
            </m:ctrlPr>
          </m:e>
        </m:d>
        <m:sSub>
          <m:sSubPr>
            <m:ctrlPr>
              <w:rPr>
                <w:rFonts w:ascii="Cambria Math" w:hAnsi="Cambria Math" w:cs="Times New Roman"/>
                <w:b/>
              </w:rPr>
            </m:ctrlPr>
          </m:sSubPr>
          <m:e>
            <m:r>
              <m:rPr>
                <m:sty m:val="b"/>
              </m:rPr>
              <w:rPr>
                <w:rFonts w:ascii="Cambria Math" w:hAnsi="Cambria Math" w:cs="Times New Roman"/>
              </w:rPr>
              <m:t>b</m:t>
            </m:r>
          </m:e>
          <m:sub>
            <m:r>
              <m:rPr>
                <m:sty m:val="b"/>
              </m:rPr>
              <w:rPr>
                <w:rFonts w:ascii="Cambria Math" w:hAnsi="Cambria Math" w:cs="Times New Roman"/>
              </w:rPr>
              <m:t>1</m:t>
            </m:r>
          </m:sub>
        </m:sSub>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h</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b</m:t>
            </m:r>
          </m:e>
          <m:sub>
            <m:r>
              <m:rPr>
                <m:sty m:val="b"/>
              </m:rPr>
              <w:rPr>
                <w:rFonts w:ascii="Cambria Math" w:hAnsi="Cambria Math" w:cs="Times New Roman"/>
              </w:rPr>
              <m:t>2</m:t>
            </m:r>
          </m:sub>
        </m:sSub>
      </m:oMath>
      <w:r w:rsidR="00527832" w:rsidRPr="00FC7FB5">
        <w:rPr>
          <w:rFonts w:ascii="Times New Roman" w:hAnsi="Times New Roman" w:cs="Times New Roman"/>
        </w:rPr>
        <w:t xml:space="preserve">, where </w:t>
      </w:r>
      <m:oMath>
        <m:r>
          <m:rPr>
            <m:sty m:val="b"/>
          </m:rPr>
          <w:rPr>
            <w:rFonts w:ascii="Cambria Math" w:hAnsi="Cambria Math" w:cs="Times New Roman"/>
          </w:rPr>
          <m:t>W</m:t>
        </m:r>
      </m:oMath>
      <w:r w:rsidR="00527832" w:rsidRPr="00FC7FB5">
        <w:rPr>
          <w:rFonts w:ascii="Times New Roman" w:hAnsi="Times New Roman" w:cs="Times New Roman"/>
          <w:b/>
        </w:rPr>
        <w:t xml:space="preserve"> </w:t>
      </w:r>
      <w:r w:rsidR="00527832" w:rsidRPr="00FC7FB5">
        <w:rPr>
          <w:rFonts w:ascii="Times New Roman" w:hAnsi="Times New Roman" w:cs="Times New Roman"/>
        </w:rPr>
        <w:t xml:space="preserve">is a matrix of interaction weights between the visible and hidden units, and </w:t>
      </w:r>
      <m:oMath>
        <m:sSub>
          <m:sSubPr>
            <m:ctrlPr>
              <w:rPr>
                <w:rFonts w:ascii="Cambria Math" w:hAnsi="Cambria Math" w:cs="Times New Roman"/>
                <w:b/>
              </w:rPr>
            </m:ctrlPr>
          </m:sSubPr>
          <m:e>
            <m:r>
              <m:rPr>
                <m:sty m:val="b"/>
              </m:rPr>
              <w:rPr>
                <w:rFonts w:ascii="Cambria Math" w:hAnsi="Cambria Math" w:cs="Times New Roman"/>
              </w:rPr>
              <m:t>b</m:t>
            </m:r>
          </m:e>
          <m:sub>
            <m:r>
              <m:rPr>
                <m:sty m:val="b"/>
              </m:rPr>
              <w:rPr>
                <w:rFonts w:ascii="Cambria Math" w:hAnsi="Cambria Math" w:cs="Times New Roman"/>
              </w:rPr>
              <m:t>1</m:t>
            </m:r>
          </m:sub>
        </m:sSub>
      </m:oMath>
      <w:r w:rsidR="00527832" w:rsidRPr="00FC7FB5">
        <w:rPr>
          <w:rFonts w:ascii="Times New Roman" w:hAnsi="Times New Roman" w:cs="Times New Roman"/>
          <w:b/>
        </w:rPr>
        <w:t xml:space="preserve"> </w:t>
      </w:r>
      <w:r w:rsidR="00527832" w:rsidRPr="00FC7FB5">
        <w:rPr>
          <w:rFonts w:ascii="Times New Roman" w:hAnsi="Times New Roman" w:cs="Times New Roman"/>
        </w:rPr>
        <w:t>and</w:t>
      </w:r>
      <w:r w:rsidR="00527832" w:rsidRPr="00FC7FB5">
        <w:rPr>
          <w:rFonts w:ascii="Times New Roman" w:hAnsi="Times New Roman" w:cs="Times New Roman"/>
          <w:b/>
        </w:rPr>
        <w:t xml:space="preserve"> </w:t>
      </w:r>
      <m:oMath>
        <m:sSub>
          <m:sSubPr>
            <m:ctrlPr>
              <w:rPr>
                <w:rFonts w:ascii="Cambria Math" w:hAnsi="Cambria Math" w:cs="Times New Roman"/>
                <w:b/>
              </w:rPr>
            </m:ctrlPr>
          </m:sSubPr>
          <m:e>
            <m:r>
              <m:rPr>
                <m:sty m:val="b"/>
              </m:rPr>
              <w:rPr>
                <w:rFonts w:ascii="Cambria Math" w:hAnsi="Cambria Math" w:cs="Times New Roman"/>
              </w:rPr>
              <m:t>b</m:t>
            </m:r>
          </m:e>
          <m:sub>
            <m:r>
              <m:rPr>
                <m:sty m:val="b"/>
              </m:rPr>
              <w:rPr>
                <w:rFonts w:ascii="Cambria Math" w:hAnsi="Cambria Math" w:cs="Times New Roman"/>
              </w:rPr>
              <m:t>2</m:t>
            </m:r>
          </m:sub>
        </m:sSub>
      </m:oMath>
      <w:r w:rsidR="00527832" w:rsidRPr="00FC7FB5">
        <w:rPr>
          <w:rFonts w:ascii="Times New Roman" w:hAnsi="Times New Roman" w:cs="Times New Roman"/>
          <w:b/>
        </w:rPr>
        <w:t xml:space="preserve"> </w:t>
      </w:r>
      <w:r w:rsidR="00527832" w:rsidRPr="00FC7FB5">
        <w:rPr>
          <w:rFonts w:ascii="Times New Roman" w:hAnsi="Times New Roman" w:cs="Times New Roman"/>
        </w:rPr>
        <w:t>are the visible and hidden bias terms respectively. A Conditional RBM (cRBM) models the conditional distribution of a set of visible and hidden units on a further set of</w:t>
      </w:r>
      <w:r w:rsidR="00527832">
        <w:rPr>
          <w:rFonts w:ascii="Times New Roman" w:hAnsi="Times New Roman" w:cs="Times New Roman"/>
        </w:rPr>
        <w:t xml:space="preserve"> </w:t>
      </w:r>
      <w:r w:rsidR="00527832" w:rsidRPr="00FC7FB5">
        <w:rPr>
          <w:rFonts w:ascii="Times New Roman" w:hAnsi="Times New Roman" w:cs="Times New Roman"/>
        </w:rPr>
        <w:t xml:space="preserve">conditioning (visible) units (see Mnih et al., 2012), which we will denote </w:t>
      </w:r>
      <m:oMath>
        <m:r>
          <m:rPr>
            <m:sty m:val="b"/>
          </m:rPr>
          <w:rPr>
            <w:rFonts w:ascii="Cambria Math" w:hAnsi="Cambria Math" w:cs="Times New Roman"/>
          </w:rPr>
          <m:t>z</m:t>
        </m:r>
      </m:oMath>
      <w:r w:rsidR="00527832" w:rsidRPr="00FC7FB5">
        <w:rPr>
          <w:rFonts w:ascii="Times New Roman" w:hAnsi="Times New Roman" w:cs="Times New Roman"/>
        </w:rPr>
        <w:t>, and which are assumed to be discrete:</w:t>
      </w:r>
      <w:r w:rsidR="00527832" w:rsidRPr="00FC7FB5">
        <w:rPr>
          <w:rFonts w:ascii="Times New Roman" w:hAnsi="Times New Roman" w:cs="Times New Roman"/>
          <w:noProof/>
          <w:lang w:val="en-US"/>
        </w:rPr>
        <w:t xml:space="preserve"> </w:t>
      </w:r>
    </w:p>
    <w:p w14:paraId="48F20807" w14:textId="77777777" w:rsidR="00527832" w:rsidRPr="00FC7FB5" w:rsidRDefault="00527832" w:rsidP="00A2563A">
      <w:pPr>
        <w:spacing w:before="0" w:line="240" w:lineRule="auto"/>
        <w:jc w:val="both"/>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r>
                <m:rPr>
                  <m:sty m:val="p"/>
                </m:rPr>
                <w:rPr>
                  <w:rFonts w:ascii="Cambria Math" w:hAnsi="Cambria Math" w:cs="Times New Roman"/>
                </w:rPr>
                <m:t>|</m:t>
              </m:r>
              <m:r>
                <m:rPr>
                  <m:sty m:val="b"/>
                </m:rPr>
                <w:rPr>
                  <w:rFonts w:ascii="Cambria Math" w:hAnsi="Cambria Math" w:cs="Times New Roman"/>
                </w:rPr>
                <m:t>z</m:t>
              </m:r>
            </m:e>
          </m:d>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cRBM</m:t>
                      </m:r>
                    </m:sub>
                  </m:sSub>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r>
                        <m:rPr>
                          <m:sty m:val="p"/>
                        </m:rPr>
                        <w:rPr>
                          <w:rFonts w:ascii="Cambria Math" w:hAnsi="Cambria Math" w:cs="Times New Roman"/>
                        </w:rPr>
                        <m:t>|</m:t>
                      </m:r>
                      <m:r>
                        <m:rPr>
                          <m:sty m:val="b"/>
                        </m:rPr>
                        <w:rPr>
                          <w:rFonts w:ascii="Cambria Math" w:hAnsi="Cambria Math" w:cs="Times New Roman"/>
                        </w:rPr>
                        <m:t>z</m:t>
                      </m:r>
                    </m:e>
                  </m:d>
                </m:e>
              </m:d>
            </m:e>
          </m:func>
          <m:r>
            <w:rPr>
              <w:rFonts w:ascii="Cambria Math" w:hAnsi="Cambria Math" w:cs="Times New Roman"/>
            </w:rPr>
            <m:t>/Z(</m:t>
          </m:r>
          <m:r>
            <m:rPr>
              <m:sty m:val="b"/>
            </m:rPr>
            <w:rPr>
              <w:rFonts w:ascii="Cambria Math" w:hAnsi="Cambria Math" w:cs="Times New Roman"/>
            </w:rPr>
            <m:t>z</m:t>
          </m:r>
          <m:r>
            <w:rPr>
              <w:rFonts w:ascii="Cambria Math" w:hAnsi="Cambria Math" w:cs="Times New Roman"/>
            </w:rPr>
            <m:t>),</m:t>
          </m:r>
        </m:oMath>
      </m:oMathPara>
    </w:p>
    <w:p w14:paraId="082ACF0F" w14:textId="77777777" w:rsidR="00527832" w:rsidRPr="00FC7FB5" w:rsidRDefault="003C62F0" w:rsidP="00A2563A">
      <w:pPr>
        <w:spacing w:before="0" w:line="240" w:lineRule="auto"/>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cRBM</m:t>
            </m:r>
          </m:sub>
        </m:sSub>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r>
              <m:rPr>
                <m:sty m:val="p"/>
              </m:rPr>
              <w:rPr>
                <w:rFonts w:ascii="Cambria Math" w:hAnsi="Cambria Math" w:cs="Times New Roman"/>
              </w:rPr>
              <m:t>|</m:t>
            </m:r>
            <m:r>
              <m:rPr>
                <m:sty m:val="b"/>
              </m:rPr>
              <w:rPr>
                <w:rFonts w:ascii="Cambria Math" w:hAnsi="Cambria Math" w:cs="Times New Roman"/>
              </w:rPr>
              <m:t>z</m:t>
            </m:r>
          </m:e>
        </m:d>
        <m: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r>
          <m:rPr>
            <m:sty m:val="b"/>
          </m:rPr>
          <w:rPr>
            <w:rFonts w:ascii="Cambria Math" w:hAnsi="Cambria Math" w:cs="Times New Roman"/>
          </w:rPr>
          <m:t>Vx</m:t>
        </m:r>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w:rPr>
                <w:rFonts w:ascii="Cambria Math" w:hAnsi="Cambria Math" w:cs="Times New Roman"/>
              </w:rPr>
              <m:t>,y</m:t>
            </m:r>
            <m:ctrlPr>
              <w:rPr>
                <w:rFonts w:ascii="Cambria Math" w:hAnsi="Cambria Math" w:cs="Times New Roman"/>
                <w:b/>
                <w:i/>
              </w:rPr>
            </m:ctrlPr>
          </m:e>
        </m:d>
        <m:r>
          <m:rPr>
            <m:sty m:val="b"/>
          </m:rPr>
          <w:rPr>
            <w:rFonts w:ascii="Cambria Math" w:hAnsi="Cambria Math" w:cs="Times New Roman"/>
          </w:rPr>
          <m:t>Wh</m:t>
        </m:r>
        <m:r>
          <m:rPr>
            <m:sty m:val="bi"/>
          </m:rP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w:rPr>
                <w:rFonts w:ascii="Cambria Math" w:hAnsi="Cambria Math" w:cs="Times New Roman"/>
              </w:rPr>
              <m:t>,y</m:t>
            </m:r>
            <m:ctrlPr>
              <w:rPr>
                <w:rFonts w:ascii="Cambria Math" w:hAnsi="Cambria Math" w:cs="Times New Roman"/>
                <w:b/>
                <w:i/>
              </w:rPr>
            </m:ctrlPr>
          </m:e>
        </m:d>
        <m:sSub>
          <m:sSubPr>
            <m:ctrlPr>
              <w:rPr>
                <w:rFonts w:ascii="Cambria Math" w:hAnsi="Cambria Math" w:cs="Times New Roman"/>
                <w:b/>
              </w:rPr>
            </m:ctrlPr>
          </m:sSubPr>
          <m:e>
            <m:r>
              <m:rPr>
                <m:sty m:val="b"/>
              </m:rPr>
              <w:rPr>
                <w:rFonts w:ascii="Cambria Math" w:hAnsi="Cambria Math" w:cs="Times New Roman"/>
              </w:rPr>
              <m:t>b</m:t>
            </m:r>
          </m:e>
          <m:sub>
            <m:r>
              <m:rPr>
                <m:sty m:val="b"/>
              </m:rPr>
              <w:rPr>
                <w:rFonts w:ascii="Cambria Math" w:hAnsi="Cambria Math" w:cs="Times New Roman"/>
              </w:rPr>
              <m:t>1</m:t>
            </m:r>
          </m:sub>
        </m:sSub>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h</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b</m:t>
            </m:r>
          </m:e>
          <m:sub>
            <m:r>
              <m:rPr>
                <m:sty m:val="b"/>
              </m:rPr>
              <w:rPr>
                <w:rFonts w:ascii="Cambria Math" w:hAnsi="Cambria Math" w:cs="Times New Roman"/>
              </w:rPr>
              <m:t>2</m:t>
            </m:r>
          </m:sub>
        </m:sSub>
      </m:oMath>
      <w:r w:rsidR="00527832" w:rsidRPr="00FC7FB5">
        <w:rPr>
          <w:rFonts w:ascii="Times New Roman" w:hAnsi="Times New Roman" w:cs="Times New Roman"/>
        </w:rPr>
        <w:t>,</w:t>
      </w:r>
    </w:p>
    <w:p w14:paraId="6D56361B" w14:textId="77777777" w:rsidR="00527832" w:rsidRPr="00FC7FB5" w:rsidRDefault="00527832" w:rsidP="00A2563A">
      <w:pPr>
        <w:spacing w:before="0" w:line="240" w:lineRule="auto"/>
        <w:jc w:val="both"/>
        <w:rPr>
          <w:rFonts w:ascii="Times New Roman" w:hAnsi="Times New Roman" w:cs="Times New Roman"/>
        </w:rPr>
      </w:pPr>
      <m:oMathPara>
        <m:oMath>
          <m:r>
            <w:rPr>
              <w:rFonts w:ascii="Cambria Math" w:hAnsi="Cambria Math" w:cs="Times New Roman"/>
            </w:rPr>
            <m:t>Z</m:t>
          </m:r>
          <m:d>
            <m:dPr>
              <m:ctrlPr>
                <w:rPr>
                  <w:rFonts w:ascii="Cambria Math" w:hAnsi="Cambria Math" w:cs="Times New Roman"/>
                  <w:i/>
                </w:rPr>
              </m:ctrlPr>
            </m:dPr>
            <m:e>
              <m:r>
                <m:rPr>
                  <m:sty m:val="b"/>
                </m:rPr>
                <w:rPr>
                  <w:rFonts w:ascii="Cambria Math" w:hAnsi="Cambria Math" w:cs="Times New Roman"/>
                </w:rPr>
                <m:t>z</m:t>
              </m:r>
            </m:e>
          </m:d>
          <m:r>
            <w:rPr>
              <w:rFonts w:ascii="Cambria Math" w:hAnsi="Cambria Math" w:cs="Times New Roman"/>
            </w:rPr>
            <m:t>=</m:t>
          </m:r>
          <m:nary>
            <m:naryPr>
              <m:chr m:val="∑"/>
              <m:supHide m:val="1"/>
              <m:ctrlPr>
                <w:rPr>
                  <w:rFonts w:ascii="Cambria Math" w:hAnsi="Cambria Math" w:cs="Times New Roman"/>
                  <w:i/>
                </w:rPr>
              </m:ctrlPr>
            </m:naryPr>
            <m:sub>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sub>
            <m:sup>
              <m:ctrlPr>
                <w:rPr>
                  <w:rFonts w:ascii="Cambria Math" w:hAnsi="Cambria Math" w:cs="Times New Roman"/>
                  <w:b/>
                </w:rPr>
              </m:ctrlPr>
            </m:sup>
            <m:e>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cRBM</m:t>
                          </m:r>
                        </m:sub>
                      </m:sSub>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,h</m:t>
                          </m:r>
                          <m:r>
                            <m:rPr>
                              <m:sty m:val="p"/>
                            </m:rPr>
                            <w:rPr>
                              <w:rFonts w:ascii="Cambria Math" w:hAnsi="Cambria Math" w:cs="Times New Roman"/>
                            </w:rPr>
                            <m:t>|</m:t>
                          </m:r>
                          <m:r>
                            <m:rPr>
                              <m:sty m:val="b"/>
                            </m:rPr>
                            <w:rPr>
                              <w:rFonts w:ascii="Cambria Math" w:hAnsi="Cambria Math" w:cs="Times New Roman"/>
                            </w:rPr>
                            <m:t>z</m:t>
                          </m:r>
                        </m:e>
                      </m:d>
                    </m:e>
                  </m:d>
                  <m:r>
                    <w:rPr>
                      <w:rFonts w:ascii="Cambria Math" w:hAnsi="Cambria Math" w:cs="Times New Roman"/>
                    </w:rPr>
                    <m:t>,</m:t>
                  </m:r>
                </m:e>
              </m:func>
              <m:ctrlPr>
                <w:rPr>
                  <w:rFonts w:ascii="Cambria Math" w:hAnsi="Cambria Math" w:cs="Times New Roman"/>
                  <w:b/>
                </w:rPr>
              </m:ctrlPr>
            </m:e>
          </m:nary>
          <m:r>
            <m:rPr>
              <m:sty m:val="b"/>
            </m:rPr>
            <w:rPr>
              <w:rFonts w:ascii="Cambria Math" w:hAnsi="Cambria Math" w:cs="Times New Roman"/>
            </w:rPr>
            <m:t xml:space="preserve">  </m:t>
          </m:r>
        </m:oMath>
      </m:oMathPara>
    </w:p>
    <w:p w14:paraId="1F66AAD6" w14:textId="45A0E750"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sz w:val="24"/>
          <w:szCs w:val="24"/>
        </w:rPr>
        <w:t xml:space="preserve">where </w:t>
      </w:r>
      <m:oMath>
        <m:r>
          <m:rPr>
            <m:sty m:val="b"/>
          </m:rPr>
          <w:rPr>
            <w:rFonts w:ascii="Cambria Math" w:hAnsi="Cambria Math" w:cs="Times New Roman"/>
          </w:rPr>
          <m:t>V</m:t>
        </m:r>
      </m:oMath>
      <w:r w:rsidRPr="00FC7FB5">
        <w:rPr>
          <w:rFonts w:ascii="Times New Roman" w:hAnsi="Times New Roman" w:cs="Times New Roman"/>
          <w:b/>
        </w:rPr>
        <w:t xml:space="preserve"> </w:t>
      </w:r>
      <w:r w:rsidRPr="00FC7FB5">
        <w:rPr>
          <w:rFonts w:ascii="Times New Roman" w:hAnsi="Times New Roman" w:cs="Times New Roman"/>
        </w:rPr>
        <w:t xml:space="preserve">is a matrix of interaction weights between the conditioning and visible units (which are restricted here to exclude interactions involving </w:t>
      </w:r>
      <m:oMath>
        <m:r>
          <w:rPr>
            <w:rFonts w:ascii="Cambria Math" w:hAnsi="Cambria Math" w:cs="Times New Roman"/>
          </w:rPr>
          <m:t>y</m:t>
        </m:r>
      </m:oMath>
      <w:r w:rsidRPr="00FC7FB5">
        <w:rPr>
          <w:rFonts w:ascii="Times New Roman" w:hAnsi="Times New Roman" w:cs="Times New Roman"/>
        </w:rPr>
        <w:t xml:space="preserve">, and hence model only dependencies between genotype </w:t>
      </w:r>
      <m:oMath>
        <m:r>
          <m:rPr>
            <m:sty m:val="b"/>
          </m:rPr>
          <w:rPr>
            <w:rFonts w:ascii="Cambria Math" w:hAnsi="Cambria Math" w:cs="Times New Roman"/>
          </w:rPr>
          <m:t>z</m:t>
        </m:r>
      </m:oMath>
      <w:r w:rsidRPr="00FC7FB5">
        <w:rPr>
          <w:rFonts w:ascii="Times New Roman" w:hAnsi="Times New Roman" w:cs="Times New Roman"/>
        </w:rPr>
        <w:t xml:space="preserve"> and phenotype </w:t>
      </w:r>
      <m:oMath>
        <m:r>
          <w:rPr>
            <w:rFonts w:ascii="Cambria Math" w:hAnsi="Cambria Math" w:cs="Times New Roman"/>
          </w:rPr>
          <m:t>y</m:t>
        </m:r>
      </m:oMath>
      <w:r w:rsidRPr="00FC7FB5">
        <w:rPr>
          <w:rFonts w:ascii="Times New Roman" w:hAnsi="Times New Roman" w:cs="Times New Roman"/>
        </w:rPr>
        <w:t xml:space="preserve"> which are mediated by the intermediate phenotypes </w:t>
      </w:r>
      <m:oMath>
        <m:r>
          <m:rPr>
            <m:sty m:val="b"/>
          </m:rPr>
          <w:rPr>
            <w:rFonts w:ascii="Cambria Math" w:hAnsi="Cambria Math" w:cs="Times New Roman"/>
          </w:rPr>
          <m:t>x</m:t>
        </m:r>
      </m:oMath>
      <w:r w:rsidRPr="00FC7FB5">
        <w:rPr>
          <w:rFonts w:ascii="Times New Roman" w:hAnsi="Times New Roman" w:cs="Times New Roman"/>
        </w:rPr>
        <w:t>).</w:t>
      </w:r>
    </w:p>
    <w:p w14:paraId="40B4A57D" w14:textId="4EA71460" w:rsidR="00527832" w:rsidRPr="00FC7FB5" w:rsidRDefault="00527832" w:rsidP="00A2563A">
      <w:pPr>
        <w:spacing w:before="0" w:line="240" w:lineRule="auto"/>
        <w:rPr>
          <w:rFonts w:ascii="Times New Roman" w:hAnsi="Times New Roman" w:cs="Times New Roman"/>
        </w:rPr>
      </w:pPr>
    </w:p>
    <w:p w14:paraId="6D3D8CC4"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noProof/>
          <w:lang w:val="en-US"/>
        </w:rPr>
        <w:lastRenderedPageBreak/>
        <mc:AlternateContent>
          <mc:Choice Requires="wps">
            <w:drawing>
              <wp:anchor distT="0" distB="0" distL="114300" distR="114300" simplePos="0" relativeHeight="251662336" behindDoc="0" locked="0" layoutInCell="1" allowOverlap="1" wp14:anchorId="0C2E90C8" wp14:editId="44D91CA4">
                <wp:simplePos x="0" y="0"/>
                <wp:positionH relativeFrom="column">
                  <wp:posOffset>5766435</wp:posOffset>
                </wp:positionH>
                <wp:positionV relativeFrom="paragraph">
                  <wp:posOffset>239395</wp:posOffset>
                </wp:positionV>
                <wp:extent cx="277495" cy="334645"/>
                <wp:effectExtent l="0" t="0" r="1905" b="20955"/>
                <wp:wrapNone/>
                <wp:docPr id="40" name="Text Box 40"/>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0BA155" w14:textId="77777777" w:rsidR="00B31588" w:rsidRPr="005E01D8" w:rsidRDefault="00B31588" w:rsidP="00527832">
                            <w:pPr>
                              <w:rPr>
                                <w:lang w:val="en-US"/>
                              </w:rPr>
                            </w:pPr>
                            <w:r>
                              <w:rPr>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2E90C8" id="Text Box 40" o:spid="_x0000_s1029" type="#_x0000_t202" style="position:absolute;margin-left:454.05pt;margin-top:18.85pt;width:21.85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" filled="f" stroked="f">
                <v:textbox inset="0,0,0,0">
                  <w:txbxContent>
                    <w:p w14:paraId="200BA155" w14:textId="77777777" w:rsidR="00B31588" w:rsidRPr="005E01D8" w:rsidRDefault="00B31588" w:rsidP="00527832">
                      <w:pPr>
                        <w:rPr>
                          <w:lang w:val="en-US"/>
                        </w:rPr>
                      </w:pPr>
                      <w:r>
                        <w:rPr>
                          <w:lang w:val="en-US"/>
                        </w:rPr>
                        <w:t>(4)</w:t>
                      </w:r>
                    </w:p>
                  </w:txbxContent>
                </v:textbox>
              </v:shape>
            </w:pict>
          </mc:Fallback>
        </mc:AlternateContent>
      </w:r>
      <w:r w:rsidRPr="00FC7FB5">
        <w:rPr>
          <w:rFonts w:ascii="Times New Roman" w:hAnsi="Times New Roman" w:cs="Times New Roman"/>
        </w:rPr>
        <w:t>Both the RBM and cRBM may be trained using Contrastive Divergence (CD).  In the case of the cRBM, CD finds an approximate gradient to the conditional log-likelihood of the training data:</w:t>
      </w:r>
      <w:r w:rsidRPr="00FC7FB5">
        <w:rPr>
          <w:rFonts w:ascii="Times New Roman" w:hAnsi="Times New Roman" w:cs="Times New Roman"/>
          <w:noProof/>
          <w:lang w:val="en-US"/>
        </w:rPr>
        <w:t xml:space="preserve"> </w:t>
      </w:r>
    </w:p>
    <w:p w14:paraId="6D4E2BAB" w14:textId="77777777" w:rsidR="00527832" w:rsidRPr="00FC7FB5" w:rsidRDefault="003C62F0" w:rsidP="00A2563A">
      <w:pPr>
        <w:spacing w:before="0" w:line="240" w:lineRule="auto"/>
        <w:jc w:val="both"/>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m:t>
              </m:r>
              <m:r>
                <m:rPr>
                  <m:sty m:val="p"/>
                </m:rPr>
                <w:rPr>
                  <w:rFonts w:ascii="Cambria Math" w:hAnsi="Cambria Math" w:cs="Times New Roman"/>
                </w:rPr>
                <m:t>log⁡</m:t>
              </m:r>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z</m:t>
                  </m:r>
                </m:e>
              </m:d>
              <m:r>
                <w:rPr>
                  <w:rFonts w:ascii="Cambria Math" w:hAnsi="Cambria Math" w:cs="Times New Roman"/>
                </w:rPr>
                <m:t>)</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den>
          </m:f>
          <m:r>
            <w:rPr>
              <w:rFonts w:ascii="Cambria Math" w:hAnsi="Cambria Math" w:cs="Times New Roman"/>
            </w:rPr>
            <m:t>=&lt;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r>
                <w:rPr>
                  <w:rFonts w:ascii="Cambria Math" w:hAnsi="Cambria Math" w:cs="Times New Roman"/>
                </w:rPr>
                <m:t>|</m:t>
              </m:r>
              <m:r>
                <m:rPr>
                  <m:sty m:val="b"/>
                </m:rPr>
                <w:rPr>
                  <w:rFonts w:ascii="Cambria Math" w:hAnsi="Cambria Math" w:cs="Times New Roman"/>
                </w:rPr>
                <m:t>z</m:t>
              </m:r>
              <m:r>
                <w:rPr>
                  <w:rFonts w:ascii="Cambria Math" w:hAnsi="Cambria Math" w:cs="Times New Roman"/>
                </w:rPr>
                <m:t>&gt;</m:t>
              </m:r>
            </m:e>
            <m:sub>
              <m:r>
                <w:rPr>
                  <w:rFonts w:ascii="Cambria Math" w:hAnsi="Cambria Math" w:cs="Times New Roman"/>
                </w:rPr>
                <m:t>0</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m:t>
              </m:r>
              <m:r>
                <m:rPr>
                  <m:sty m:val="b"/>
                </m:rPr>
                <w:rPr>
                  <w:rFonts w:ascii="Cambria Math" w:hAnsi="Cambria Math" w:cs="Times New Roman"/>
                </w:rPr>
                <m:t>z</m:t>
              </m:r>
              <m:r>
                <w:rPr>
                  <w:rFonts w:ascii="Cambria Math" w:hAnsi="Cambria Math" w:cs="Times New Roman"/>
                </w:rPr>
                <m:t>&gt;</m:t>
              </m:r>
            </m:e>
            <m:sub>
              <m:r>
                <w:rPr>
                  <w:rFonts w:ascii="Cambria Math" w:hAnsi="Cambria Math" w:cs="Times New Roman"/>
                </w:rPr>
                <m:t>∞</m:t>
              </m:r>
            </m:sub>
          </m:sSub>
          <m:r>
            <w:rPr>
              <w:rFonts w:ascii="Cambria Math" w:hAnsi="Cambria Math" w:cs="Times New Roman"/>
            </w:rPr>
            <m:t>≈&lt;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r>
                <w:rPr>
                  <w:rFonts w:ascii="Cambria Math" w:hAnsi="Cambria Math" w:cs="Times New Roman"/>
                </w:rPr>
                <m:t>|</m:t>
              </m:r>
              <m:r>
                <m:rPr>
                  <m:sty m:val="b"/>
                </m:rPr>
                <w:rPr>
                  <w:rFonts w:ascii="Cambria Math" w:hAnsi="Cambria Math" w:cs="Times New Roman"/>
                </w:rPr>
                <m:t>z</m:t>
              </m:r>
              <m:r>
                <w:rPr>
                  <w:rFonts w:ascii="Cambria Math" w:hAnsi="Cambria Math" w:cs="Times New Roman"/>
                </w:rPr>
                <m:t>&gt;</m:t>
              </m:r>
            </m:e>
            <m:sub>
              <m:r>
                <w:rPr>
                  <w:rFonts w:ascii="Cambria Math" w:hAnsi="Cambria Math" w:cs="Times New Roman"/>
                </w:rPr>
                <m:t>0</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m:t>
              </m:r>
              <m:r>
                <m:rPr>
                  <m:sty m:val="b"/>
                </m:rPr>
                <w:rPr>
                  <w:rFonts w:ascii="Cambria Math" w:hAnsi="Cambria Math" w:cs="Times New Roman"/>
                </w:rPr>
                <m:t>z</m:t>
              </m:r>
              <m:r>
                <w:rPr>
                  <w:rFonts w:ascii="Cambria Math" w:hAnsi="Cambria Math" w:cs="Times New Roman"/>
                </w:rPr>
                <m:t>&gt;</m:t>
              </m:r>
            </m:e>
            <m:sub>
              <m:r>
                <w:rPr>
                  <w:rFonts w:ascii="Cambria Math" w:hAnsi="Cambria Math" w:cs="Times New Roman"/>
                </w:rPr>
                <m:t>1</m:t>
              </m:r>
            </m:sub>
          </m:sSub>
          <m:r>
            <w:rPr>
              <w:rFonts w:ascii="Cambria Math" w:hAnsi="Cambria Math" w:cs="Times New Roman"/>
            </w:rPr>
            <m:t>=</m:t>
          </m:r>
          <m:r>
            <m:rPr>
              <m:sty m:val="p"/>
            </m:rPr>
            <w:rPr>
              <w:rFonts w:ascii="Cambria Math" w:hAnsi="Cambria Math" w:cs="Times New Roman"/>
            </w:rPr>
            <m:t>CD</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e>
          </m:d>
          <m:r>
            <w:rPr>
              <w:rFonts w:ascii="Cambria Math" w:hAnsi="Cambria Math" w:cs="Times New Roman"/>
            </w:rPr>
            <m:t>,</m:t>
          </m:r>
        </m:oMath>
      </m:oMathPara>
    </w:p>
    <w:p w14:paraId="6AEE31AF"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32AE36DB" wp14:editId="30701FA9">
                <wp:simplePos x="0" y="0"/>
                <wp:positionH relativeFrom="column">
                  <wp:posOffset>5765800</wp:posOffset>
                </wp:positionH>
                <wp:positionV relativeFrom="paragraph">
                  <wp:posOffset>799306</wp:posOffset>
                </wp:positionV>
                <wp:extent cx="277495" cy="334645"/>
                <wp:effectExtent l="0" t="0" r="1905" b="20955"/>
                <wp:wrapNone/>
                <wp:docPr id="61" name="Text Box 61"/>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F8EB13" w14:textId="77777777" w:rsidR="00B31588" w:rsidRPr="005E01D8" w:rsidRDefault="00B31588" w:rsidP="00527832">
                            <w:pPr>
                              <w:rPr>
                                <w:lang w:val="en-US"/>
                              </w:rPr>
                            </w:pPr>
                            <w:r>
                              <w:rPr>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AE36DB" id="Text Box 61" o:spid="_x0000_s1030" type="#_x0000_t202" style="position:absolute;margin-left:454pt;margin-top:62.95pt;width:21.85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" filled="f" stroked="f">
                <v:textbox inset="0,0,0,0">
                  <w:txbxContent>
                    <w:p w14:paraId="1AF8EB13" w14:textId="77777777" w:rsidR="00B31588" w:rsidRPr="005E01D8" w:rsidRDefault="00B31588" w:rsidP="00527832">
                      <w:pPr>
                        <w:rPr>
                          <w:lang w:val="en-US"/>
                        </w:rPr>
                      </w:pPr>
                      <w:r>
                        <w:rPr>
                          <w:lang w:val="en-US"/>
                        </w:rPr>
                        <w:t>(5)</w:t>
                      </w:r>
                    </w:p>
                  </w:txbxContent>
                </v:textbox>
              </v:shape>
            </w:pict>
          </mc:Fallback>
        </mc:AlternateContent>
      </w:r>
      <w:r w:rsidRPr="00FC7FB5">
        <w:rPr>
          <w:rFonts w:ascii="Times New Roman" w:hAnsi="Times New Roman" w:cs="Times New Roman"/>
          <w:sz w:val="24"/>
          <w:szCs w:val="24"/>
        </w:rPr>
        <w:t xml:space="preserve">where </w:t>
      </w:r>
      <m:oMath>
        <m:r>
          <w:rPr>
            <w:rFonts w:ascii="Cambria Math" w:hAnsi="Cambria Math" w:cs="Times New Roman"/>
            <w:sz w:val="24"/>
            <w:szCs w:val="24"/>
          </w:rPr>
          <m:t>&lt;a</m:t>
        </m:r>
        <m:sSub>
          <m:sSubPr>
            <m:ctrlPr>
              <w:rPr>
                <w:rFonts w:ascii="Cambria Math" w:hAnsi="Cambria Math" w:cs="Times New Roman"/>
                <w:i/>
                <w:sz w:val="24"/>
                <w:szCs w:val="24"/>
              </w:rPr>
            </m:ctrlPr>
          </m:sSubPr>
          <m:e>
            <m:r>
              <w:rPr>
                <w:rFonts w:ascii="Cambria Math" w:hAnsi="Cambria Math" w:cs="Times New Roman"/>
                <w:sz w:val="24"/>
                <w:szCs w:val="24"/>
              </w:rPr>
              <m:t>&gt;</m:t>
            </m:r>
          </m:e>
          <m:sub>
            <m:r>
              <w:rPr>
                <w:rFonts w:ascii="Cambria Math" w:hAnsi="Cambria Math" w:cs="Times New Roman"/>
                <w:sz w:val="24"/>
                <w:szCs w:val="24"/>
              </w:rPr>
              <m:t>n</m:t>
            </m:r>
          </m:sub>
        </m:sSub>
      </m:oMath>
      <w:r w:rsidRPr="00FC7FB5">
        <w:rPr>
          <w:rFonts w:ascii="Times New Roman" w:hAnsi="Times New Roman" w:cs="Times New Roman"/>
          <w:sz w:val="24"/>
          <w:szCs w:val="24"/>
        </w:rPr>
        <w:t xml:space="preserve"> denotes the expected value of </w:t>
      </w:r>
      <m:oMath>
        <m:r>
          <w:rPr>
            <w:rFonts w:ascii="Cambria Math" w:hAnsi="Cambria Math" w:cs="Times New Roman"/>
            <w:sz w:val="24"/>
            <w:szCs w:val="24"/>
          </w:rPr>
          <m:t>a</m:t>
        </m:r>
      </m:oMath>
      <w:r w:rsidRPr="00FC7FB5">
        <w:rPr>
          <w:rFonts w:ascii="Times New Roman" w:hAnsi="Times New Roman" w:cs="Times New Roman"/>
          <w:sz w:val="24"/>
          <w:szCs w:val="24"/>
        </w:rPr>
        <w:t xml:space="preserve"> after performing </w:t>
      </w:r>
      <m:oMath>
        <m:r>
          <w:rPr>
            <w:rFonts w:ascii="Cambria Math" w:hAnsi="Cambria Math" w:cs="Times New Roman"/>
            <w:sz w:val="24"/>
            <w:szCs w:val="24"/>
          </w:rPr>
          <m:t>n</m:t>
        </m:r>
      </m:oMath>
      <w:r w:rsidRPr="00FC7FB5">
        <w:rPr>
          <w:rFonts w:ascii="Times New Roman" w:hAnsi="Times New Roman" w:cs="Times New Roman"/>
          <w:sz w:val="24"/>
          <w:szCs w:val="24"/>
        </w:rPr>
        <w:t xml:space="preserve"> steps of alternating Gibbs sampling, starting with the visible units fixed to the training data</w:t>
      </w:r>
      <w:r w:rsidRPr="00FC7FB5">
        <w:rPr>
          <w:rFonts w:ascii="Times New Roman" w:hAnsi="Times New Roman" w:cs="Times New Roman"/>
        </w:rPr>
        <w:t xml:space="preserve"> (see Hinton, 2012 for the RBM case).</w:t>
      </w:r>
      <w:r w:rsidRPr="00FC7FB5">
        <w:rPr>
          <w:rFonts w:ascii="Times New Roman" w:hAnsi="Times New Roman" w:cs="Times New Roman"/>
          <w:sz w:val="24"/>
          <w:szCs w:val="24"/>
        </w:rPr>
        <w:t xml:space="preserve">  Approximate gradients for interactions involving </w:t>
      </w:r>
      <m:oMath>
        <m:r>
          <w:rPr>
            <w:rFonts w:ascii="Cambria Math" w:hAnsi="Cambria Math" w:cs="Times New Roman"/>
            <w:sz w:val="24"/>
            <w:szCs w:val="24"/>
          </w:rPr>
          <m:t>y</m:t>
        </m:r>
      </m:oMath>
      <w:r w:rsidRPr="00FC7FB5">
        <w:rPr>
          <w:rFonts w:ascii="Times New Roman" w:hAnsi="Times New Roman" w:cs="Times New Roman"/>
          <w:sz w:val="24"/>
          <w:szCs w:val="24"/>
        </w:rPr>
        <w:t xml:space="preserve"> and </w:t>
      </w:r>
      <m:oMath>
        <m:r>
          <m:rPr>
            <m:sty m:val="b"/>
          </m:rPr>
          <w:rPr>
            <w:rFonts w:ascii="Cambria Math" w:hAnsi="Cambria Math" w:cs="Times New Roman"/>
          </w:rPr>
          <m:t>z</m:t>
        </m:r>
      </m:oMath>
      <w:r w:rsidRPr="00FC7FB5">
        <w:rPr>
          <w:rFonts w:ascii="Times New Roman" w:hAnsi="Times New Roman" w:cs="Times New Roman"/>
        </w:rPr>
        <w:t xml:space="preserve"> and the bias terms may be found similarly by estimating the expected statistics for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y</m:t>
        </m:r>
      </m:oMath>
      <w:r w:rsidRPr="00FC7FB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m:t>
            </m:r>
          </m:sub>
        </m:sSub>
      </m:oMath>
      <w:r w:rsidRPr="00FC7FB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Pr="00FC7FB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oMath>
      <w:r w:rsidRPr="00FC7FB5">
        <w:rPr>
          <w:rFonts w:ascii="Times New Roman" w:hAnsi="Times New Roman" w:cs="Times New Roman"/>
        </w:rPr>
        <w:t xml:space="preserve"> after one step of alternating Gibbs sampling.  The step size for the change in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oMath>
      <w:r w:rsidRPr="00FC7FB5">
        <w:rPr>
          <w:rFonts w:ascii="Times New Roman" w:hAnsi="Times New Roman" w:cs="Times New Roman"/>
        </w:rPr>
        <w:t xml:space="preserve"> at iteration </w:t>
      </w:r>
      <m:oMath>
        <m:r>
          <w:rPr>
            <w:rFonts w:ascii="Cambria Math" w:hAnsi="Cambria Math" w:cs="Times New Roman"/>
          </w:rPr>
          <m:t>t</m:t>
        </m:r>
      </m:oMath>
      <w:r w:rsidRPr="00FC7FB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t</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e>
        </m:d>
      </m:oMath>
      <w:r w:rsidRPr="00FC7FB5">
        <w:rPr>
          <w:rFonts w:ascii="Times New Roman" w:hAnsi="Times New Roman" w:cs="Times New Roman"/>
        </w:rPr>
        <w:t>, may then be calculated as:</w:t>
      </w:r>
      <w:r w:rsidRPr="00FC7FB5">
        <w:rPr>
          <w:rFonts w:ascii="Times New Roman" w:hAnsi="Times New Roman" w:cs="Times New Roman"/>
          <w:noProof/>
          <w:lang w:val="en-US"/>
        </w:rPr>
        <w:t xml:space="preserve"> </w:t>
      </w:r>
    </w:p>
    <w:p w14:paraId="4EF4FC70" w14:textId="77777777" w:rsidR="00527832" w:rsidRPr="00FC7FB5" w:rsidRDefault="003C62F0" w:rsidP="00A2563A">
      <w:pPr>
        <w:spacing w:before="0" w:line="24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t</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e>
          </m:d>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t-1</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e>
          </m:d>
          <m:r>
            <w:rPr>
              <w:rFonts w:ascii="Cambria Math" w:hAnsi="Cambria Math" w:cs="Times New Roman"/>
            </w:rPr>
            <m:t>-ϵ</m:t>
          </m:r>
          <m:r>
            <m:rPr>
              <m:sty m:val="p"/>
            </m:rPr>
            <w:rPr>
              <w:rFonts w:ascii="Cambria Math" w:hAnsi="Cambria Math" w:cs="Times New Roman"/>
            </w:rPr>
            <m:t>CD</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e>
          </m:d>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r>
            <w:rPr>
              <w:rFonts w:ascii="Cambria Math" w:hAnsi="Cambria Math" w:cs="Times New Roman"/>
            </w:rPr>
            <m:t>,</m:t>
          </m:r>
        </m:oMath>
      </m:oMathPara>
    </w:p>
    <w:p w14:paraId="278523E3"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rPr>
        <w:t xml:space="preserve">where </w:t>
      </w:r>
      <m:oMath>
        <m:r>
          <w:rPr>
            <w:rFonts w:ascii="Cambria Math" w:hAnsi="Cambria Math" w:cs="Times New Roman"/>
          </w:rPr>
          <m:t>α</m:t>
        </m:r>
      </m:oMath>
      <w:r w:rsidRPr="00FC7FB5">
        <w:rPr>
          <w:rFonts w:ascii="Times New Roman" w:hAnsi="Times New Roman" w:cs="Times New Roman"/>
        </w:rPr>
        <w:t xml:space="preserve"> is a momentum parameter, </w:t>
      </w:r>
      <m:oMath>
        <m:r>
          <w:rPr>
            <w:rFonts w:ascii="Cambria Math" w:hAnsi="Cambria Math" w:cs="Times New Roman"/>
          </w:rPr>
          <m:t>ϵ</m:t>
        </m:r>
      </m:oMath>
      <w:r w:rsidRPr="00FC7FB5">
        <w:rPr>
          <w:rFonts w:ascii="Times New Roman" w:hAnsi="Times New Roman" w:cs="Times New Roman"/>
        </w:rPr>
        <w:t xml:space="preserve"> is the learning rate, and </w:t>
      </w:r>
      <m:oMath>
        <m:r>
          <w:rPr>
            <w:rFonts w:ascii="Cambria Math" w:hAnsi="Cambria Math" w:cs="Times New Roman"/>
          </w:rPr>
          <m:t>C</m:t>
        </m:r>
      </m:oMath>
      <w:r w:rsidRPr="00FC7FB5">
        <w:rPr>
          <w:rFonts w:ascii="Times New Roman" w:hAnsi="Times New Roman" w:cs="Times New Roman"/>
        </w:rPr>
        <w:t xml:space="preserve"> is a weight cost to encourage sparsity.  At each iteration, we evaluate Eq. 5 using a subset of the training samples (a mini-batch), hence performing stochastic gradient descent (SGD).  We cycle once through the training data in disjoint mini-batches to form an epoch, and use early stopping after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stop</m:t>
            </m:r>
          </m:sub>
        </m:sSub>
      </m:oMath>
      <w:r w:rsidRPr="00FC7FB5">
        <w:rPr>
          <w:rFonts w:ascii="Times New Roman" w:hAnsi="Times New Roman" w:cs="Times New Roman"/>
        </w:rPr>
        <w:t xml:space="preserve"> epochs to control for overfitting.</w:t>
      </w:r>
    </w:p>
    <w:p w14:paraId="39BE9514" w14:textId="77777777" w:rsidR="00527832" w:rsidRPr="00FC7FB5" w:rsidRDefault="00527832" w:rsidP="00A2563A">
      <w:pPr>
        <w:spacing w:before="0" w:line="240" w:lineRule="auto"/>
        <w:jc w:val="both"/>
        <w:rPr>
          <w:rFonts w:ascii="Times New Roman" w:hAnsi="Times New Roman" w:cs="Times New Roman"/>
        </w:rPr>
      </w:pPr>
    </w:p>
    <w:p w14:paraId="5F6A0365" w14:textId="77777777" w:rsidR="00527832" w:rsidRPr="00FC7FB5" w:rsidRDefault="00527832" w:rsidP="00A2563A">
      <w:pPr>
        <w:spacing w:before="0" w:line="240" w:lineRule="auto"/>
        <w:rPr>
          <w:rFonts w:ascii="Times New Roman" w:hAnsi="Times New Roman" w:cs="Times New Roman"/>
          <w:sz w:val="24"/>
          <w:szCs w:val="24"/>
        </w:rPr>
      </w:pPr>
      <w:r w:rsidRPr="00FC7FB5">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75511900" wp14:editId="60F4F476">
                <wp:simplePos x="0" y="0"/>
                <wp:positionH relativeFrom="column">
                  <wp:posOffset>5771515</wp:posOffset>
                </wp:positionH>
                <wp:positionV relativeFrom="paragraph">
                  <wp:posOffset>697706</wp:posOffset>
                </wp:positionV>
                <wp:extent cx="277495" cy="334645"/>
                <wp:effectExtent l="0" t="0" r="1905" b="20955"/>
                <wp:wrapNone/>
                <wp:docPr id="62" name="Text Box 62"/>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A3AC77" w14:textId="77777777" w:rsidR="00B31588" w:rsidRPr="005E01D8" w:rsidRDefault="00B31588" w:rsidP="00527832">
                            <w:pPr>
                              <w:rPr>
                                <w:lang w:val="en-US"/>
                              </w:rPr>
                            </w:pPr>
                            <w:r>
                              <w:rPr>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511900" id="Text Box 62" o:spid="_x0000_s1031" type="#_x0000_t202" style="position:absolute;margin-left:454.45pt;margin-top:54.95pt;width:21.85pt;height:2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" filled="f" stroked="f">
                <v:textbox inset="0,0,0,0">
                  <w:txbxContent>
                    <w:p w14:paraId="07A3AC77" w14:textId="77777777" w:rsidR="00B31588" w:rsidRPr="005E01D8" w:rsidRDefault="00B31588" w:rsidP="00527832">
                      <w:pPr>
                        <w:rPr>
                          <w:lang w:val="en-US"/>
                        </w:rPr>
                      </w:pPr>
                      <w:r>
                        <w:rPr>
                          <w:lang w:val="en-US"/>
                        </w:rPr>
                        <w:t>(6)</w:t>
                      </w:r>
                    </w:p>
                  </w:txbxContent>
                </v:textbox>
              </v:shape>
            </w:pict>
          </mc:Fallback>
        </mc:AlternateContent>
      </w:r>
      <w:r w:rsidRPr="00FC7FB5">
        <w:rPr>
          <w:rFonts w:ascii="Times New Roman" w:hAnsi="Times New Roman" w:cs="Times New Roman"/>
        </w:rPr>
        <w:t xml:space="preserve">Given a test sample, we wish to predict </w:t>
      </w:r>
      <m:oMath>
        <m:r>
          <w:rPr>
            <w:rFonts w:ascii="Cambria Math" w:hAnsi="Cambria Math" w:cs="Times New Roman"/>
            <w:sz w:val="24"/>
            <w:szCs w:val="24"/>
          </w:rPr>
          <m:t>y</m:t>
        </m:r>
      </m:oMath>
      <w:r w:rsidRPr="00FC7FB5">
        <w:rPr>
          <w:rFonts w:ascii="Times New Roman" w:hAnsi="Times New Roman" w:cs="Times New Roman"/>
          <w:sz w:val="24"/>
          <w:szCs w:val="24"/>
        </w:rPr>
        <w:t xml:space="preserve"> given </w:t>
      </w:r>
      <m:oMath>
        <m:r>
          <m:rPr>
            <m:sty m:val="b"/>
          </m:rPr>
          <w:rPr>
            <w:rFonts w:ascii="Cambria Math" w:hAnsi="Cambria Math" w:cs="Times New Roman"/>
          </w:rPr>
          <m:t>x</m:t>
        </m:r>
      </m:oMath>
      <w:r w:rsidRPr="00FC7FB5">
        <w:rPr>
          <w:rFonts w:ascii="Times New Roman" w:hAnsi="Times New Roman" w:cs="Times New Roman"/>
          <w:b/>
        </w:rPr>
        <w:t xml:space="preserve"> </w:t>
      </w:r>
      <w:r w:rsidRPr="00FC7FB5">
        <w:rPr>
          <w:rFonts w:ascii="Times New Roman" w:hAnsi="Times New Roman" w:cs="Times New Roman"/>
        </w:rPr>
        <w:t xml:space="preserve">and </w:t>
      </w:r>
      <m:oMath>
        <m:r>
          <m:rPr>
            <m:sty m:val="b"/>
          </m:rPr>
          <w:rPr>
            <w:rFonts w:ascii="Cambria Math" w:hAnsi="Cambria Math" w:cs="Times New Roman"/>
          </w:rPr>
          <m:t>z</m:t>
        </m:r>
      </m:oMath>
      <w:r w:rsidRPr="00FC7FB5">
        <w:rPr>
          <w:rFonts w:ascii="Times New Roman" w:hAnsi="Times New Roman" w:cs="Times New Roman"/>
          <w:b/>
        </w:rPr>
        <w:t xml:space="preserve"> </w:t>
      </w:r>
      <w:r w:rsidRPr="00FC7FB5">
        <w:rPr>
          <w:rFonts w:ascii="Times New Roman" w:hAnsi="Times New Roman" w:cs="Times New Roman"/>
        </w:rPr>
        <w:t xml:space="preserve">(or </w:t>
      </w:r>
      <m:oMath>
        <m:r>
          <m:rPr>
            <m:sty m:val="b"/>
          </m:rPr>
          <w:rPr>
            <w:rFonts w:ascii="Cambria Math" w:hAnsi="Cambria Math" w:cs="Times New Roman"/>
          </w:rPr>
          <m:t>z</m:t>
        </m:r>
      </m:oMath>
      <w:r w:rsidRPr="00FC7FB5">
        <w:rPr>
          <w:rFonts w:ascii="Times New Roman" w:hAnsi="Times New Roman" w:cs="Times New Roman"/>
          <w:b/>
        </w:rPr>
        <w:t xml:space="preserve"> </w:t>
      </w:r>
      <w:r w:rsidRPr="00FC7FB5">
        <w:rPr>
          <w:rFonts w:ascii="Times New Roman" w:hAnsi="Times New Roman" w:cs="Times New Roman"/>
        </w:rPr>
        <w:t xml:space="preserve">alone for imputation based inference, see below).  This can be achieved by maximizing the conditional probability of </w:t>
      </w:r>
      <m:oMath>
        <m:r>
          <w:rPr>
            <w:rFonts w:ascii="Cambria Math" w:hAnsi="Cambria Math" w:cs="Times New Roman"/>
            <w:sz w:val="24"/>
            <w:szCs w:val="24"/>
          </w:rPr>
          <m:t>y</m:t>
        </m:r>
      </m:oMath>
      <w:r w:rsidRPr="00FC7FB5">
        <w:rPr>
          <w:rFonts w:ascii="Times New Roman" w:hAnsi="Times New Roman" w:cs="Times New Roman"/>
          <w:sz w:val="24"/>
          <w:szCs w:val="24"/>
        </w:rPr>
        <w:t xml:space="preserve"> and </w:t>
      </w:r>
      <m:oMath>
        <m:r>
          <m:rPr>
            <m:sty m:val="b"/>
          </m:rPr>
          <w:rPr>
            <w:rFonts w:ascii="Cambria Math" w:hAnsi="Cambria Math" w:cs="Times New Roman"/>
          </w:rPr>
          <m:t>x</m:t>
        </m:r>
      </m:oMath>
      <w:r w:rsidRPr="00FC7FB5">
        <w:rPr>
          <w:rFonts w:ascii="Times New Roman" w:hAnsi="Times New Roman" w:cs="Times New Roman"/>
          <w:b/>
        </w:rPr>
        <w:t xml:space="preserve"> </w:t>
      </w:r>
      <w:r w:rsidRPr="00FC7FB5">
        <w:rPr>
          <w:rFonts w:ascii="Times New Roman" w:hAnsi="Times New Roman" w:cs="Times New Roman"/>
        </w:rPr>
        <w:t>given</w:t>
      </w:r>
      <w:r w:rsidRPr="00FC7FB5">
        <w:rPr>
          <w:rFonts w:ascii="Times New Roman" w:hAnsi="Times New Roman" w:cs="Times New Roman"/>
          <w:b/>
        </w:rPr>
        <w:t xml:space="preserve"> </w:t>
      </w:r>
      <m:oMath>
        <m:r>
          <m:rPr>
            <m:sty m:val="b"/>
          </m:rPr>
          <w:rPr>
            <w:rFonts w:ascii="Cambria Math" w:hAnsi="Cambria Math" w:cs="Times New Roman"/>
          </w:rPr>
          <m:t>z</m:t>
        </m:r>
      </m:oMath>
      <w:r w:rsidRPr="00FC7FB5">
        <w:rPr>
          <w:rFonts w:ascii="Times New Roman" w:hAnsi="Times New Roman" w:cs="Times New Roman"/>
          <w:b/>
        </w:rPr>
        <w:t xml:space="preserve">, </w:t>
      </w:r>
      <w:r w:rsidRPr="00FC7FB5">
        <w:rPr>
          <w:rFonts w:ascii="Times New Roman" w:hAnsi="Times New Roman" w:cs="Times New Roman"/>
        </w:rPr>
        <w:t>or equivalently</w:t>
      </w:r>
      <w:r w:rsidRPr="00FC7FB5">
        <w:rPr>
          <w:rFonts w:ascii="Times New Roman" w:hAnsi="Times New Roman" w:cs="Times New Roman"/>
          <w:sz w:val="24"/>
          <w:szCs w:val="24"/>
        </w:rPr>
        <w:t xml:space="preserve"> </w:t>
      </w:r>
      <w:r w:rsidRPr="00FC7FB5">
        <w:rPr>
          <w:rFonts w:ascii="Times New Roman" w:hAnsi="Times New Roman" w:cs="Times New Roman"/>
        </w:rPr>
        <w:t>minimizing the free-energy (see Hinton, 2012 for the RBM case):</w:t>
      </w:r>
    </w:p>
    <w:p w14:paraId="01111F73" w14:textId="77777777" w:rsidR="00527832" w:rsidRPr="00FC7FB5" w:rsidRDefault="003C62F0" w:rsidP="00A2563A">
      <w:pPr>
        <w:spacing w:before="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argmax</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p</m:t>
              </m:r>
              <m:d>
                <m:dPr>
                  <m:ctrlPr>
                    <w:rPr>
                      <w:rFonts w:ascii="Cambria Math" w:hAnsi="Cambria Math" w:cs="Times New Roman"/>
                      <w:i/>
                      <w:sz w:val="24"/>
                      <w:szCs w:val="24"/>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z</m:t>
                  </m:r>
                </m:e>
              </m:d>
            </m:e>
          </m:d>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argmin</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z</m:t>
                  </m:r>
                </m:e>
              </m:d>
            </m:e>
          </m:d>
        </m:oMath>
      </m:oMathPara>
    </w:p>
    <w:p w14:paraId="08F02585" w14:textId="77777777" w:rsidR="00527832" w:rsidRPr="00FC7FB5" w:rsidRDefault="00527832" w:rsidP="00A2563A">
      <w:pPr>
        <w:spacing w:before="0" w:line="240" w:lineRule="auto"/>
        <w:rPr>
          <w:rFonts w:ascii="Times New Roman" w:hAnsi="Times New Roman" w:cs="Times New Roman"/>
        </w:rPr>
      </w:pPr>
      <m:oMathPara>
        <m:oMath>
          <m:r>
            <w:rPr>
              <w:rFonts w:ascii="Cambria Math" w:hAnsi="Cambria Math" w:cs="Times New Roman"/>
              <w:sz w:val="24"/>
              <w:szCs w:val="24"/>
            </w:rPr>
            <m:t>F</m:t>
          </m:r>
          <m:d>
            <m:dPr>
              <m:ctrlPr>
                <w:rPr>
                  <w:rFonts w:ascii="Cambria Math" w:hAnsi="Cambria Math" w:cs="Times New Roman"/>
                  <w:i/>
                  <w:sz w:val="24"/>
                  <w:szCs w:val="24"/>
                </w:rPr>
              </m:ctrlPr>
            </m:dPr>
            <m:e>
              <m:r>
                <m:rPr>
                  <m:sty m:val="b"/>
                </m:rPr>
                <w:rPr>
                  <w:rFonts w:ascii="Cambria Math" w:hAnsi="Cambria Math" w:cs="Times New Roman"/>
                </w:rPr>
                <m:t>x,</m:t>
              </m:r>
              <m:r>
                <m:rPr>
                  <m:sty m:val="p"/>
                </m:rPr>
                <w:rPr>
                  <w:rFonts w:ascii="Cambria Math" w:hAnsi="Cambria Math" w:cs="Times New Roman"/>
                </w:rPr>
                <m:t>y|</m:t>
              </m:r>
              <m:r>
                <m:rPr>
                  <m:sty m:val="b"/>
                </m:rPr>
                <w:rPr>
                  <w:rFonts w:ascii="Cambria Math" w:hAnsi="Cambria Math" w:cs="Times New Roman"/>
                </w:rPr>
                <m:t>z</m:t>
              </m:r>
            </m:e>
          </m:d>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1i</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1y</m:t>
              </m:r>
            </m:sub>
          </m:sSub>
          <m:r>
            <w:rPr>
              <w:rFonts w:ascii="Cambria Math" w:hAnsi="Cambria Math" w:cs="Times New Roman"/>
            </w:rPr>
            <m:t>y-</m:t>
          </m:r>
          <m:nary>
            <m:naryPr>
              <m:chr m:val="∑"/>
              <m:supHide m:val="1"/>
              <m:ctrlPr>
                <w:rPr>
                  <w:rFonts w:ascii="Cambria Math" w:hAnsi="Cambria Math" w:cs="Times New Roman"/>
                  <w:i/>
                </w:rPr>
              </m:ctrlPr>
            </m:naryPr>
            <m:sub>
              <m:r>
                <w:rPr>
                  <w:rFonts w:ascii="Cambria Math" w:hAnsi="Cambria Math" w:cs="Times New Roman"/>
                </w:rPr>
                <m:t>ij</m:t>
              </m:r>
            </m:sub>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m:t>
                  </m:r>
                </m:sub>
              </m:sSub>
            </m:e>
          </m:nary>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j</m:t>
              </m:r>
            </m:sub>
            <m:sup/>
            <m:e>
              <m:func>
                <m:funcPr>
                  <m:ctrlPr>
                    <w:rPr>
                      <w:rFonts w:ascii="Cambria Math" w:hAnsi="Cambria Math" w:cs="Times New Roman"/>
                    </w:rPr>
                  </m:ctrlPr>
                </m:funcPr>
                <m:fName>
                  <m:r>
                    <m:rPr>
                      <m:sty m:val="p"/>
                    </m:rPr>
                    <w:rPr>
                      <w:rFonts w:ascii="Cambria Math" w:hAnsi="Cambria Math" w:cs="Times New Roman"/>
                    </w:rPr>
                    <m:t>log</m:t>
                  </m:r>
                </m:fName>
                <m:e>
                  <m:d>
                    <m:dPr>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rPr>
                          </m:ctrlPr>
                        </m:funcPr>
                        <m:fName>
                          <m:r>
                            <m:rPr>
                              <m:sty m:val="p"/>
                            </m:rPr>
                            <w:rPr>
                              <w:rFonts w:ascii="Cambria Math" w:hAnsi="Cambria Math" w:cs="Times New Roman"/>
                            </w:rPr>
                            <m:t>exp</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2j</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ij</m:t>
                                      </m:r>
                                    </m:sub>
                                  </m:sSub>
                                </m:e>
                              </m:nary>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yj</m:t>
                                  </m:r>
                                </m:sub>
                              </m:sSub>
                            </m:e>
                          </m:d>
                        </m:e>
                      </m:func>
                    </m:e>
                  </m:d>
                </m:e>
              </m:func>
            </m:e>
          </m:nary>
          <m:r>
            <w:rPr>
              <w:rFonts w:ascii="Cambria Math" w:hAnsi="Cambria Math" w:cs="Times New Roman"/>
            </w:rPr>
            <m:t>.</m:t>
          </m:r>
        </m:oMath>
      </m:oMathPara>
    </w:p>
    <w:p w14:paraId="7FDC0F45" w14:textId="50EBE4A9"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rPr>
        <w:t xml:space="preserve">We use the 10 balanced data split above to train a series of models for each phenotype.  We initially perform feature selection (for each data split) using the method in Eq. 2 to identify a subset of genes to include as transcriptome predictors in </w:t>
      </w:r>
      <m:oMath>
        <m:r>
          <m:rPr>
            <m:sty m:val="b"/>
          </m:rPr>
          <w:rPr>
            <w:rFonts w:ascii="Cambria Math" w:hAnsi="Cambria Math" w:cs="Times New Roman"/>
          </w:rPr>
          <m:t>x</m:t>
        </m:r>
      </m:oMath>
      <w:r w:rsidRPr="00FC7FB5">
        <w:rPr>
          <w:rFonts w:ascii="Times New Roman" w:hAnsi="Times New Roman" w:cs="Times New Roman"/>
        </w:rPr>
        <w:t xml:space="preserve"> (setting </w:t>
      </w:r>
      <m:oMath>
        <m:r>
          <w:rPr>
            <w:rFonts w:ascii="Cambria Math" w:hAnsi="Cambria Math" w:cs="Times New Roman"/>
          </w:rPr>
          <m:t>π=0.05</m:t>
        </m:r>
      </m:oMath>
      <w:r w:rsidRPr="00FC7FB5">
        <w:rPr>
          <w:rFonts w:ascii="Times New Roman" w:hAnsi="Times New Roman" w:cs="Times New Roman"/>
        </w:rPr>
        <w:t xml:space="preserve">), and include all eSNPs associated with these genes in </w:t>
      </w:r>
      <m:oMath>
        <m:r>
          <m:rPr>
            <m:sty m:val="b"/>
          </m:rPr>
          <w:rPr>
            <w:rFonts w:ascii="Cambria Math" w:hAnsi="Cambria Math" w:cs="Times New Roman"/>
          </w:rPr>
          <m:t>z</m:t>
        </m:r>
      </m:oMath>
      <w:r w:rsidRPr="00FC7FB5">
        <w:rPr>
          <w:rFonts w:ascii="Times New Roman" w:hAnsi="Times New Roman" w:cs="Times New Roman"/>
        </w:rPr>
        <w:t xml:space="preserve">.  We also enforce sparsity on the matrix </w:t>
      </w:r>
      <m:oMath>
        <m:r>
          <m:rPr>
            <m:sty m:val="b"/>
          </m:rPr>
          <w:rPr>
            <w:rFonts w:ascii="Cambria Math" w:hAnsi="Cambria Math" w:cs="Times New Roman"/>
          </w:rPr>
          <m:t>V</m:t>
        </m:r>
      </m:oMath>
      <w:r w:rsidRPr="00FC7FB5">
        <w:rPr>
          <w:rFonts w:ascii="Times New Roman" w:hAnsi="Times New Roman" w:cs="Times New Roman"/>
          <w:b/>
        </w:rPr>
        <w:t xml:space="preserve"> </w:t>
      </w:r>
      <w:r w:rsidRPr="00FC7FB5">
        <w:rPr>
          <w:rFonts w:ascii="Times New Roman" w:hAnsi="Times New Roman" w:cs="Times New Roman"/>
        </w:rPr>
        <w:t xml:space="preserve">during training, so that only connections supported by eQTLs are allowed to be non-zero.  Further, we set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h</m:t>
            </m:r>
          </m:sub>
        </m:sSub>
        <m:r>
          <w:rPr>
            <w:rFonts w:ascii="Cambria Math" w:hAnsi="Cambria Math" w:cs="Times New Roman"/>
          </w:rPr>
          <m:t>=400</m:t>
        </m:r>
      </m:oMath>
      <w:r w:rsidRPr="00FC7FB5">
        <w:rPr>
          <w:rFonts w:ascii="Times New Roman" w:hAnsi="Times New Roman" w:cs="Times New Roman"/>
        </w:rPr>
        <w:t xml:space="preserve"> (the number of hidden nodes), </w:t>
      </w:r>
      <m:oMath>
        <m:r>
          <w:rPr>
            <w:rFonts w:ascii="Cambria Math" w:hAnsi="Cambria Math" w:cs="Times New Roman"/>
          </w:rPr>
          <m:t>α=0.1</m:t>
        </m:r>
      </m:oMath>
      <w:r w:rsidRPr="00FC7FB5">
        <w:rPr>
          <w:rFonts w:ascii="Times New Roman" w:hAnsi="Times New Roman" w:cs="Times New Roman"/>
        </w:rPr>
        <w:t xml:space="preserve">, </w:t>
      </w:r>
      <m:oMath>
        <m:r>
          <w:rPr>
            <w:rFonts w:ascii="Cambria Math" w:hAnsi="Cambria Math" w:cs="Times New Roman"/>
          </w:rPr>
          <m:t>ϵ=1e-4</m:t>
        </m:r>
      </m:oMath>
      <w:r w:rsidRPr="00FC7FB5">
        <w:rPr>
          <w:rFonts w:ascii="Times New Roman" w:hAnsi="Times New Roman" w:cs="Times New Roman"/>
        </w:rPr>
        <w:t>, and used mini-batches of size 61, 10, 17, 71, 39 and 64 for AGE, ASD, BPD, ETH, GE</w:t>
      </w:r>
      <w:r>
        <w:rPr>
          <w:rFonts w:ascii="Times New Roman" w:hAnsi="Times New Roman" w:cs="Times New Roman"/>
        </w:rPr>
        <w:t xml:space="preserve">N and SCZ models respectively.  For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stop</m:t>
            </m:r>
          </m:sub>
        </m:sSub>
      </m:oMath>
      <w:r>
        <w:rPr>
          <w:rFonts w:ascii="Times New Roman" w:hAnsi="Times New Roman" w:cs="Times New Roman"/>
        </w:rPr>
        <w:t xml:space="preserve">, we used either a variable setting which was set independently for each model trained, or a fixed setting which was held constant across all data-splits for a given phenotype.  In each case, we trained all models for 100 epochs.  For the variable setting, we chose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stop</m:t>
            </m:r>
          </m:sub>
        </m:sSub>
      </m:oMath>
      <w:r>
        <w:rPr>
          <w:rFonts w:ascii="Times New Roman" w:hAnsi="Times New Roman" w:cs="Times New Roman"/>
        </w:rPr>
        <w:t xml:space="preserve"> to minimize the test error for each data-split separately, while for the fixed setting we chose the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stop</m:t>
            </m:r>
          </m:sub>
        </m:sSub>
      </m:oMath>
      <w:r>
        <w:rPr>
          <w:rFonts w:ascii="Times New Roman" w:hAnsi="Times New Roman" w:cs="Times New Roman"/>
        </w:rPr>
        <w:t xml:space="preserve"> which had the minimum mean test error across data-splits.  Results are shown using both v</w:t>
      </w:r>
      <w:r w:rsidR="003639C1">
        <w:rPr>
          <w:rFonts w:ascii="Times New Roman" w:hAnsi="Times New Roman" w:cs="Times New Roman"/>
        </w:rPr>
        <w:t>ariable (Fig. 6D) and fixed (Table. S8.1</w:t>
      </w:r>
      <w:r>
        <w:rPr>
          <w:rFonts w:ascii="Times New Roman" w:hAnsi="Times New Roman" w:cs="Times New Roman"/>
        </w:rPr>
        <w:t>) settings for all phenotypes except ASD; for AS</w:t>
      </w:r>
      <w:r w:rsidR="00AF6892">
        <w:rPr>
          <w:rFonts w:ascii="Times New Roman" w:hAnsi="Times New Roman" w:cs="Times New Roman"/>
        </w:rPr>
        <w:t>D we use only the fixed setting to control for</w:t>
      </w:r>
      <w:r>
        <w:rPr>
          <w:rFonts w:ascii="Times New Roman" w:hAnsi="Times New Roman" w:cs="Times New Roman"/>
        </w:rPr>
        <w:t xml:space="preserve"> the smaller number of samples in the ASD cohort.  </w:t>
      </w:r>
      <w:r w:rsidRPr="00FC7FB5">
        <w:rPr>
          <w:rFonts w:ascii="Times New Roman" w:hAnsi="Times New Roman" w:cs="Times New Roman"/>
        </w:rPr>
        <w:t>Performance for each phenotype is calculated as an average across data splits for the accuracy of a model on it</w:t>
      </w:r>
      <w:r w:rsidR="00AF6892">
        <w:rPr>
          <w:rFonts w:ascii="Times New Roman" w:hAnsi="Times New Roman" w:cs="Times New Roman"/>
        </w:rPr>
        <w:t>s corresponding test partition.</w:t>
      </w:r>
    </w:p>
    <w:p w14:paraId="3842B900" w14:textId="77777777" w:rsidR="00527832" w:rsidRPr="00FC7FB5" w:rsidRDefault="00527832" w:rsidP="00A2563A">
      <w:pPr>
        <w:spacing w:before="0" w:line="240" w:lineRule="auto"/>
        <w:rPr>
          <w:rFonts w:ascii="Times New Roman" w:hAnsi="Times New Roman" w:cs="Times New Roman"/>
          <w:sz w:val="24"/>
          <w:szCs w:val="24"/>
        </w:rPr>
      </w:pPr>
    </w:p>
    <w:p w14:paraId="72BFF8A8" w14:textId="77777777" w:rsidR="00527832" w:rsidRPr="00D51A3C" w:rsidRDefault="00527832" w:rsidP="00A2563A">
      <w:pPr>
        <w:spacing w:before="0" w:line="240" w:lineRule="auto"/>
        <w:rPr>
          <w:rFonts w:ascii="Helvetica" w:hAnsi="Helvetica" w:cs="Times New Roman"/>
          <w:b/>
        </w:rPr>
      </w:pPr>
      <w:r w:rsidRPr="00D51A3C">
        <w:rPr>
          <w:rFonts w:ascii="Helvetica" w:hAnsi="Helvetica" w:cs="Times New Roman"/>
          <w:b/>
        </w:rPr>
        <w:t>8.2.3 Conditional Deep Boltzmann Machine (cDBM)</w:t>
      </w:r>
    </w:p>
    <w:p w14:paraId="49B3460F"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rPr>
        <w:t xml:space="preserve">A Deep Boltzmann Machine (DBM) may be defined as in (Salakhutdinov and Hinton, 2012) as a Boltzmann machine with additional structure such that it can be viewed as a stack of RBMs.  The model with two hidden layers has the form: </w:t>
      </w: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e>
        </m:d>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DBM</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e>
                </m:d>
              </m:e>
            </m:d>
          </m:e>
        </m:func>
        <m:r>
          <w:rPr>
            <w:rFonts w:ascii="Cambria Math" w:hAnsi="Cambria Math" w:cs="Times New Roman"/>
          </w:rPr>
          <m:t>/Z</m:t>
        </m:r>
      </m:oMath>
      <w:r w:rsidRPr="00FC7FB5">
        <w:rPr>
          <w:rFonts w:ascii="Times New Roman" w:hAnsi="Times New Roman" w:cs="Times New Roman"/>
        </w:rPr>
        <w:t xml:space="preserve">, where </w:t>
      </w:r>
      <m:oMath>
        <m:r>
          <w:rPr>
            <w:rFonts w:ascii="Cambria Math" w:hAnsi="Cambria Math" w:cs="Times New Roman"/>
          </w:rPr>
          <m:t>Z</m:t>
        </m:r>
      </m:oMath>
      <w:r w:rsidRPr="00FC7FB5">
        <w:rPr>
          <w:rFonts w:ascii="Times New Roman" w:hAnsi="Times New Roman" w:cs="Times New Roman"/>
        </w:rPr>
        <w:t xml:space="preserve"> is a normalizing partition function,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DBM</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e>
        </m:d>
      </m:oMath>
      <w:r w:rsidRPr="00FC7FB5">
        <w:rPr>
          <w:rFonts w:ascii="Times New Roman" w:hAnsi="Times New Roman" w:cs="Times New Roman"/>
        </w:rPr>
        <w:t xml:space="preserve"> is the DBM energy function, which has the form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DBM</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e>
        </m:d>
        <m: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1</m:t>
            </m:r>
          </m:sub>
        </m:sSub>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1</m:t>
            </m: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2</m:t>
            </m:r>
          </m:sub>
        </m:sSub>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2</m:t>
            </m: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W</m:t>
            </m:r>
          </m:e>
          <m:sub>
            <m:r>
              <w:rPr>
                <w:rFonts w:ascii="Cambria Math" w:hAnsi="Cambria Math" w:cs="Times New Roman"/>
              </w:rPr>
              <m:t>lab</m:t>
            </m:r>
          </m:sub>
        </m:sSub>
        <m:r>
          <m:rPr>
            <m:sty m:val="b"/>
          </m:rPr>
          <w:rPr>
            <w:rFonts w:ascii="Cambria Math" w:hAnsi="Cambria Math" w:cs="Times New Roman"/>
          </w:rPr>
          <m:t>y</m:t>
        </m:r>
        <m:r>
          <m:rPr>
            <m:sty m:val="bi"/>
          </m:rPr>
          <w:rPr>
            <w:rFonts w:ascii="Cambria Math" w:hAnsi="Cambria Math" w:cs="Times New Roman"/>
          </w:rPr>
          <m:t>-</m:t>
        </m:r>
        <m:d>
          <m:dPr>
            <m:begChr m:val="["/>
            <m:endChr m:val="]"/>
            <m:ctrlPr>
              <w:rPr>
                <w:rFonts w:ascii="Cambria Math" w:hAnsi="Cambria Math" w:cs="Times New Roman"/>
                <w:b/>
              </w:rPr>
            </m:ctrlPr>
          </m:dPr>
          <m:e>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1</m:t>
                </m: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2</m:t>
                </m: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r>
              <m:rPr>
                <m:sty m:val="b"/>
              </m:rPr>
              <w:rPr>
                <w:rFonts w:ascii="Cambria Math" w:hAnsi="Cambria Math" w:cs="Times New Roman"/>
              </w:rPr>
              <m:t>y</m:t>
            </m:r>
          </m:e>
        </m:d>
        <m:r>
          <m:rPr>
            <m:sty m:val="b"/>
          </m:rPr>
          <w:rPr>
            <w:rFonts w:ascii="Cambria Math" w:hAnsi="Cambria Math" w:cs="Times New Roman"/>
          </w:rPr>
          <m:t>b</m:t>
        </m:r>
      </m:oMath>
      <w:r w:rsidRPr="00FC7FB5">
        <w:rPr>
          <w:rFonts w:ascii="Times New Roman" w:hAnsi="Times New Roman" w:cs="Times New Roman"/>
        </w:rPr>
        <w:t xml:space="preserve">. Here, </w:t>
      </w:r>
      <m:oMath>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1</m:t>
            </m:r>
          </m:sub>
        </m:sSub>
      </m:oMath>
      <w:r w:rsidRPr="00FC7FB5">
        <w:rPr>
          <w:rFonts w:ascii="Times New Roman" w:hAnsi="Times New Roman" w:cs="Times New Roman"/>
          <w:b/>
        </w:rPr>
        <w:t xml:space="preserve">, </w:t>
      </w:r>
      <m:oMath>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2</m:t>
            </m:r>
          </m:sub>
        </m:sSub>
      </m:oMath>
      <w:r w:rsidRPr="00FC7FB5">
        <w:rPr>
          <w:rFonts w:ascii="Times New Roman" w:hAnsi="Times New Roman" w:cs="Times New Roman"/>
          <w:b/>
        </w:rPr>
        <w:t xml:space="preserve">, </w:t>
      </w:r>
      <m:oMath>
        <m:sSub>
          <m:sSubPr>
            <m:ctrlPr>
              <w:rPr>
                <w:rFonts w:ascii="Cambria Math" w:hAnsi="Cambria Math" w:cs="Times New Roman"/>
                <w:b/>
              </w:rPr>
            </m:ctrlPr>
          </m:sSubPr>
          <m:e>
            <m:r>
              <m:rPr>
                <m:sty m:val="b"/>
              </m:rPr>
              <w:rPr>
                <w:rFonts w:ascii="Cambria Math" w:hAnsi="Cambria Math" w:cs="Times New Roman"/>
              </w:rPr>
              <m:t>W</m:t>
            </m:r>
          </m:e>
          <m:sub>
            <m:r>
              <w:rPr>
                <w:rFonts w:ascii="Cambria Math" w:hAnsi="Cambria Math" w:cs="Times New Roman"/>
              </w:rPr>
              <m:t>lab</m:t>
            </m:r>
          </m:sub>
        </m:sSub>
      </m:oMath>
      <w:r w:rsidRPr="00FC7FB5">
        <w:rPr>
          <w:rFonts w:ascii="Times New Roman" w:hAnsi="Times New Roman" w:cs="Times New Roman"/>
          <w:b/>
        </w:rPr>
        <w:t xml:space="preserve"> </w:t>
      </w:r>
      <w:r w:rsidRPr="00FC7FB5">
        <w:rPr>
          <w:rFonts w:ascii="Times New Roman" w:hAnsi="Times New Roman" w:cs="Times New Roman"/>
        </w:rPr>
        <w:t xml:space="preserve">are matrices of interaction weights between the visible and first-layer hidden units, the first and second layer hidden units, and the ‘labels’ and second-layer hidden units respectively.  For the DBM, we write </w:t>
      </w:r>
      <m:oMath>
        <m:r>
          <m:rPr>
            <m:sty m:val="b"/>
          </m:rPr>
          <w:rPr>
            <w:rFonts w:ascii="Cambria Math" w:hAnsi="Cambria Math" w:cs="Times New Roman"/>
          </w:rPr>
          <m:t>y</m:t>
        </m:r>
      </m:oMath>
      <w:r w:rsidRPr="00FC7FB5">
        <w:rPr>
          <w:rFonts w:ascii="Times New Roman" w:hAnsi="Times New Roman" w:cs="Times New Roman"/>
          <w:b/>
        </w:rPr>
        <w:t xml:space="preserve"> </w:t>
      </w:r>
      <w:r w:rsidRPr="00FC7FB5">
        <w:rPr>
          <w:rFonts w:ascii="Times New Roman" w:hAnsi="Times New Roman" w:cs="Times New Roman"/>
        </w:rPr>
        <w:t>as a vector, since for convenience we assume the class variables (high-level phenotypes) are represented using one-of-</w:t>
      </w:r>
      <m:oMath>
        <m:r>
          <w:rPr>
            <w:rFonts w:ascii="Cambria Math" w:hAnsi="Cambria Math" w:cs="Times New Roman"/>
          </w:rPr>
          <m:t>n</m:t>
        </m:r>
      </m:oMath>
      <w:r w:rsidRPr="00FC7FB5">
        <w:rPr>
          <w:rFonts w:ascii="Times New Roman" w:hAnsi="Times New Roman" w:cs="Times New Roman"/>
        </w:rPr>
        <w:t xml:space="preserve"> encoding (i.e. for a binary trait, either </w:t>
      </w:r>
      <m:oMath>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1,0</m:t>
                </m:r>
              </m:e>
            </m:d>
          </m:e>
          <m:sup>
            <m:r>
              <m:rPr>
                <m:sty m:val="p"/>
              </m:rPr>
              <w:rPr>
                <w:rFonts w:ascii="Cambria Math" w:hAnsi="Cambria Math" w:cs="Times New Roman"/>
              </w:rPr>
              <m:t>T</m:t>
            </m:r>
          </m:sup>
        </m:sSup>
      </m:oMath>
      <w:r w:rsidRPr="00FC7FB5">
        <w:rPr>
          <w:rFonts w:ascii="Times New Roman" w:hAnsi="Times New Roman" w:cs="Times New Roman"/>
        </w:rPr>
        <w:t xml:space="preserve"> or </w:t>
      </w:r>
      <m:oMath>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0,1</m:t>
                </m:r>
              </m:e>
            </m:d>
          </m:e>
          <m:sup>
            <m:r>
              <m:rPr>
                <m:sty m:val="p"/>
              </m:rPr>
              <w:rPr>
                <w:rFonts w:ascii="Cambria Math" w:hAnsi="Cambria Math" w:cs="Times New Roman"/>
              </w:rPr>
              <m:t>T</m:t>
            </m:r>
          </m:sup>
        </m:sSup>
      </m:oMath>
      <w:r w:rsidRPr="00FC7FB5">
        <w:rPr>
          <w:rFonts w:ascii="Times New Roman" w:hAnsi="Times New Roman" w:cs="Times New Roman"/>
        </w:rPr>
        <w:t xml:space="preserve"> for the two classes), and we write </w:t>
      </w:r>
      <m:oMath>
        <m:r>
          <m:rPr>
            <m:sty m:val="b"/>
          </m:rPr>
          <w:rPr>
            <w:rFonts w:ascii="Cambria Math" w:hAnsi="Cambria Math" w:cs="Times New Roman"/>
          </w:rPr>
          <m:t>b</m:t>
        </m:r>
      </m:oMath>
      <w:r w:rsidRPr="00FC7FB5">
        <w:rPr>
          <w:rFonts w:ascii="Times New Roman" w:hAnsi="Times New Roman" w:cs="Times New Roman"/>
          <w:b/>
        </w:rPr>
        <w:t xml:space="preserve"> </w:t>
      </w:r>
      <w:r w:rsidRPr="00FC7FB5">
        <w:rPr>
          <w:rFonts w:ascii="Times New Roman" w:hAnsi="Times New Roman" w:cs="Times New Roman"/>
        </w:rPr>
        <w:t>for a single vector combining all the bias terms.</w:t>
      </w:r>
    </w:p>
    <w:p w14:paraId="7D937F31" w14:textId="77777777" w:rsidR="00527832" w:rsidRPr="00FC7FB5" w:rsidRDefault="00527832" w:rsidP="00A2563A">
      <w:pPr>
        <w:spacing w:before="0" w:line="240" w:lineRule="auto"/>
        <w:rPr>
          <w:rFonts w:ascii="Times New Roman" w:hAnsi="Times New Roman" w:cs="Times New Roman"/>
        </w:rPr>
      </w:pPr>
    </w:p>
    <w:p w14:paraId="1E838186"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noProof/>
          <w:lang w:val="en-US"/>
        </w:rPr>
        <w:lastRenderedPageBreak/>
        <mc:AlternateContent>
          <mc:Choice Requires="wps">
            <w:drawing>
              <wp:anchor distT="0" distB="0" distL="114300" distR="114300" simplePos="0" relativeHeight="251665408" behindDoc="0" locked="0" layoutInCell="1" allowOverlap="1" wp14:anchorId="7C7FA535" wp14:editId="510BB5C8">
                <wp:simplePos x="0" y="0"/>
                <wp:positionH relativeFrom="column">
                  <wp:posOffset>5766435</wp:posOffset>
                </wp:positionH>
                <wp:positionV relativeFrom="paragraph">
                  <wp:posOffset>699770</wp:posOffset>
                </wp:positionV>
                <wp:extent cx="277495" cy="334645"/>
                <wp:effectExtent l="0" t="0" r="1905" b="20955"/>
                <wp:wrapNone/>
                <wp:docPr id="63" name="Text Box 63"/>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F3196" w14:textId="77777777" w:rsidR="00B31588" w:rsidRPr="005E01D8" w:rsidRDefault="00B31588" w:rsidP="00527832">
                            <w:pPr>
                              <w:rPr>
                                <w:lang w:val="en-US"/>
                              </w:rPr>
                            </w:pPr>
                            <w:r>
                              <w:rPr>
                                <w:lang w:val="en-US"/>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7FA535" id="Text Box 63" o:spid="_x0000_s1032" type="#_x0000_t202" style="position:absolute;margin-left:454.05pt;margin-top:55.1pt;width:21.8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" filled="f" stroked="f">
                <v:textbox inset="0,0,0,0">
                  <w:txbxContent>
                    <w:p w14:paraId="25DF3196" w14:textId="77777777" w:rsidR="00B31588" w:rsidRPr="005E01D8" w:rsidRDefault="00B31588" w:rsidP="00527832">
                      <w:pPr>
                        <w:rPr>
                          <w:lang w:val="en-US"/>
                        </w:rPr>
                      </w:pPr>
                      <w:r>
                        <w:rPr>
                          <w:lang w:val="en-US"/>
                        </w:rPr>
                        <w:t>(7)</w:t>
                      </w:r>
                    </w:p>
                  </w:txbxContent>
                </v:textbox>
              </v:shape>
            </w:pict>
          </mc:Fallback>
        </mc:AlternateContent>
      </w:r>
      <w:r w:rsidRPr="00FC7FB5">
        <w:rPr>
          <w:rFonts w:ascii="Times New Roman" w:hAnsi="Times New Roman" w:cs="Times New Roman"/>
        </w:rPr>
        <w:t xml:space="preserve">As for the cRBM, we can use a family of DBMs to model a conditional distribution which depends on a further set of variables, </w:t>
      </w:r>
      <m:oMath>
        <m:r>
          <m:rPr>
            <m:sty m:val="b"/>
          </m:rPr>
          <w:rPr>
            <w:rFonts w:ascii="Cambria Math" w:hAnsi="Cambria Math" w:cs="Times New Roman"/>
          </w:rPr>
          <m:t>z</m:t>
        </m:r>
      </m:oMath>
      <w:r w:rsidRPr="00FC7FB5">
        <w:rPr>
          <w:rFonts w:ascii="Times New Roman" w:hAnsi="Times New Roman" w:cs="Times New Roman"/>
          <w:b/>
        </w:rPr>
        <w:t xml:space="preserve">.  </w:t>
      </w:r>
      <w:r w:rsidRPr="00FC7FB5">
        <w:rPr>
          <w:rFonts w:ascii="Times New Roman" w:hAnsi="Times New Roman" w:cs="Times New Roman"/>
        </w:rPr>
        <w:t>This is equivalent to converting the DBM from a Markov Random Field (MRF) into a Conditional Random Field (CRF, see Koller and Friedmann, 2009).  We can thus define a conditional DBM analogously to the cRBM:</w:t>
      </w:r>
      <w:r w:rsidRPr="00FC7FB5">
        <w:rPr>
          <w:rFonts w:ascii="Times New Roman" w:hAnsi="Times New Roman" w:cs="Times New Roman"/>
          <w:noProof/>
          <w:lang w:val="en-US"/>
        </w:rPr>
        <w:t xml:space="preserve"> </w:t>
      </w:r>
    </w:p>
    <w:p w14:paraId="360CBBEF" w14:textId="77777777" w:rsidR="00527832" w:rsidRPr="00FC7FB5" w:rsidRDefault="00527832" w:rsidP="00A2563A">
      <w:pPr>
        <w:spacing w:before="0" w:line="240" w:lineRule="auto"/>
        <w:jc w:val="both"/>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cDBM</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e>
              </m:d>
            </m:e>
          </m:func>
          <m:r>
            <w:rPr>
              <w:rFonts w:ascii="Cambria Math" w:hAnsi="Cambria Math" w:cs="Times New Roman"/>
            </w:rPr>
            <m:t>/Z(</m:t>
          </m:r>
          <m:r>
            <m:rPr>
              <m:sty m:val="b"/>
            </m:rPr>
            <w:rPr>
              <w:rFonts w:ascii="Cambria Math" w:hAnsi="Cambria Math" w:cs="Times New Roman"/>
            </w:rPr>
            <m:t>z</m:t>
          </m:r>
          <m:r>
            <w:rPr>
              <w:rFonts w:ascii="Cambria Math" w:hAnsi="Cambria Math" w:cs="Times New Roman"/>
            </w:rPr>
            <m:t>),</m:t>
          </m:r>
        </m:oMath>
      </m:oMathPara>
    </w:p>
    <w:p w14:paraId="219299E4" w14:textId="77777777" w:rsidR="00527832" w:rsidRPr="00FC7FB5" w:rsidRDefault="003C62F0" w:rsidP="00A2563A">
      <w:pPr>
        <w:spacing w:before="0" w:line="240" w:lineRule="auto"/>
        <w:jc w:val="center"/>
        <w:rPr>
          <w:rFonts w:ascii="Times New Roman" w:hAnsi="Times New Roman" w:cs="Times New Roman"/>
          <w:b/>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cDBM</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r>
          <m:rPr>
            <m:sty m:val="b"/>
          </m:rPr>
          <w:rPr>
            <w:rFonts w:ascii="Cambria Math" w:hAnsi="Cambria Math" w:cs="Times New Roman"/>
          </w:rPr>
          <m:t>Vx</m:t>
        </m:r>
        <m: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1</m:t>
            </m:r>
          </m:sub>
        </m:sSub>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1</m:t>
            </m: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2</m:t>
            </m:r>
          </m:sub>
        </m:sSub>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2</m:t>
            </m: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W</m:t>
            </m:r>
          </m:e>
          <m:sub>
            <m:r>
              <w:rPr>
                <w:rFonts w:ascii="Cambria Math" w:hAnsi="Cambria Math" w:cs="Times New Roman"/>
              </w:rPr>
              <m:t>lab</m:t>
            </m:r>
          </m:sub>
        </m:sSub>
        <m:r>
          <m:rPr>
            <m:sty m:val="b"/>
          </m:rPr>
          <w:rPr>
            <w:rFonts w:ascii="Cambria Math" w:hAnsi="Cambria Math" w:cs="Times New Roman"/>
          </w:rPr>
          <m:t>y</m:t>
        </m:r>
        <m:r>
          <m:rPr>
            <m:sty m:val="bi"/>
          </m:rPr>
          <w:rPr>
            <w:rFonts w:ascii="Cambria Math" w:hAnsi="Cambria Math" w:cs="Times New Roman"/>
          </w:rPr>
          <m:t>-</m:t>
        </m:r>
        <m:d>
          <m:dPr>
            <m:begChr m:val="["/>
            <m:endChr m:val="]"/>
            <m:ctrlPr>
              <w:rPr>
                <w:rFonts w:ascii="Cambria Math" w:hAnsi="Cambria Math" w:cs="Times New Roman"/>
                <w:b/>
              </w:rPr>
            </m:ctrlPr>
          </m:dPr>
          <m:e>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1</m:t>
                </m: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2</m:t>
                </m: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r>
              <m:rPr>
                <m:sty m:val="b"/>
              </m:rPr>
              <w:rPr>
                <w:rFonts w:ascii="Cambria Math" w:hAnsi="Cambria Math" w:cs="Times New Roman"/>
              </w:rPr>
              <m:t>y</m:t>
            </m:r>
          </m:e>
        </m:d>
        <m:r>
          <m:rPr>
            <m:sty m:val="b"/>
          </m:rPr>
          <w:rPr>
            <w:rFonts w:ascii="Cambria Math" w:hAnsi="Cambria Math" w:cs="Times New Roman"/>
          </w:rPr>
          <m:t>b</m:t>
        </m:r>
      </m:oMath>
      <w:r w:rsidR="00527832" w:rsidRPr="00FC7FB5">
        <w:rPr>
          <w:rFonts w:ascii="Times New Roman" w:hAnsi="Times New Roman" w:cs="Times New Roman"/>
        </w:rPr>
        <w:t>,</w:t>
      </w:r>
    </w:p>
    <w:p w14:paraId="1026800B" w14:textId="77777777" w:rsidR="00527832" w:rsidRPr="00FC7FB5" w:rsidRDefault="00527832" w:rsidP="00A2563A">
      <w:pPr>
        <w:spacing w:before="0" w:line="240" w:lineRule="auto"/>
        <w:jc w:val="both"/>
        <w:rPr>
          <w:rFonts w:ascii="Times New Roman" w:hAnsi="Times New Roman" w:cs="Times New Roman"/>
        </w:rPr>
      </w:pPr>
      <m:oMathPara>
        <m:oMath>
          <m:r>
            <w:rPr>
              <w:rFonts w:ascii="Cambria Math" w:hAnsi="Cambria Math" w:cs="Times New Roman"/>
            </w:rPr>
            <m:t>Z</m:t>
          </m:r>
          <m:d>
            <m:dPr>
              <m:ctrlPr>
                <w:rPr>
                  <w:rFonts w:ascii="Cambria Math" w:hAnsi="Cambria Math" w:cs="Times New Roman"/>
                  <w:i/>
                </w:rPr>
              </m:ctrlPr>
            </m:dPr>
            <m:e>
              <m:r>
                <m:rPr>
                  <m:sty m:val="b"/>
                </m:rPr>
                <w:rPr>
                  <w:rFonts w:ascii="Cambria Math" w:hAnsi="Cambria Math" w:cs="Times New Roman"/>
                </w:rPr>
                <m:t>z</m:t>
              </m:r>
            </m:e>
          </m:d>
          <m:r>
            <w:rPr>
              <w:rFonts w:ascii="Cambria Math" w:hAnsi="Cambria Math" w:cs="Times New Roman"/>
            </w:rPr>
            <m:t>=</m:t>
          </m:r>
          <m:nary>
            <m:naryPr>
              <m:chr m:val="∑"/>
              <m:supHide m:val="1"/>
              <m:ctrlPr>
                <w:rPr>
                  <w:rFonts w:ascii="Cambria Math" w:hAnsi="Cambria Math" w:cs="Times New Roman"/>
                  <w:i/>
                </w:rPr>
              </m:ctrlPr>
            </m:naryPr>
            <m:sub>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sub>
            <m:sup>
              <m:ctrlPr>
                <w:rPr>
                  <w:rFonts w:ascii="Cambria Math" w:hAnsi="Cambria Math" w:cs="Times New Roman"/>
                  <w:b/>
                </w:rPr>
              </m:ctrlPr>
            </m:sup>
            <m:e>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cDBM</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e>
                  </m:d>
                </m:e>
              </m:func>
              <m:ctrlPr>
                <w:rPr>
                  <w:rFonts w:ascii="Cambria Math" w:hAnsi="Cambria Math" w:cs="Times New Roman"/>
                  <w:b/>
                </w:rPr>
              </m:ctrlPr>
            </m:e>
          </m:nary>
          <m:r>
            <m:rPr>
              <m:sty m:val="b"/>
            </m:rPr>
            <w:rPr>
              <w:rFonts w:ascii="Cambria Math" w:hAnsi="Cambria Math" w:cs="Times New Roman"/>
            </w:rPr>
            <m:t xml:space="preserve">.  </m:t>
          </m:r>
        </m:oMath>
      </m:oMathPara>
    </w:p>
    <w:p w14:paraId="300AF306"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25C5D176" wp14:editId="2CACE13C">
                <wp:simplePos x="0" y="0"/>
                <wp:positionH relativeFrom="column">
                  <wp:posOffset>5763895</wp:posOffset>
                </wp:positionH>
                <wp:positionV relativeFrom="paragraph">
                  <wp:posOffset>767556</wp:posOffset>
                </wp:positionV>
                <wp:extent cx="277495" cy="334645"/>
                <wp:effectExtent l="0" t="0" r="1905" b="20955"/>
                <wp:wrapNone/>
                <wp:docPr id="64" name="Text Box 64"/>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904813" w14:textId="77777777" w:rsidR="00B31588" w:rsidRPr="005E01D8" w:rsidRDefault="00B31588" w:rsidP="00527832">
                            <w:pPr>
                              <w:rPr>
                                <w:lang w:val="en-US"/>
                              </w:rPr>
                            </w:pPr>
                            <w:r>
                              <w:rPr>
                                <w:lang w:val="en-US"/>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C5D176" id="Text Box 64" o:spid="_x0000_s1033" type="#_x0000_t202" style="position:absolute;margin-left:453.85pt;margin-top:60.45pt;width:21.85pt;height:2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" filled="f" stroked="f">
                <v:textbox inset="0,0,0,0">
                  <w:txbxContent>
                    <w:p w14:paraId="42904813" w14:textId="77777777" w:rsidR="00B31588" w:rsidRPr="005E01D8" w:rsidRDefault="00B31588" w:rsidP="00527832">
                      <w:pPr>
                        <w:rPr>
                          <w:lang w:val="en-US"/>
                        </w:rPr>
                      </w:pPr>
                      <w:r>
                        <w:rPr>
                          <w:lang w:val="en-US"/>
                        </w:rPr>
                        <w:t>(8)</w:t>
                      </w:r>
                    </w:p>
                  </w:txbxContent>
                </v:textbox>
              </v:shape>
            </w:pict>
          </mc:Fallback>
        </mc:AlternateContent>
      </w:r>
      <w:r w:rsidRPr="00FC7FB5">
        <w:rPr>
          <w:rFonts w:ascii="Times New Roman" w:hAnsi="Times New Roman" w:cs="Times New Roman"/>
        </w:rPr>
        <w:t>The cDBM can be trained by adapting the Persistent Markov Chain Monte Carlo algorithm used in (Salakhutdinov and Hinton, 2012).  In this approach, following a pre-training phase which uses CD to train adjacent layers as RBMs, the weights for the whole network are optimized jointly by approximating the gradient to the full data log-likelihood of the model.  For the cDBM, we can write the approximation as:</w:t>
      </w:r>
    </w:p>
    <w:p w14:paraId="2F19FC88" w14:textId="77777777" w:rsidR="00527832" w:rsidRPr="00FC7FB5" w:rsidRDefault="003C62F0" w:rsidP="00A2563A">
      <w:pPr>
        <w:spacing w:before="0" w:line="24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m:t>
              </m:r>
              <m:r>
                <m:rPr>
                  <m:sty m:val="p"/>
                </m:rPr>
                <w:rPr>
                  <w:rFonts w:ascii="Cambria Math" w:hAnsi="Cambria Math" w:cs="Times New Roman"/>
                </w:rPr>
                <m:t>log⁡</m:t>
              </m:r>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x,y</m:t>
                  </m:r>
                  <m:r>
                    <m:rPr>
                      <m:sty m:val="p"/>
                    </m:rPr>
                    <w:rPr>
                      <w:rFonts w:ascii="Cambria Math" w:hAnsi="Cambria Math" w:cs="Times New Roman"/>
                    </w:rPr>
                    <m:t>|</m:t>
                  </m:r>
                  <m:r>
                    <m:rPr>
                      <m:sty m:val="b"/>
                    </m:rPr>
                    <w:rPr>
                      <w:rFonts w:ascii="Cambria Math" w:hAnsi="Cambria Math" w:cs="Times New Roman"/>
                    </w:rPr>
                    <m:t>z</m:t>
                  </m:r>
                </m:e>
              </m:d>
              <m:r>
                <w:rPr>
                  <w:rFonts w:ascii="Cambria Math" w:hAnsi="Cambria Math" w:cs="Times New Roman"/>
                </w:rPr>
                <m:t>)</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1ij</m:t>
                  </m:r>
                </m:sub>
              </m:sSub>
            </m:den>
          </m:f>
          <m:r>
            <w:rPr>
              <w:rFonts w:ascii="Cambria Math" w:hAnsi="Cambria Math" w:cs="Times New Roman"/>
            </w:rPr>
            <m:t>≈&lt;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1j</m:t>
                  </m:r>
                </m:sub>
              </m:sSub>
              <m:r>
                <w:rPr>
                  <w:rFonts w:ascii="Cambria Math" w:hAnsi="Cambria Math" w:cs="Times New Roman"/>
                </w:rPr>
                <m:t>|</m:t>
              </m:r>
              <m:r>
                <m:rPr>
                  <m:sty m:val="b"/>
                </m:rPr>
                <w:rPr>
                  <w:rFonts w:ascii="Cambria Math" w:hAnsi="Cambria Math" w:cs="Times New Roman"/>
                </w:rPr>
                <m:t>z</m:t>
              </m:r>
              <m:r>
                <w:rPr>
                  <w:rFonts w:ascii="Cambria Math" w:hAnsi="Cambria Math" w:cs="Times New Roman"/>
                </w:rPr>
                <m:t>&gt;</m:t>
              </m:r>
            </m:e>
            <m:sub>
              <m:r>
                <w:rPr>
                  <w:rFonts w:ascii="Cambria Math" w:hAnsi="Cambria Math" w:cs="Times New Roman"/>
                </w:rPr>
                <m:t>MF</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1j</m:t>
              </m:r>
            </m:sub>
          </m:sSub>
          <m:sSub>
            <m:sSubPr>
              <m:ctrlPr>
                <w:rPr>
                  <w:rFonts w:ascii="Cambria Math" w:hAnsi="Cambria Math" w:cs="Times New Roman"/>
                  <w:i/>
                </w:rPr>
              </m:ctrlPr>
            </m:sSubPr>
            <m:e>
              <m:r>
                <w:rPr>
                  <w:rFonts w:ascii="Cambria Math" w:hAnsi="Cambria Math" w:cs="Times New Roman"/>
                </w:rPr>
                <m:t>|</m:t>
              </m:r>
              <m:r>
                <m:rPr>
                  <m:sty m:val="b"/>
                </m:rPr>
                <w:rPr>
                  <w:rFonts w:ascii="Cambria Math" w:hAnsi="Cambria Math" w:cs="Times New Roman"/>
                </w:rPr>
                <m:t>z</m:t>
              </m:r>
              <m:r>
                <w:rPr>
                  <w:rFonts w:ascii="Cambria Math" w:hAnsi="Cambria Math" w:cs="Times New Roman"/>
                </w:rPr>
                <m:t>&gt;</m:t>
              </m:r>
            </m:e>
            <m:sub>
              <m:r>
                <w:rPr>
                  <w:rFonts w:ascii="Cambria Math" w:hAnsi="Cambria Math" w:cs="Times New Roman"/>
                </w:rPr>
                <m:t>pMCMC</m:t>
              </m:r>
            </m:sub>
          </m:sSub>
          <m:r>
            <w:rPr>
              <w:rFonts w:ascii="Cambria Math" w:hAnsi="Cambria Math" w:cs="Times New Roman"/>
            </w:rPr>
            <m:t>=</m:t>
          </m:r>
          <m:r>
            <m:rPr>
              <m:sty m:val="p"/>
            </m:rPr>
            <w:rPr>
              <w:rFonts w:ascii="Cambria Math" w:hAnsi="Cambria Math" w:cs="Times New Roman"/>
            </w:rPr>
            <m:t>pMCMC</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1ij</m:t>
                  </m:r>
                </m:sub>
              </m:sSub>
            </m:e>
          </m:d>
          <m:r>
            <w:rPr>
              <w:rFonts w:ascii="Cambria Math" w:hAnsi="Cambria Math" w:cs="Times New Roman"/>
            </w:rPr>
            <m:t>,</m:t>
          </m:r>
        </m:oMath>
      </m:oMathPara>
    </w:p>
    <w:p w14:paraId="12F9AE99" w14:textId="77777777"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rPr>
        <w:t xml:space="preserve">where for convenience we show only the gradient for a weight in matrix </w:t>
      </w:r>
      <m:oMath>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1</m:t>
            </m:r>
          </m:sub>
        </m:sSub>
      </m:oMath>
      <w:r w:rsidRPr="00FC7FB5">
        <w:rPr>
          <w:rFonts w:ascii="Times New Roman" w:hAnsi="Times New Roman" w:cs="Times New Roman"/>
        </w:rPr>
        <w:t xml:space="preserve">.  The first term </w:t>
      </w:r>
      <m:oMath>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&gt;</m:t>
            </m:r>
          </m:e>
          <m:sub>
            <m:r>
              <w:rPr>
                <w:rFonts w:ascii="Cambria Math" w:hAnsi="Cambria Math" w:cs="Times New Roman"/>
                <w:sz w:val="24"/>
                <w:szCs w:val="24"/>
              </w:rPr>
              <m:t>MF</m:t>
            </m:r>
          </m:sub>
        </m:sSub>
      </m:oMath>
      <w:r w:rsidRPr="00FC7FB5">
        <w:rPr>
          <w:rFonts w:ascii="Times New Roman" w:hAnsi="Times New Roman" w:cs="Times New Roman"/>
          <w:sz w:val="24"/>
          <w:szCs w:val="24"/>
        </w:rPr>
        <w:t xml:space="preserve"> </w:t>
      </w:r>
      <w:r w:rsidRPr="00FC7FB5">
        <w:rPr>
          <w:rFonts w:ascii="Times New Roman" w:hAnsi="Times New Roman" w:cs="Times New Roman"/>
        </w:rPr>
        <w:t xml:space="preserve">uses a mean-field approximation to evaluate the conditional expectation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1j</m:t>
            </m:r>
          </m:sub>
        </m:sSub>
      </m:oMath>
      <w:r w:rsidRPr="00FC7FB5">
        <w:rPr>
          <w:rFonts w:ascii="Times New Roman" w:hAnsi="Times New Roman" w:cs="Times New Roman"/>
        </w:rPr>
        <w:t xml:space="preserve"> when </w:t>
      </w:r>
      <m:oMath>
        <m:r>
          <m:rPr>
            <m:sty m:val="b"/>
          </m:rPr>
          <w:rPr>
            <w:rFonts w:ascii="Cambria Math" w:hAnsi="Cambria Math" w:cs="Times New Roman"/>
          </w:rPr>
          <m:t>x</m:t>
        </m:r>
      </m:oMath>
      <w:r w:rsidRPr="00FC7FB5">
        <w:rPr>
          <w:rFonts w:ascii="Times New Roman" w:hAnsi="Times New Roman" w:cs="Times New Roman"/>
          <w:b/>
        </w:rPr>
        <w:t xml:space="preserve"> </w:t>
      </w:r>
      <w:r w:rsidRPr="00FC7FB5">
        <w:rPr>
          <w:rFonts w:ascii="Times New Roman" w:hAnsi="Times New Roman" w:cs="Times New Roman"/>
        </w:rPr>
        <w:t>and</w:t>
      </w:r>
      <w:r w:rsidRPr="00FC7FB5">
        <w:rPr>
          <w:rFonts w:ascii="Times New Roman" w:hAnsi="Times New Roman" w:cs="Times New Roman"/>
          <w:b/>
        </w:rPr>
        <w:t xml:space="preserve"> </w:t>
      </w:r>
      <m:oMath>
        <m:r>
          <m:rPr>
            <m:sty m:val="b"/>
          </m:rPr>
          <w:rPr>
            <w:rFonts w:ascii="Cambria Math" w:hAnsi="Cambria Math" w:cs="Times New Roman"/>
          </w:rPr>
          <m:t>z</m:t>
        </m:r>
      </m:oMath>
      <w:r w:rsidRPr="00FC7FB5">
        <w:rPr>
          <w:rFonts w:ascii="Times New Roman" w:hAnsi="Times New Roman" w:cs="Times New Roman"/>
          <w:b/>
        </w:rPr>
        <w:t xml:space="preserve"> </w:t>
      </w:r>
      <w:r w:rsidRPr="00FC7FB5">
        <w:rPr>
          <w:rFonts w:ascii="Times New Roman" w:hAnsi="Times New Roman" w:cs="Times New Roman"/>
        </w:rPr>
        <w:t xml:space="preserve">are clamped to their observed values (due to this clamping, the unimodal form of the mean-field distribution is expected to hold approximately).  Mean-field updates in the cDBM may be calculated straightforwardly by incorporating terms involving </w:t>
      </w:r>
      <m:oMath>
        <m:r>
          <m:rPr>
            <m:sty m:val="b"/>
          </m:rPr>
          <w:rPr>
            <w:rFonts w:ascii="Cambria Math" w:hAnsi="Cambria Math" w:cs="Times New Roman"/>
          </w:rPr>
          <m:t>V</m:t>
        </m:r>
      </m:oMath>
      <w:r w:rsidRPr="00FC7FB5">
        <w:rPr>
          <w:rFonts w:ascii="Times New Roman" w:hAnsi="Times New Roman" w:cs="Times New Roman"/>
          <w:b/>
        </w:rPr>
        <w:t xml:space="preserve"> </w:t>
      </w:r>
      <w:r w:rsidRPr="00FC7FB5">
        <w:rPr>
          <w:rFonts w:ascii="Times New Roman" w:hAnsi="Times New Roman" w:cs="Times New Roman"/>
        </w:rPr>
        <w:t xml:space="preserve">into the energy.  The second term approximates the model statistics with </w:t>
      </w:r>
      <m:oMath>
        <m:r>
          <m:rPr>
            <m:sty m:val="b"/>
          </m:rPr>
          <w:rPr>
            <w:rFonts w:ascii="Cambria Math" w:hAnsi="Cambria Math" w:cs="Times New Roman"/>
          </w:rPr>
          <m:t>x</m:t>
        </m:r>
      </m:oMath>
      <w:r w:rsidRPr="00FC7FB5">
        <w:rPr>
          <w:rFonts w:ascii="Times New Roman" w:hAnsi="Times New Roman" w:cs="Times New Roman"/>
          <w:b/>
        </w:rPr>
        <w:t xml:space="preserve"> </w:t>
      </w:r>
      <w:r w:rsidRPr="00FC7FB5">
        <w:rPr>
          <w:rFonts w:ascii="Times New Roman" w:hAnsi="Times New Roman" w:cs="Times New Roman"/>
        </w:rPr>
        <w:t xml:space="preserve">unclamped; in the case of the DBM a set of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pMC</m:t>
            </m:r>
          </m:sub>
        </m:sSub>
      </m:oMath>
      <w:r w:rsidRPr="00FC7FB5">
        <w:rPr>
          <w:rFonts w:ascii="Times New Roman" w:hAnsi="Times New Roman" w:cs="Times New Roman"/>
        </w:rPr>
        <w:t xml:space="preserve"> persistent Markov Chains are maintained for this purpose, each tracking the trajectory of a ‘fantasy particle’ consisting of a joint setting of the model variables </w:t>
      </w:r>
      <m:oMath>
        <m:r>
          <w:rPr>
            <w:rFonts w:ascii="Cambria Math" w:hAnsi="Cambria Math" w:cs="Times New Roman"/>
          </w:rPr>
          <m:t>(</m:t>
        </m:r>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oMath>
      <w:r w:rsidRPr="00FC7FB5">
        <w:rPr>
          <w:rFonts w:ascii="Times New Roman" w:hAnsi="Times New Roman" w:cs="Times New Roman"/>
        </w:rPr>
        <w:t>).  The fantasy particles make a fixed number of updates at each gradient iteration using the current model weight settings, and are not re-initialized (hence ‘persisting’) between gradient updates (each can be thought of as a series of Markov chains with changing parameters, or a single Markov chain over the model variables and weight parameters).  The fantasy particles can then be used to estimate the required model expectations for the gradient.  A similar approach can be used for the cDBM, only because the required term in the gradient is now a conditional expectation, it cannot be estimated by calculating expectations over a set of fantasy particles all evolving according to the same Markov process.  Rather, a set of fantasy particles is required for each training sample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pMC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fantasy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train</m:t>
            </m:r>
          </m:sub>
        </m:sSub>
        <m:r>
          <w:rPr>
            <w:rFonts w:ascii="Cambria Math" w:hAnsi="Cambria Math" w:cs="Times New Roman"/>
          </w:rPr>
          <m:t>)</m:t>
        </m:r>
      </m:oMath>
      <w:r w:rsidRPr="00FC7FB5">
        <w:rPr>
          <w:rFonts w:ascii="Times New Roman" w:hAnsi="Times New Roman" w:cs="Times New Roman"/>
        </w:rPr>
        <w:t xml:space="preserve">, each evolving according to a Markov process conditioned on that sample’s </w:t>
      </w:r>
      <m:oMath>
        <m:r>
          <m:rPr>
            <m:sty m:val="b"/>
          </m:rPr>
          <w:rPr>
            <w:rFonts w:ascii="Cambria Math" w:hAnsi="Cambria Math" w:cs="Times New Roman"/>
          </w:rPr>
          <m:t>z</m:t>
        </m:r>
      </m:oMath>
      <w:r w:rsidRPr="00FC7FB5">
        <w:rPr>
          <w:rFonts w:ascii="Times New Roman" w:hAnsi="Times New Roman" w:cs="Times New Roman"/>
          <w:b/>
        </w:rPr>
        <w:t xml:space="preserve"> </w:t>
      </w:r>
      <w:r w:rsidRPr="00FC7FB5">
        <w:rPr>
          <w:rFonts w:ascii="Times New Roman" w:hAnsi="Times New Roman" w:cs="Times New Roman"/>
        </w:rPr>
        <w:t xml:space="preserve">value, and the expectation is calculated across the entire collection.  Stochastic gradient updates are then made to the weights as in Eq. 5 (substituting </w:t>
      </w:r>
      <m:oMath>
        <m:r>
          <m:rPr>
            <m:sty m:val="p"/>
          </m:rPr>
          <w:rPr>
            <w:rFonts w:ascii="Cambria Math" w:hAnsi="Cambria Math" w:cs="Times New Roman"/>
          </w:rPr>
          <m:t>pMCMC</m:t>
        </m:r>
        <m:r>
          <w:rPr>
            <w:rFonts w:ascii="Cambria Math" w:hAnsi="Cambria Math" w:cs="Times New Roman"/>
          </w:rPr>
          <m:t>(.)</m:t>
        </m:r>
      </m:oMath>
      <w:r w:rsidRPr="00FC7FB5">
        <w:rPr>
          <w:rFonts w:ascii="Times New Roman" w:hAnsi="Times New Roman" w:cs="Times New Roman"/>
        </w:rPr>
        <w:t xml:space="preserve"> for </w:t>
      </w:r>
      <m:oMath>
        <m:r>
          <m:rPr>
            <m:sty m:val="p"/>
          </m:rPr>
          <w:rPr>
            <w:rFonts w:ascii="Cambria Math" w:hAnsi="Cambria Math" w:cs="Times New Roman"/>
          </w:rPr>
          <m:t>CD</m:t>
        </m:r>
        <m:r>
          <w:rPr>
            <w:rFonts w:ascii="Cambria Math" w:hAnsi="Cambria Math" w:cs="Times New Roman"/>
          </w:rPr>
          <m:t>(.)</m:t>
        </m:r>
      </m:oMath>
      <w:r w:rsidRPr="00FC7FB5">
        <w:rPr>
          <w:rFonts w:ascii="Times New Roman" w:hAnsi="Times New Roman" w:cs="Times New Roman"/>
        </w:rPr>
        <w:t xml:space="preserve">).  Finally, as in (Salakhutdinov and Hinton, 2012) back-propagation can be applied for fine-tuning, and </w:t>
      </w:r>
      <w:r w:rsidRPr="0091320A">
        <w:rPr>
          <w:rFonts w:ascii="Times New Roman" w:hAnsi="Times New Roman" w:cs="Times New Roman"/>
        </w:rPr>
        <w:t>we</w:t>
      </w:r>
      <w:r>
        <w:rPr>
          <w:rFonts w:ascii="Times New Roman" w:hAnsi="Times New Roman" w:cs="Times New Roman"/>
        </w:rPr>
        <w:t xml:space="preserve"> </w:t>
      </w:r>
      <w:r w:rsidRPr="00FC7FB5">
        <w:rPr>
          <w:rFonts w:ascii="Times New Roman" w:hAnsi="Times New Roman" w:cs="Times New Roman"/>
        </w:rPr>
        <w:t>use a single forward pass through the network for prediction.  Settings of the parameters above are described in the context of the DPSN in the following section.</w:t>
      </w:r>
    </w:p>
    <w:p w14:paraId="0FABD81C" w14:textId="77777777" w:rsidR="00527832" w:rsidRPr="00FC7FB5" w:rsidRDefault="00527832" w:rsidP="00A2563A">
      <w:pPr>
        <w:spacing w:before="0" w:line="240" w:lineRule="auto"/>
        <w:jc w:val="both"/>
        <w:rPr>
          <w:rFonts w:ascii="Times New Roman" w:hAnsi="Times New Roman" w:cs="Times New Roman"/>
          <w:sz w:val="24"/>
          <w:szCs w:val="24"/>
        </w:rPr>
      </w:pPr>
    </w:p>
    <w:p w14:paraId="4E8E6A4F" w14:textId="77777777" w:rsidR="00527832" w:rsidRPr="00D51A3C" w:rsidRDefault="00527832" w:rsidP="00A2563A">
      <w:pPr>
        <w:spacing w:before="0" w:line="240" w:lineRule="auto"/>
        <w:jc w:val="both"/>
        <w:rPr>
          <w:rFonts w:ascii="Helvetica" w:hAnsi="Helvetica" w:cs="Times New Roman"/>
          <w:b/>
        </w:rPr>
      </w:pPr>
      <w:r w:rsidRPr="00D51A3C">
        <w:rPr>
          <w:rFonts w:ascii="Helvetica" w:hAnsi="Helvetica" w:cs="Times New Roman"/>
          <w:b/>
        </w:rPr>
        <w:t>8.2.4 Deep Structured Phenotype Network (DSPN)</w:t>
      </w:r>
    </w:p>
    <w:p w14:paraId="4891451F" w14:textId="77777777" w:rsidR="00527832" w:rsidRPr="00FC7FB5" w:rsidRDefault="00527832" w:rsidP="00A2563A">
      <w:pPr>
        <w:pStyle w:val="Heading2"/>
        <w:spacing w:before="0"/>
        <w:rPr>
          <w:rFonts w:ascii="Times New Roman" w:hAnsi="Times New Roman" w:cs="Times New Roman"/>
          <w:b w:val="0"/>
          <w:sz w:val="22"/>
          <w:szCs w:val="22"/>
        </w:rPr>
      </w:pPr>
      <w:r w:rsidRPr="00FC7FB5">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1E83A425" wp14:editId="16726FBB">
                <wp:simplePos x="0" y="0"/>
                <wp:positionH relativeFrom="column">
                  <wp:posOffset>5720239</wp:posOffset>
                </wp:positionH>
                <wp:positionV relativeFrom="paragraph">
                  <wp:posOffset>505460</wp:posOffset>
                </wp:positionV>
                <wp:extent cx="277495" cy="334645"/>
                <wp:effectExtent l="0" t="0" r="1905" b="20955"/>
                <wp:wrapNone/>
                <wp:docPr id="45" name="Text Box 45"/>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06B1B" w14:textId="77777777" w:rsidR="00B31588" w:rsidRPr="005E01D8" w:rsidRDefault="00B31588" w:rsidP="00527832">
                            <w:pPr>
                              <w:rPr>
                                <w:lang w:val="en-US"/>
                              </w:rPr>
                            </w:pPr>
                            <w:r>
                              <w:rPr>
                                <w:lang w:val="en-US"/>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83A425" id="Text Box 45" o:spid="_x0000_s1034" type="#_x0000_t202" style="position:absolute;margin-left:450.4pt;margin-top:39.8pt;width:21.85pt;height:2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" filled="f" stroked="f">
                <v:textbox inset="0,0,0,0">
                  <w:txbxContent>
                    <w:p w14:paraId="46406B1B" w14:textId="77777777" w:rsidR="00B31588" w:rsidRPr="005E01D8" w:rsidRDefault="00B31588" w:rsidP="00527832">
                      <w:pPr>
                        <w:rPr>
                          <w:lang w:val="en-US"/>
                        </w:rPr>
                      </w:pPr>
                      <w:r>
                        <w:rPr>
                          <w:lang w:val="en-US"/>
                        </w:rPr>
                        <w:t>(9)</w:t>
                      </w:r>
                    </w:p>
                  </w:txbxContent>
                </v:textbox>
              </v:shape>
            </w:pict>
          </mc:Fallback>
        </mc:AlternateContent>
      </w:r>
      <w:r w:rsidRPr="00FC7FB5">
        <w:rPr>
          <w:rFonts w:ascii="Times New Roman" w:hAnsi="Times New Roman" w:cs="Times New Roman"/>
          <w:b w:val="0"/>
          <w:sz w:val="22"/>
          <w:szCs w:val="22"/>
        </w:rPr>
        <w:t>We define a Deep Structured Phenotype Network (DSPN) as a conditional Deep Boltzmann Machine, with extra structure added to the visible units to reflect regulatory relationships between various intermediate phenotypes.  The general form of the model is:</w:t>
      </w:r>
      <w:r w:rsidRPr="00FC7FB5">
        <w:rPr>
          <w:rFonts w:ascii="Times New Roman" w:hAnsi="Times New Roman" w:cs="Times New Roman"/>
          <w:noProof/>
          <w:lang w:val="en-US"/>
        </w:rPr>
        <w:t xml:space="preserve"> </w:t>
      </w:r>
    </w:p>
    <w:p w14:paraId="081589BC" w14:textId="77777777" w:rsidR="00527832" w:rsidRPr="00FC7FB5" w:rsidRDefault="00527832" w:rsidP="00A2563A">
      <w:pPr>
        <w:spacing w:before="0" w:line="240" w:lineRule="auto"/>
        <w:jc w:val="center"/>
        <w:rPr>
          <w:rFonts w:ascii="Times New Roman" w:hAnsi="Times New Roman" w:cs="Times New Roman"/>
        </w:rPr>
      </w:pP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DSPN</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e>
            </m:d>
          </m:e>
        </m:func>
        <m:r>
          <w:rPr>
            <w:rFonts w:ascii="Cambria Math" w:hAnsi="Cambria Math" w:cs="Times New Roman"/>
          </w:rPr>
          <m:t>/Z(</m:t>
        </m:r>
        <m:r>
          <m:rPr>
            <m:sty m:val="b"/>
          </m:rPr>
          <w:rPr>
            <w:rFonts w:ascii="Cambria Math" w:hAnsi="Cambria Math" w:cs="Times New Roman"/>
          </w:rPr>
          <m:t>z</m:t>
        </m:r>
        <m:r>
          <w:rPr>
            <w:rFonts w:ascii="Cambria Math" w:hAnsi="Cambria Math" w:cs="Times New Roman"/>
          </w:rPr>
          <m:t>)</m:t>
        </m:r>
      </m:oMath>
      <w:r w:rsidRPr="00FC7FB5">
        <w:rPr>
          <w:rFonts w:ascii="Times New Roman" w:hAnsi="Times New Roman" w:cs="Times New Roman"/>
        </w:rPr>
        <w:t>,</w:t>
      </w:r>
    </w:p>
    <w:p w14:paraId="3D51B21C" w14:textId="77777777" w:rsidR="00527832" w:rsidRPr="00FC7FB5" w:rsidRDefault="003C62F0" w:rsidP="00A2563A">
      <w:pPr>
        <w:spacing w:before="0" w:line="24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DSPN</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r>
            <m:rPr>
              <m:sty m:val="b"/>
            </m:rPr>
            <w:rPr>
              <w:rFonts w:ascii="Cambria Math" w:hAnsi="Cambria Math" w:cs="Times New Roman"/>
            </w:rPr>
            <m:t>Vx</m:t>
          </m:r>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m:rPr>
              <m:sty m:val="b"/>
            </m:rPr>
            <w:rPr>
              <w:rFonts w:ascii="Cambria Math" w:hAnsi="Cambria Math" w:cs="Times New Roman"/>
            </w:rPr>
            <m:t>Ux</m:t>
          </m:r>
          <m: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1</m:t>
              </m:r>
            </m:sub>
          </m:sSub>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1</m:t>
              </m: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W</m:t>
              </m:r>
            </m:e>
            <m:sub>
              <m:r>
                <m:rPr>
                  <m:sty m:val="b"/>
                </m:rPr>
                <w:rPr>
                  <w:rFonts w:ascii="Cambria Math" w:hAnsi="Cambria Math" w:cs="Times New Roman"/>
                </w:rPr>
                <m:t>2</m:t>
              </m:r>
            </m:sub>
          </m:sSub>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2</m:t>
              </m: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W</m:t>
              </m:r>
            </m:e>
            <m:sub>
              <m:r>
                <w:rPr>
                  <w:rFonts w:ascii="Cambria Math" w:hAnsi="Cambria Math" w:cs="Times New Roman"/>
                </w:rPr>
                <m:t>lab</m:t>
              </m:r>
            </m:sub>
          </m:sSub>
          <m:r>
            <m:rPr>
              <m:sty m:val="b"/>
            </m:rPr>
            <w:rPr>
              <w:rFonts w:ascii="Cambria Math" w:hAnsi="Cambria Math" w:cs="Times New Roman"/>
            </w:rPr>
            <m:t>y</m:t>
          </m:r>
          <m:r>
            <m:rPr>
              <m:sty m:val="bi"/>
            </m:rPr>
            <w:rPr>
              <w:rFonts w:ascii="Cambria Math" w:hAnsi="Cambria Math" w:cs="Times New Roman"/>
            </w:rPr>
            <m:t>-</m:t>
          </m:r>
          <m:d>
            <m:dPr>
              <m:begChr m:val="["/>
              <m:endChr m:val="]"/>
              <m:ctrlPr>
                <w:rPr>
                  <w:rFonts w:ascii="Cambria Math" w:hAnsi="Cambria Math" w:cs="Times New Roman"/>
                  <w:b/>
                </w:rPr>
              </m:ctrlPr>
            </m:dPr>
            <m:e>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1</m:t>
                  </m: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2</m:t>
                  </m: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r>
                <m:rPr>
                  <m:sty m:val="b"/>
                </m:rPr>
                <w:rPr>
                  <w:rFonts w:ascii="Cambria Math" w:hAnsi="Cambria Math" w:cs="Times New Roman"/>
                </w:rPr>
                <m:t>y</m:t>
              </m:r>
            </m:e>
          </m:d>
          <m:r>
            <m:rPr>
              <m:sty m:val="b"/>
            </m:rPr>
            <w:rPr>
              <w:rFonts w:ascii="Cambria Math" w:hAnsi="Cambria Math" w:cs="Times New Roman"/>
            </w:rPr>
            <m:t>b</m:t>
          </m:r>
          <m:r>
            <m:rPr>
              <m:sty m:val="p"/>
            </m:rPr>
            <w:rPr>
              <w:rFonts w:ascii="Cambria Math" w:hAnsi="Cambria Math" w:cs="Times New Roman"/>
            </w:rPr>
            <m:t>,</m:t>
          </m:r>
        </m:oMath>
      </m:oMathPara>
    </w:p>
    <w:p w14:paraId="022ABA96" w14:textId="77777777" w:rsidR="00527832" w:rsidRPr="00FC7FB5" w:rsidRDefault="00527832" w:rsidP="00A2563A">
      <w:pPr>
        <w:spacing w:before="0" w:line="240" w:lineRule="auto"/>
        <w:jc w:val="both"/>
        <w:rPr>
          <w:rFonts w:ascii="Times New Roman" w:hAnsi="Times New Roman" w:cs="Times New Roman"/>
        </w:rPr>
      </w:pPr>
      <m:oMathPara>
        <m:oMath>
          <m:r>
            <w:rPr>
              <w:rFonts w:ascii="Cambria Math" w:hAnsi="Cambria Math" w:cs="Times New Roman"/>
            </w:rPr>
            <m:t>Z(</m:t>
          </m:r>
          <m:r>
            <m:rPr>
              <m:sty m:val="b"/>
            </m:rPr>
            <w:rPr>
              <w:rFonts w:ascii="Cambria Math" w:hAnsi="Cambria Math" w:cs="Times New Roman"/>
            </w:rPr>
            <m:t>z</m:t>
          </m:r>
          <m:r>
            <w:rPr>
              <w:rFonts w:ascii="Cambria Math" w:hAnsi="Cambria Math" w:cs="Times New Roman"/>
            </w:rPr>
            <m:t>)=</m:t>
          </m:r>
          <m:nary>
            <m:naryPr>
              <m:chr m:val="∑"/>
              <m:supHide m:val="1"/>
              <m:ctrlPr>
                <w:rPr>
                  <w:rFonts w:ascii="Cambria Math" w:hAnsi="Cambria Math" w:cs="Times New Roman"/>
                  <w:i/>
                </w:rPr>
              </m:ctrlPr>
            </m:naryPr>
            <m:sub>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sub>
            <m:sup>
              <m:ctrlPr>
                <w:rPr>
                  <w:rFonts w:ascii="Cambria Math" w:hAnsi="Cambria Math" w:cs="Times New Roman"/>
                  <w:b/>
                </w:rPr>
              </m:ctrlPr>
            </m:sup>
            <m:e>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DSPN</m:t>
                          </m:r>
                        </m:sub>
                      </m:sSub>
                      <m:d>
                        <m:dPr>
                          <m:ctrlPr>
                            <w:rPr>
                              <w:rFonts w:ascii="Cambria Math" w:hAnsi="Cambria Math" w:cs="Times New Roman"/>
                              <w:i/>
                            </w:rPr>
                          </m:ctrlPr>
                        </m:dPr>
                        <m:e>
                          <m:r>
                            <m:rPr>
                              <m:sty m:val="b"/>
                            </m:rPr>
                            <w:rPr>
                              <w:rFonts w:ascii="Cambria Math" w:hAnsi="Cambria Math" w:cs="Times New Roman"/>
                            </w:rPr>
                            <m:t>x,y,</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1</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b"/>
                                </m:rPr>
                                <w:rPr>
                                  <w:rFonts w:ascii="Cambria Math" w:hAnsi="Cambria Math" w:cs="Times New Roman"/>
                                </w:rPr>
                                <m:t>2</m:t>
                              </m:r>
                            </m:sub>
                          </m:sSub>
                          <m:r>
                            <m:rPr>
                              <m:sty m:val="p"/>
                            </m:rPr>
                            <w:rPr>
                              <w:rFonts w:ascii="Cambria Math" w:hAnsi="Cambria Math" w:cs="Times New Roman"/>
                            </w:rPr>
                            <m:t>|</m:t>
                          </m:r>
                          <m:r>
                            <m:rPr>
                              <m:sty m:val="b"/>
                            </m:rPr>
                            <w:rPr>
                              <w:rFonts w:ascii="Cambria Math" w:hAnsi="Cambria Math" w:cs="Times New Roman"/>
                            </w:rPr>
                            <m:t>z</m:t>
                          </m:r>
                        </m:e>
                      </m:d>
                    </m:e>
                  </m:d>
                </m:e>
              </m:func>
              <m:ctrlPr>
                <w:rPr>
                  <w:rFonts w:ascii="Cambria Math" w:hAnsi="Cambria Math" w:cs="Times New Roman"/>
                  <w:b/>
                </w:rPr>
              </m:ctrlPr>
            </m:e>
          </m:nary>
          <m:r>
            <m:rPr>
              <m:sty m:val="b"/>
            </m:rPr>
            <w:rPr>
              <w:rFonts w:ascii="Cambria Math" w:hAnsi="Cambria Math" w:cs="Times New Roman"/>
            </w:rPr>
            <m:t xml:space="preserve">,  </m:t>
          </m:r>
        </m:oMath>
      </m:oMathPara>
    </w:p>
    <w:p w14:paraId="3C44BAE0" w14:textId="74A871A4" w:rsidR="00527832" w:rsidRPr="00FC7FB5" w:rsidRDefault="009F0A7A" w:rsidP="00A2563A">
      <w:pPr>
        <w:spacing w:before="0" w:line="240" w:lineRule="auto"/>
        <w:rPr>
          <w:rFonts w:ascii="Times New Roman" w:hAnsi="Times New Roman" w:cs="Times New Roman"/>
        </w:rPr>
      </w:pPr>
      <w:r w:rsidRPr="00FC7FB5">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2B82045C" wp14:editId="2CE8E83B">
                <wp:simplePos x="0" y="0"/>
                <wp:positionH relativeFrom="column">
                  <wp:posOffset>5614035</wp:posOffset>
                </wp:positionH>
                <wp:positionV relativeFrom="paragraph">
                  <wp:posOffset>642620</wp:posOffset>
                </wp:positionV>
                <wp:extent cx="277495" cy="334645"/>
                <wp:effectExtent l="0" t="0" r="1905" b="20955"/>
                <wp:wrapNone/>
                <wp:docPr id="65" name="Text Box 65"/>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078CE4" w14:textId="77777777" w:rsidR="00B31588" w:rsidRPr="005E01D8" w:rsidRDefault="00B31588" w:rsidP="00527832">
                            <w:pPr>
                              <w:rPr>
                                <w:lang w:val="en-US"/>
                              </w:rPr>
                            </w:pPr>
                            <w:r>
                              <w:rPr>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82045C" id="Text Box 65" o:spid="_x0000_s1035" type="#_x0000_t202" style="position:absolute;margin-left:442.05pt;margin-top:50.6pt;width:21.85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" filled="f" stroked="f">
                <v:textbox inset="0,0,0,0">
                  <w:txbxContent>
                    <w:p w14:paraId="01078CE4" w14:textId="77777777" w:rsidR="00B31588" w:rsidRPr="005E01D8" w:rsidRDefault="00B31588" w:rsidP="00527832">
                      <w:pPr>
                        <w:rPr>
                          <w:lang w:val="en-US"/>
                        </w:rPr>
                      </w:pPr>
                      <w:r>
                        <w:rPr>
                          <w:lang w:val="en-US"/>
                        </w:rPr>
                        <w:t>(10)</w:t>
                      </w:r>
                    </w:p>
                  </w:txbxContent>
                </v:textbox>
              </v:shape>
            </w:pict>
          </mc:Fallback>
        </mc:AlternateContent>
      </w:r>
      <w:r w:rsidR="00527832" w:rsidRPr="00FC7FB5">
        <w:rPr>
          <w:rFonts w:ascii="Times New Roman" w:hAnsi="Times New Roman" w:cs="Times New Roman"/>
        </w:rPr>
        <w:t xml:space="preserve">which is identical to the cDBM, except for the introduction of a matrix of interaction terms </w:t>
      </w:r>
      <m:oMath>
        <m:r>
          <m:rPr>
            <m:sty m:val="b"/>
          </m:rPr>
          <w:rPr>
            <w:rFonts w:ascii="Cambria Math" w:hAnsi="Cambria Math" w:cs="Times New Roman"/>
          </w:rPr>
          <m:t>U</m:t>
        </m:r>
      </m:oMath>
      <w:r w:rsidR="00527832" w:rsidRPr="00FC7FB5">
        <w:rPr>
          <w:rFonts w:ascii="Times New Roman" w:hAnsi="Times New Roman" w:cs="Times New Roman"/>
          <w:b/>
        </w:rPr>
        <w:t xml:space="preserve"> </w:t>
      </w:r>
      <w:r w:rsidR="00527832" w:rsidRPr="00FC7FB5">
        <w:rPr>
          <w:rFonts w:ascii="Times New Roman" w:hAnsi="Times New Roman" w:cs="Times New Roman"/>
        </w:rPr>
        <w:t xml:space="preserve">between the visible units.  However, we </w:t>
      </w:r>
      <w:r w:rsidR="00527832" w:rsidRPr="0091320A">
        <w:rPr>
          <w:rFonts w:ascii="Times New Roman" w:hAnsi="Times New Roman" w:cs="Times New Roman"/>
        </w:rPr>
        <w:t>also</w:t>
      </w:r>
      <w:r w:rsidR="00527832">
        <w:rPr>
          <w:rFonts w:ascii="Times New Roman" w:hAnsi="Times New Roman" w:cs="Times New Roman"/>
        </w:rPr>
        <w:t xml:space="preserve"> </w:t>
      </w:r>
      <w:r w:rsidR="00527832" w:rsidRPr="00FC7FB5">
        <w:rPr>
          <w:rFonts w:ascii="Times New Roman" w:hAnsi="Times New Roman" w:cs="Times New Roman"/>
        </w:rPr>
        <w:t xml:space="preserve">require that </w:t>
      </w:r>
      <m:oMath>
        <m:r>
          <m:rPr>
            <m:sty m:val="b"/>
          </m:rPr>
          <w:rPr>
            <w:rFonts w:ascii="Cambria Math" w:hAnsi="Cambria Math" w:cs="Times New Roman"/>
          </w:rPr>
          <m:t>x</m:t>
        </m:r>
      </m:oMath>
      <w:r w:rsidR="00527832" w:rsidRPr="00FC7FB5">
        <w:rPr>
          <w:rFonts w:ascii="Times New Roman" w:hAnsi="Times New Roman" w:cs="Times New Roman"/>
          <w:b/>
        </w:rPr>
        <w:t>,</w:t>
      </w:r>
      <w:r w:rsidR="00527832" w:rsidRPr="00FC7FB5">
        <w:rPr>
          <w:rFonts w:ascii="Times New Roman" w:hAnsi="Times New Roman" w:cs="Times New Roman"/>
        </w:rPr>
        <w:t xml:space="preserve"> </w:t>
      </w:r>
      <m:oMath>
        <m:r>
          <m:rPr>
            <m:sty m:val="b"/>
          </m:rPr>
          <w:rPr>
            <w:rFonts w:ascii="Cambria Math" w:hAnsi="Cambria Math" w:cs="Times New Roman"/>
          </w:rPr>
          <m:t>U</m:t>
        </m:r>
      </m:oMath>
      <w:r w:rsidR="00527832" w:rsidRPr="00FC7FB5">
        <w:rPr>
          <w:rFonts w:ascii="Times New Roman" w:hAnsi="Times New Roman" w:cs="Times New Roman"/>
          <w:b/>
        </w:rPr>
        <w:t xml:space="preserve"> </w:t>
      </w:r>
      <w:r w:rsidR="00527832" w:rsidRPr="00FC7FB5">
        <w:rPr>
          <w:rFonts w:ascii="Times New Roman" w:hAnsi="Times New Roman" w:cs="Times New Roman"/>
        </w:rPr>
        <w:t xml:space="preserve">and </w:t>
      </w:r>
      <m:oMath>
        <m:r>
          <m:rPr>
            <m:sty m:val="b"/>
          </m:rPr>
          <w:rPr>
            <w:rFonts w:ascii="Cambria Math" w:hAnsi="Cambria Math" w:cs="Times New Roman"/>
          </w:rPr>
          <m:t>V</m:t>
        </m:r>
      </m:oMath>
      <w:r w:rsidR="00527832" w:rsidRPr="00FC7FB5">
        <w:rPr>
          <w:rFonts w:ascii="Times New Roman" w:hAnsi="Times New Roman" w:cs="Times New Roman"/>
          <w:b/>
        </w:rPr>
        <w:t xml:space="preserve"> </w:t>
      </w:r>
      <w:r w:rsidR="00527832" w:rsidRPr="00FC7FB5">
        <w:rPr>
          <w:rFonts w:ascii="Times New Roman" w:hAnsi="Times New Roman" w:cs="Times New Roman"/>
        </w:rPr>
        <w:t>have specific forms, such that:</w:t>
      </w:r>
    </w:p>
    <w:p w14:paraId="33C1E790" w14:textId="77777777" w:rsidR="00527832" w:rsidRPr="00FC7FB5" w:rsidRDefault="00527832" w:rsidP="00A2563A">
      <w:pPr>
        <w:spacing w:before="0" w:line="240" w:lineRule="auto"/>
        <w:jc w:val="center"/>
        <w:rPr>
          <w:rFonts w:ascii="Times New Roman" w:hAnsi="Times New Roman" w:cs="Times New Roman"/>
        </w:rPr>
      </w:pPr>
      <m:oMath>
        <m:r>
          <m:rPr>
            <m:sty m:val="b"/>
          </m:rPr>
          <w:rPr>
            <w:rFonts w:ascii="Cambria Math" w:hAnsi="Cambria Math" w:cs="Times New Roman"/>
          </w:rPr>
          <m:t>x=</m:t>
        </m:r>
        <m:sSup>
          <m:sSupPr>
            <m:ctrlPr>
              <w:rPr>
                <w:rFonts w:ascii="Cambria Math" w:hAnsi="Cambria Math" w:cs="Times New Roman"/>
                <w:b/>
                <w:i/>
              </w:rPr>
            </m:ctrlPr>
          </m:sSupPr>
          <m:e>
            <m:d>
              <m:dPr>
                <m:begChr m:val="["/>
                <m:endChr m:val="]"/>
                <m:ctrlPr>
                  <w:rPr>
                    <w:rFonts w:ascii="Cambria Math" w:hAnsi="Cambria Math" w:cs="Times New Roman"/>
                    <w:b/>
                  </w:rPr>
                </m:ctrlPr>
              </m:dPr>
              <m:e>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gene</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enh</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frac</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mod</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e>
            </m:d>
            <m:ctrlPr>
              <w:rPr>
                <w:rFonts w:ascii="Cambria Math" w:hAnsi="Cambria Math" w:cs="Times New Roman"/>
              </w:rPr>
            </m:ctrlPr>
          </m:e>
          <m:sup>
            <m:r>
              <m:rPr>
                <m:sty m:val="p"/>
              </m:rPr>
              <w:rPr>
                <w:rFonts w:ascii="Cambria Math" w:hAnsi="Cambria Math" w:cs="Times New Roman"/>
              </w:rPr>
              <m:t>T</m:t>
            </m:r>
          </m:sup>
        </m:sSup>
      </m:oMath>
      <w:r w:rsidRPr="00FC7FB5">
        <w:rPr>
          <w:rFonts w:ascii="Times New Roman" w:hAnsi="Times New Roman" w:cs="Times New Roman"/>
        </w:rPr>
        <w:t>,</w:t>
      </w:r>
    </w:p>
    <w:p w14:paraId="30DD5508" w14:textId="77777777" w:rsidR="00527832" w:rsidRPr="00FC7FB5" w:rsidRDefault="003C62F0" w:rsidP="00A2563A">
      <w:pPr>
        <w:spacing w:before="0" w:line="240" w:lineRule="auto"/>
        <w:rPr>
          <w:rFonts w:ascii="Times New Roman" w:hAnsi="Times New Roman" w:cs="Times New Roman"/>
        </w:rPr>
      </w:pPr>
      <m:oMathPara>
        <m:oMath>
          <m:sSup>
            <m:sSupPr>
              <m:ctrlPr>
                <w:rPr>
                  <w:rFonts w:ascii="Cambria Math" w:hAnsi="Cambria Math" w:cs="Times New Roman"/>
                  <w:b/>
                </w:rPr>
              </m:ctrlPr>
            </m:sSupPr>
            <m:e>
              <m:r>
                <m:rPr>
                  <m:sty m:val="b"/>
                </m:rPr>
                <w:rPr>
                  <w:rFonts w:ascii="Cambria Math" w:hAnsi="Cambria Math" w:cs="Times New Roman"/>
                </w:rPr>
                <m:t>x</m:t>
              </m:r>
            </m:e>
            <m:sup>
              <m:r>
                <m:rPr>
                  <m:sty m:val="p"/>
                </m:rPr>
                <w:rPr>
                  <w:rFonts w:ascii="Cambria Math" w:hAnsi="Cambria Math" w:cs="Times New Roman"/>
                </w:rPr>
                <m:t>T</m:t>
              </m:r>
            </m:sup>
          </m:sSup>
          <m:r>
            <m:rPr>
              <m:sty m:val="b"/>
            </m:rPr>
            <w:rPr>
              <w:rFonts w:ascii="Cambria Math" w:hAnsi="Cambria Math" w:cs="Times New Roman"/>
            </w:rPr>
            <m:t>Ux</m:t>
          </m:r>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gene</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GRN</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gene</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enh</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ET-links</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gene</m:t>
              </m:r>
            </m:sub>
          </m:sSub>
          <m:r>
            <m:rPr>
              <m:sty m:val="bi"/>
            </m:rPr>
            <w:rPr>
              <w:rFonts w:ascii="Cambria Math" w:hAnsi="Cambria Math" w:cs="Times New Roman"/>
            </w:rPr>
            <m:t xml:space="preserve">+ </m:t>
          </m:r>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frac</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markers</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gene</m:t>
              </m:r>
            </m:sub>
          </m:sSub>
          <m:r>
            <m:rPr>
              <m:sty m:val="bi"/>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mod</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WGCNA</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gene</m:t>
              </m:r>
            </m:sub>
          </m:sSub>
          <m:r>
            <m:rPr>
              <m:sty m:val="bi"/>
            </m:rPr>
            <w:rPr>
              <w:rFonts w:ascii="Cambria Math" w:hAnsi="Cambria Math" w:cs="Times New Roman"/>
            </w:rPr>
            <m:t>,</m:t>
          </m:r>
        </m:oMath>
      </m:oMathPara>
    </w:p>
    <w:p w14:paraId="3613E5F4" w14:textId="77777777" w:rsidR="00527832" w:rsidRPr="00FC7FB5" w:rsidRDefault="003C62F0" w:rsidP="00A2563A">
      <w:pPr>
        <w:spacing w:before="0" w:line="240" w:lineRule="auto"/>
        <w:rPr>
          <w:rFonts w:ascii="Times New Roman" w:hAnsi="Times New Roman" w:cs="Times New Roman"/>
        </w:rPr>
      </w:pPr>
      <m:oMathPara>
        <m:oMath>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r>
            <m:rPr>
              <m:sty m:val="b"/>
            </m:rPr>
            <w:rPr>
              <w:rFonts w:ascii="Cambria Math" w:hAnsi="Cambria Math" w:cs="Times New Roman"/>
            </w:rPr>
            <m:t>Vx=</m:t>
          </m:r>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eQTL</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gene</m:t>
              </m:r>
            </m:sub>
          </m:sSub>
          <m:r>
            <m:rPr>
              <m:sty m:val="bi"/>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cQTL</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enh</m:t>
              </m:r>
            </m:sub>
          </m:sSub>
          <m:r>
            <m:rPr>
              <m:sty m:val="bi"/>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fQTL</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frac</m:t>
              </m:r>
            </m:sub>
          </m:sSub>
          <m:r>
            <m:rPr>
              <m:sty m:val="bi"/>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z</m:t>
              </m:r>
            </m:e>
            <m:sup>
              <m:r>
                <m:rPr>
                  <m:sty m:val="p"/>
                </m:rPr>
                <w:rPr>
                  <w:rFonts w:ascii="Cambria Math" w:hAnsi="Cambria Math" w:cs="Times New Roman"/>
                </w:rPr>
                <m:t>T</m:t>
              </m:r>
            </m:sup>
          </m:sSup>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modQTL</m:t>
              </m:r>
            </m:sub>
          </m:sSub>
          <m:sSub>
            <m:sSubPr>
              <m:ctrlPr>
                <w:rPr>
                  <w:rFonts w:ascii="Cambria Math" w:hAnsi="Cambria Math" w:cs="Times New Roman"/>
                  <w:b/>
                </w:rPr>
              </m:ctrlPr>
            </m:sSubPr>
            <m:e>
              <m:r>
                <m:rPr>
                  <m:sty m:val="b"/>
                </m:rPr>
                <w:rPr>
                  <w:rFonts w:ascii="Cambria Math" w:hAnsi="Cambria Math" w:cs="Times New Roman"/>
                </w:rPr>
                <m:t>x</m:t>
              </m:r>
            </m:e>
            <m:sub>
              <m:r>
                <m:rPr>
                  <m:sty m:val="p"/>
                </m:rPr>
                <w:rPr>
                  <w:rFonts w:ascii="Cambria Math" w:hAnsi="Cambria Math" w:cs="Times New Roman"/>
                </w:rPr>
                <m:t>mod</m:t>
              </m:r>
            </m:sub>
          </m:sSub>
          <m:r>
            <m:rPr>
              <m:sty m:val="bi"/>
            </m:rPr>
            <w:rPr>
              <w:rFonts w:ascii="Cambria Math" w:hAnsi="Cambria Math" w:cs="Times New Roman"/>
            </w:rPr>
            <m:t>,</m:t>
          </m:r>
        </m:oMath>
      </m:oMathPara>
    </w:p>
    <w:p w14:paraId="34699782" w14:textId="567C2BC8" w:rsidR="00527832" w:rsidRPr="00FC7FB5" w:rsidRDefault="00527832" w:rsidP="00A2563A">
      <w:pPr>
        <w:spacing w:before="0" w:line="240" w:lineRule="auto"/>
        <w:rPr>
          <w:rFonts w:ascii="Times New Roman" w:hAnsi="Times New Roman" w:cs="Times New Roman"/>
        </w:rPr>
      </w:pPr>
      <w:r w:rsidRPr="00FC7FB5">
        <w:rPr>
          <w:rFonts w:ascii="Times New Roman" w:hAnsi="Times New Roman" w:cs="Times New Roman"/>
        </w:rPr>
        <w:lastRenderedPageBreak/>
        <w:t xml:space="preserve">where </w:t>
      </w:r>
      <m:oMath>
        <m:sSubSup>
          <m:sSubSupPr>
            <m:ctrlPr>
              <w:rPr>
                <w:rFonts w:ascii="Cambria Math" w:hAnsi="Cambria Math" w:cs="Times New Roman"/>
                <w:b/>
              </w:rPr>
            </m:ctrlPr>
          </m:sSubSupPr>
          <m:e>
            <m:r>
              <m:rPr>
                <m:sty m:val="b"/>
              </m:rPr>
              <w:rPr>
                <w:rFonts w:ascii="Cambria Math" w:hAnsi="Cambria Math" w:cs="Times New Roman"/>
              </w:rPr>
              <m:t>x</m:t>
            </m:r>
          </m:e>
          <m:sub>
            <m:r>
              <m:rPr>
                <m:sty m:val="p"/>
              </m:rPr>
              <w:rPr>
                <w:rFonts w:ascii="Cambria Math" w:hAnsi="Cambria Math" w:cs="Times New Roman"/>
              </w:rPr>
              <m:t>gene</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 xml:space="preserve"> x</m:t>
            </m:r>
          </m:e>
          <m:sub>
            <m:r>
              <m:rPr>
                <m:sty m:val="p"/>
              </m:rPr>
              <w:rPr>
                <w:rFonts w:ascii="Cambria Math" w:hAnsi="Cambria Math" w:cs="Times New Roman"/>
              </w:rPr>
              <m:t>enh</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 xml:space="preserve"> x</m:t>
            </m:r>
          </m:e>
          <m:sub>
            <m:r>
              <m:rPr>
                <m:sty m:val="p"/>
              </m:rPr>
              <w:rPr>
                <w:rFonts w:ascii="Cambria Math" w:hAnsi="Cambria Math" w:cs="Times New Roman"/>
              </w:rPr>
              <m:t>frac</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 xml:space="preserve"> x</m:t>
            </m:r>
          </m:e>
          <m:sub>
            <m:r>
              <m:rPr>
                <m:sty m:val="p"/>
              </m:rPr>
              <w:rPr>
                <w:rFonts w:ascii="Cambria Math" w:hAnsi="Cambria Math" w:cs="Times New Roman"/>
              </w:rPr>
              <m:t>mod</m:t>
            </m:r>
            <m:ctrlPr>
              <w:rPr>
                <w:rFonts w:ascii="Cambria Math" w:hAnsi="Cambria Math" w:cs="Times New Roman"/>
              </w:rPr>
            </m:ctrlPr>
          </m:sub>
          <m:sup>
            <m:r>
              <m:rPr>
                <m:sty m:val="p"/>
              </m:rPr>
              <w:rPr>
                <w:rFonts w:ascii="Cambria Math" w:hAnsi="Cambria Math" w:cs="Times New Roman"/>
              </w:rPr>
              <m:t>T</m:t>
            </m:r>
            <m:ctrlPr>
              <w:rPr>
                <w:rFonts w:ascii="Cambria Math" w:hAnsi="Cambria Math" w:cs="Times New Roman"/>
              </w:rPr>
            </m:ctrlPr>
          </m:sup>
        </m:sSubSup>
      </m:oMath>
      <w:r w:rsidRPr="00FC7FB5">
        <w:rPr>
          <w:rFonts w:ascii="Times New Roman" w:hAnsi="Times New Roman" w:cs="Times New Roman"/>
        </w:rPr>
        <w:t xml:space="preserve"> are (binarized) representations of the gene expression, enhancer activity (h3k27ac level), cell-type fraction and co-expression module net activation respectively; </w:t>
      </w:r>
      <m:oMath>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GRN</m:t>
            </m:r>
          </m:sub>
        </m:sSub>
      </m:oMath>
      <w:r w:rsidRPr="00FC7FB5">
        <w:rPr>
          <w:rFonts w:ascii="Times New Roman" w:hAnsi="Times New Roman" w:cs="Times New Roman"/>
          <w:b/>
        </w:rPr>
        <w:t xml:space="preserve"> </w:t>
      </w:r>
      <w:r w:rsidRPr="00FC7FB5">
        <w:rPr>
          <w:rFonts w:ascii="Times New Roman" w:hAnsi="Times New Roman" w:cs="Times New Roman"/>
        </w:rPr>
        <w:t xml:space="preserve">is a sparse matrix where non-zero entries are allowed only between genes having a TF-target relationship determined by the elastic net model; </w:t>
      </w:r>
      <m:oMath>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ET-links</m:t>
            </m:r>
          </m:sub>
        </m:sSub>
      </m:oMath>
      <w:r w:rsidRPr="00FC7FB5">
        <w:rPr>
          <w:rFonts w:ascii="Times New Roman" w:hAnsi="Times New Roman" w:cs="Times New Roman"/>
          <w:b/>
        </w:rPr>
        <w:t xml:space="preserve"> </w:t>
      </w:r>
      <w:r w:rsidRPr="00FC7FB5">
        <w:rPr>
          <w:rFonts w:ascii="Times New Roman" w:hAnsi="Times New Roman" w:cs="Times New Roman"/>
        </w:rPr>
        <w:t xml:space="preserve">is a sparse matrix where non-zeros are allowed only between enhancers and genes when an enhancer-target link is determined by the elastic net model; </w:t>
      </w:r>
      <m:oMath>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markers</m:t>
            </m:r>
          </m:sub>
        </m:sSub>
      </m:oMath>
      <w:r w:rsidRPr="00FC7FB5">
        <w:rPr>
          <w:rFonts w:ascii="Times New Roman" w:hAnsi="Times New Roman" w:cs="Times New Roman"/>
          <w:b/>
        </w:rPr>
        <w:t xml:space="preserve"> </w:t>
      </w:r>
      <w:r w:rsidRPr="00FC7FB5">
        <w:rPr>
          <w:rFonts w:ascii="Times New Roman" w:hAnsi="Times New Roman" w:cs="Times New Roman"/>
        </w:rPr>
        <w:t xml:space="preserve">and </w:t>
      </w:r>
      <m:oMath>
        <m:sSub>
          <m:sSubPr>
            <m:ctrlPr>
              <w:rPr>
                <w:rFonts w:ascii="Cambria Math" w:hAnsi="Cambria Math" w:cs="Times New Roman"/>
                <w:b/>
              </w:rPr>
            </m:ctrlPr>
          </m:sSubPr>
          <m:e>
            <m:r>
              <m:rPr>
                <m:sty m:val="b"/>
              </m:rPr>
              <w:rPr>
                <w:rFonts w:ascii="Cambria Math" w:hAnsi="Cambria Math" w:cs="Times New Roman"/>
              </w:rPr>
              <m:t>U</m:t>
            </m:r>
          </m:e>
          <m:sub>
            <m:r>
              <m:rPr>
                <m:sty m:val="p"/>
              </m:rPr>
              <w:rPr>
                <w:rFonts w:ascii="Cambria Math" w:hAnsi="Cambria Math" w:cs="Times New Roman"/>
              </w:rPr>
              <m:t>WGNA</m:t>
            </m:r>
          </m:sub>
        </m:sSub>
      </m:oMath>
      <w:r w:rsidRPr="00FC7FB5">
        <w:rPr>
          <w:rFonts w:ascii="Times New Roman" w:hAnsi="Times New Roman" w:cs="Times New Roman"/>
          <w:b/>
        </w:rPr>
        <w:t xml:space="preserve"> </w:t>
      </w:r>
      <w:r w:rsidRPr="00FC7FB5">
        <w:rPr>
          <w:rFonts w:ascii="Times New Roman" w:hAnsi="Times New Roman" w:cs="Times New Roman"/>
        </w:rPr>
        <w:t xml:space="preserve">are sparse matrices where non-zero entries are allowed only between a cell-type/co-expression module and the marker-genes/member-genes associated with it respectively; and </w:t>
      </w:r>
      <m:oMath>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eQTL</m:t>
            </m:r>
          </m:sub>
        </m:sSub>
        <m:r>
          <m:rPr>
            <m:sty m:val="bi"/>
          </m:rPr>
          <w:rPr>
            <w:rFonts w:ascii="Cambria Math" w:hAnsi="Cambria Math" w:cs="Times New Roman"/>
          </w:rPr>
          <m:t xml:space="preserve">, </m:t>
        </m:r>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cQTL</m:t>
            </m:r>
          </m:sub>
        </m:sSub>
        <m:r>
          <m:rPr>
            <m:sty m:val="bi"/>
          </m:rPr>
          <w:rPr>
            <w:rFonts w:ascii="Cambria Math" w:hAnsi="Cambria Math" w:cs="Times New Roman"/>
          </w:rPr>
          <m:t xml:space="preserve">, </m:t>
        </m:r>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fQTL</m:t>
            </m:r>
          </m:sub>
        </m:sSub>
        <m:r>
          <m:rPr>
            <m:sty m:val="bi"/>
          </m:rPr>
          <w:rPr>
            <w:rFonts w:ascii="Cambria Math" w:hAnsi="Cambria Math" w:cs="Times New Roman"/>
          </w:rPr>
          <m:t xml:space="preserve">, </m:t>
        </m:r>
        <m:sSub>
          <m:sSubPr>
            <m:ctrlPr>
              <w:rPr>
                <w:rFonts w:ascii="Cambria Math" w:hAnsi="Cambria Math" w:cs="Times New Roman"/>
                <w:b/>
              </w:rPr>
            </m:ctrlPr>
          </m:sSubPr>
          <m:e>
            <m:r>
              <m:rPr>
                <m:sty m:val="b"/>
              </m:rPr>
              <w:rPr>
                <w:rFonts w:ascii="Cambria Math" w:hAnsi="Cambria Math" w:cs="Times New Roman"/>
              </w:rPr>
              <m:t>V</m:t>
            </m:r>
          </m:e>
          <m:sub>
            <m:r>
              <m:rPr>
                <m:sty m:val="p"/>
              </m:rPr>
              <w:rPr>
                <w:rFonts w:ascii="Cambria Math" w:hAnsi="Cambria Math" w:cs="Times New Roman"/>
              </w:rPr>
              <m:t>modQTL</m:t>
            </m:r>
          </m:sub>
        </m:sSub>
      </m:oMath>
      <w:r w:rsidRPr="00FC7FB5">
        <w:rPr>
          <w:rFonts w:ascii="Times New Roman" w:hAnsi="Times New Roman" w:cs="Times New Roman"/>
        </w:rPr>
        <w:t xml:space="preserve">are sparse matrices with non-zero elements allowed only between SNPs and genes/enhancers/cell-types/modules supported by a QTL linkage.  We note that the results of previous analyses (e.g. elastic net and QTL analyses) are used only to establish the sparse structure of the </w:t>
      </w:r>
      <m:oMath>
        <m:r>
          <m:rPr>
            <m:sty m:val="b"/>
          </m:rPr>
          <w:rPr>
            <w:rFonts w:ascii="Cambria Math" w:hAnsi="Cambria Math" w:cs="Times New Roman"/>
          </w:rPr>
          <m:t>U</m:t>
        </m:r>
      </m:oMath>
      <w:r w:rsidRPr="00FC7FB5">
        <w:rPr>
          <w:rFonts w:ascii="Times New Roman" w:hAnsi="Times New Roman" w:cs="Times New Roman"/>
          <w:b/>
        </w:rPr>
        <w:t xml:space="preserve"> </w:t>
      </w:r>
      <w:r w:rsidRPr="00FC7FB5">
        <w:rPr>
          <w:rFonts w:ascii="Times New Roman" w:hAnsi="Times New Roman" w:cs="Times New Roman"/>
        </w:rPr>
        <w:t xml:space="preserve">and </w:t>
      </w:r>
      <m:oMath>
        <m:r>
          <m:rPr>
            <m:sty m:val="b"/>
          </m:rPr>
          <w:rPr>
            <w:rFonts w:ascii="Cambria Math" w:hAnsi="Cambria Math" w:cs="Times New Roman"/>
          </w:rPr>
          <m:t>V</m:t>
        </m:r>
      </m:oMath>
      <w:r w:rsidRPr="00FC7FB5">
        <w:rPr>
          <w:rFonts w:ascii="Times New Roman" w:hAnsi="Times New Roman" w:cs="Times New Roman"/>
          <w:b/>
        </w:rPr>
        <w:t xml:space="preserve"> </w:t>
      </w:r>
      <w:r w:rsidRPr="00FC7FB5">
        <w:rPr>
          <w:rFonts w:ascii="Times New Roman" w:hAnsi="Times New Roman" w:cs="Times New Roman"/>
        </w:rPr>
        <w:t xml:space="preserve">matrices, but not the actual linkage values of the non-zero entries, which are learned during joint training of the DSPN model (along with the </w:t>
      </w:r>
      <m:oMath>
        <m:r>
          <m:rPr>
            <m:sty m:val="b"/>
          </m:rPr>
          <w:rPr>
            <w:rFonts w:ascii="Cambria Math" w:hAnsi="Cambria Math" w:cs="Times New Roman"/>
          </w:rPr>
          <m:t>W</m:t>
        </m:r>
      </m:oMath>
      <w:r w:rsidRPr="00FC7FB5">
        <w:rPr>
          <w:rFonts w:ascii="Times New Roman" w:hAnsi="Times New Roman" w:cs="Times New Roman"/>
          <w:b/>
        </w:rPr>
        <w:t xml:space="preserve"> </w:t>
      </w:r>
      <w:r w:rsidRPr="00FC7FB5">
        <w:rPr>
          <w:rFonts w:ascii="Times New Roman" w:hAnsi="Times New Roman" w:cs="Times New Roman"/>
        </w:rPr>
        <w:t xml:space="preserve">and </w:t>
      </w:r>
      <m:oMath>
        <m:r>
          <m:rPr>
            <m:sty m:val="b"/>
          </m:rPr>
          <w:rPr>
            <w:rFonts w:ascii="Cambria Math" w:hAnsi="Cambria Math" w:cs="Times New Roman"/>
          </w:rPr>
          <m:t>b</m:t>
        </m:r>
      </m:oMath>
      <w:r w:rsidRPr="00FC7FB5">
        <w:rPr>
          <w:rFonts w:ascii="Times New Roman" w:hAnsi="Times New Roman" w:cs="Times New Roman"/>
          <w:b/>
        </w:rPr>
        <w:t xml:space="preserve"> </w:t>
      </w:r>
      <w:r w:rsidRPr="00FC7FB5">
        <w:rPr>
          <w:rFonts w:ascii="Times New Roman" w:hAnsi="Times New Roman" w:cs="Times New Roman"/>
        </w:rPr>
        <w:t>parameters).  In general, we do not expect the magnitudes established independently for these linkages in the previous analyses to relate in a straightforward way to their optimal settings in a joint model, and hence we use only the connectivity structure as prior information during training.</w:t>
      </w:r>
    </w:p>
    <w:p w14:paraId="217E9DD1" w14:textId="0A4CF4B0" w:rsidR="00A2563A" w:rsidRDefault="00527832" w:rsidP="005A0CED">
      <w:pPr>
        <w:spacing w:before="0" w:line="240" w:lineRule="auto"/>
        <w:ind w:firstLine="720"/>
        <w:rPr>
          <w:rFonts w:ascii="Times New Roman" w:hAnsi="Times New Roman" w:cs="Times New Roman"/>
        </w:rPr>
      </w:pPr>
      <w:r w:rsidRPr="00FC7FB5">
        <w:rPr>
          <w:rFonts w:ascii="Times New Roman" w:hAnsi="Times New Roman" w:cs="Times New Roman"/>
        </w:rPr>
        <w:t xml:space="preserve">The DSPN model can be trained similarly to the cDBM using persistent MCMC as described above.  Mean-field approximate inference and Gibbs sampling steps are straightforwardly adapted to incorporate the additional linkages between the visible units.  Because of the dependencies within the visible units, the mean-field and sampling steps cannot be made in parallel for the visible layer unlike the cDBM; for this reason, we choose a random update schedule of the nodes within the visible layer on each iteration, and update all other layers in parallel as before.  In principle, the approach described learns a model representing the joint distribution of intermediate and high-level phenotypes conditioned on genotypes, and so can be used for prediction of high-level phenotypes either directly from the intermediate phenotypes, or from the genotype with imputation when the intermediate layers are unobserved.  However, we adopt a slightly different training process when the goal is to provide a model for inference with imputed intermediate phenotypes, as described below, to optimize performance for this scenario.   We summarize here the parameter settings for the model with direct observations: we perform feature selection as in Eq. 2 for each intermediate phenotype (setting </w:t>
      </w:r>
      <m:oMath>
        <m:r>
          <w:rPr>
            <w:rFonts w:ascii="Cambria Math" w:hAnsi="Cambria Math" w:cs="Times New Roman"/>
          </w:rPr>
          <m:t>π=0.05</m:t>
        </m:r>
      </m:oMath>
      <w:r w:rsidRPr="00FC7FB5">
        <w:rPr>
          <w:rFonts w:ascii="Times New Roman" w:hAnsi="Times New Roman" w:cs="Times New Roman"/>
        </w:rPr>
        <w:t xml:space="preserve">);  additionally, we set </w:t>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sub>
        </m:sSub>
        <m:r>
          <w:rPr>
            <w:rFonts w:ascii="Cambria Math" w:hAnsi="Cambria Math" w:cs="Times New Roman"/>
          </w:rPr>
          <m:t>=400</m:t>
        </m:r>
      </m:oMath>
      <w:r w:rsidRPr="00FC7FB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ub>
        </m:sSub>
        <m:r>
          <w:rPr>
            <w:rFonts w:ascii="Cambria Math" w:hAnsi="Cambria Math" w:cs="Times New Roman"/>
          </w:rPr>
          <m:t>=100</m:t>
        </m:r>
      </m:oMath>
      <w:r w:rsidRPr="00FC7FB5">
        <w:rPr>
          <w:rFonts w:ascii="Times New Roman" w:hAnsi="Times New Roman" w:cs="Times New Roman"/>
        </w:rPr>
        <w:t xml:space="preserve"> (the number of hidden nodes in layers 1 and 2 respectively),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fantasy</m:t>
            </m:r>
          </m:sub>
        </m:sSub>
        <m:r>
          <w:rPr>
            <w:rFonts w:ascii="Cambria Math" w:hAnsi="Cambria Math" w:cs="Times New Roman"/>
          </w:rPr>
          <m:t>=5</m:t>
        </m:r>
      </m:oMath>
      <w:r w:rsidRPr="00FC7FB5">
        <w:rPr>
          <w:rFonts w:ascii="Times New Roman" w:hAnsi="Times New Roman" w:cs="Times New Roman"/>
        </w:rPr>
        <w:t xml:space="preserve">,  </w:t>
      </w:r>
      <m:oMath>
        <m:r>
          <w:rPr>
            <w:rFonts w:ascii="Cambria Math" w:hAnsi="Cambria Math" w:cs="Times New Roman"/>
          </w:rPr>
          <m:t>α=0.1</m:t>
        </m:r>
      </m:oMath>
      <w:r w:rsidRPr="00FC7FB5">
        <w:rPr>
          <w:rFonts w:ascii="Times New Roman" w:hAnsi="Times New Roman" w:cs="Times New Roman"/>
        </w:rPr>
        <w:t xml:space="preserve">, </w:t>
      </w:r>
      <m:oMath>
        <m:r>
          <w:rPr>
            <w:rFonts w:ascii="Cambria Math" w:hAnsi="Cambria Math" w:cs="Times New Roman"/>
          </w:rPr>
          <m:t>ϵ=1e-4</m:t>
        </m:r>
      </m:oMath>
      <w:r w:rsidRPr="00FC7FB5">
        <w:rPr>
          <w:rFonts w:ascii="Times New Roman" w:hAnsi="Times New Roman" w:cs="Times New Roman"/>
        </w:rPr>
        <w:t>, and use</w:t>
      </w:r>
      <w:r>
        <w:rPr>
          <w:rFonts w:ascii="Times New Roman" w:hAnsi="Times New Roman" w:cs="Times New Roman"/>
        </w:rPr>
        <w:t xml:space="preserve"> variable/fixed settings of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stop</m:t>
            </m:r>
          </m:sub>
        </m:sSub>
      </m:oMath>
      <w:r>
        <w:rPr>
          <w:rFonts w:ascii="Times New Roman" w:hAnsi="Times New Roman" w:cs="Times New Roman"/>
        </w:rPr>
        <w:t xml:space="preserve"> and mini-batch sizes as described above</w:t>
      </w:r>
      <w:r w:rsidRPr="00FC7FB5">
        <w:rPr>
          <w:rFonts w:ascii="Times New Roman" w:hAnsi="Times New Roman" w:cs="Times New Roman"/>
        </w:rPr>
        <w:t xml:space="preserve"> for the cRBM.</w:t>
      </w:r>
    </w:p>
    <w:p w14:paraId="4553ADAC" w14:textId="77777777" w:rsidR="005A0CED" w:rsidRPr="00FC7FB5" w:rsidRDefault="005A0CED" w:rsidP="005A0CED">
      <w:pPr>
        <w:spacing w:before="0" w:line="240" w:lineRule="auto"/>
        <w:ind w:firstLine="720"/>
        <w:rPr>
          <w:rFonts w:ascii="Times New Roman" w:hAnsi="Times New Roman" w:cs="Times New Roman"/>
        </w:rPr>
      </w:pPr>
    </w:p>
    <w:p w14:paraId="1949C242" w14:textId="77777777" w:rsidR="00527832" w:rsidRPr="00EE7C55" w:rsidRDefault="00527832" w:rsidP="00A2563A">
      <w:pPr>
        <w:spacing w:before="0" w:line="240" w:lineRule="auto"/>
      </w:pPr>
    </w:p>
    <w:p w14:paraId="7D4D0B50" w14:textId="0FB7E650" w:rsidR="005A0CED" w:rsidRPr="005A0CED" w:rsidRDefault="00527832" w:rsidP="005A0CED">
      <w:pPr>
        <w:pStyle w:val="Heading2"/>
        <w:spacing w:before="0"/>
        <w:rPr>
          <w:rFonts w:ascii="Helvetica" w:hAnsi="Helvetica"/>
          <w:sz w:val="28"/>
          <w:szCs w:val="28"/>
        </w:rPr>
      </w:pPr>
      <w:r w:rsidRPr="00D51A3C">
        <w:rPr>
          <w:rFonts w:ascii="Helvetica" w:hAnsi="Helvetica"/>
          <w:sz w:val="28"/>
          <w:szCs w:val="28"/>
        </w:rPr>
        <w:t>S8.3 Imputation of intermediate phenotypes</w:t>
      </w:r>
    </w:p>
    <w:p w14:paraId="1D0B546B" w14:textId="77777777" w:rsidR="005A0CED" w:rsidRDefault="005A0CED" w:rsidP="00A2563A">
      <w:pPr>
        <w:pStyle w:val="Heading2"/>
        <w:spacing w:before="0"/>
        <w:rPr>
          <w:rFonts w:ascii="Helvetica" w:hAnsi="Helvetica" w:cs="Times New Roman"/>
          <w:sz w:val="22"/>
          <w:szCs w:val="22"/>
        </w:rPr>
      </w:pPr>
    </w:p>
    <w:p w14:paraId="5CBD5FD5" w14:textId="77777777" w:rsidR="00527832" w:rsidRPr="00D51A3C" w:rsidRDefault="00527832" w:rsidP="00A2563A">
      <w:pPr>
        <w:pStyle w:val="Heading2"/>
        <w:spacing w:before="0"/>
        <w:rPr>
          <w:rFonts w:ascii="Helvetica" w:hAnsi="Helvetica" w:cs="Times New Roman"/>
          <w:sz w:val="22"/>
          <w:szCs w:val="22"/>
        </w:rPr>
      </w:pPr>
      <w:r w:rsidRPr="00D51A3C">
        <w:rPr>
          <w:rFonts w:ascii="Helvetica" w:hAnsi="Helvetica" w:cs="Times New Roman"/>
          <w:sz w:val="22"/>
          <w:szCs w:val="22"/>
        </w:rPr>
        <w:t>8.3.1 Deep Structured Phenotype Network with Imputation (DSPN-imput)</w:t>
      </w:r>
    </w:p>
    <w:p w14:paraId="68125F12" w14:textId="77777777" w:rsidR="00527832" w:rsidRPr="00F15FE5" w:rsidRDefault="00527832" w:rsidP="00A2563A">
      <w:pPr>
        <w:pStyle w:val="Heading2"/>
        <w:spacing w:before="0"/>
        <w:rPr>
          <w:rFonts w:ascii="Times New Roman" w:hAnsi="Times New Roman" w:cs="Times New Roman"/>
          <w:b w:val="0"/>
          <w:sz w:val="22"/>
          <w:szCs w:val="22"/>
        </w:rPr>
      </w:pPr>
      <w:r w:rsidRPr="00F15FE5">
        <w:rPr>
          <w:rFonts w:ascii="Times New Roman" w:hAnsi="Times New Roman" w:cs="Times New Roman"/>
          <w:b w:val="0"/>
          <w:sz w:val="22"/>
          <w:szCs w:val="22"/>
        </w:rPr>
        <w:t>To optimize performance for prediction of high-level phenotypes from genotype data with imputation of intermediate phenotypes, we adopt a specialized training process.  We assume that during training, we have access to fully observed genotype and intermediate phenotype data.  Additionally, we split the training data for each data split evenly into training and validation partitions.</w:t>
      </w:r>
    </w:p>
    <w:p w14:paraId="23D61693" w14:textId="28EEBBC7" w:rsidR="00527832" w:rsidRPr="00F15FE5" w:rsidRDefault="00A6796A" w:rsidP="00A2563A">
      <w:pPr>
        <w:pStyle w:val="Heading2"/>
        <w:spacing w:before="0"/>
        <w:rPr>
          <w:rFonts w:ascii="Times New Roman" w:hAnsi="Times New Roman" w:cs="Times New Roman"/>
          <w:b w:val="0"/>
          <w:bCs/>
          <w:sz w:val="22"/>
          <w:szCs w:val="22"/>
        </w:rPr>
      </w:pPr>
      <w:r>
        <w:rPr>
          <w:rFonts w:ascii="Times New Roman" w:hAnsi="Times New Roman" w:cs="Times New Roman"/>
          <w:b w:val="0"/>
          <w:sz w:val="22"/>
          <w:szCs w:val="22"/>
        </w:rPr>
        <w:t xml:space="preserve">           </w:t>
      </w:r>
      <w:r w:rsidR="00527832" w:rsidRPr="00F15FE5">
        <w:rPr>
          <w:rFonts w:ascii="Times New Roman" w:hAnsi="Times New Roman" w:cs="Times New Roman"/>
          <w:b w:val="0"/>
          <w:sz w:val="22"/>
          <w:szCs w:val="22"/>
        </w:rPr>
        <w:t xml:space="preserve">First, we train logistic regression models independently to predict each intermediate phenotype (e.g. gene expression level, enhancer activation) from the genotype at each of its QTLs using the training partition.  We then fix the </w:t>
      </w:r>
      <m:oMath>
        <m:r>
          <m:rPr>
            <m:sty m:val="b"/>
          </m:rPr>
          <w:rPr>
            <w:rFonts w:ascii="Cambria Math" w:hAnsi="Cambria Math" w:cs="Times New Roman"/>
          </w:rPr>
          <m:t>V</m:t>
        </m:r>
      </m:oMath>
      <w:r w:rsidR="00527832" w:rsidRPr="00F15FE5">
        <w:rPr>
          <w:rFonts w:ascii="Times New Roman" w:hAnsi="Times New Roman" w:cs="Times New Roman"/>
          <w:b w:val="0"/>
          <w:sz w:val="22"/>
          <w:szCs w:val="22"/>
        </w:rPr>
        <w:t xml:space="preserve"> matrices of the DSPN directly to the coefficients of the logistic regression models, and train</w:t>
      </w:r>
      <w:r w:rsidR="00527832" w:rsidRPr="00F15FE5">
        <w:rPr>
          <w:rFonts w:ascii="Times New Roman" w:hAnsi="Times New Roman" w:cs="Times New Roman"/>
          <w:bCs/>
          <w:sz w:val="22"/>
          <w:szCs w:val="22"/>
        </w:rPr>
        <w:t xml:space="preserve"> </w:t>
      </w:r>
      <m:oMath>
        <m:r>
          <m:rPr>
            <m:sty m:val="b"/>
          </m:rPr>
          <w:rPr>
            <w:rFonts w:ascii="Cambria Math" w:hAnsi="Cambria Math" w:cs="Times New Roman"/>
            <w:sz w:val="22"/>
            <w:szCs w:val="22"/>
          </w:rPr>
          <m:t>U'</m:t>
        </m:r>
      </m:oMath>
      <w:r w:rsidR="00527832" w:rsidRPr="00F15FE5">
        <w:rPr>
          <w:rFonts w:ascii="Times New Roman" w:hAnsi="Times New Roman" w:cs="Times New Roman"/>
          <w:bCs/>
          <w:sz w:val="22"/>
          <w:szCs w:val="22"/>
        </w:rPr>
        <w:t xml:space="preserve"> </w:t>
      </w:r>
      <w:r w:rsidR="00527832" w:rsidRPr="00F15FE5">
        <w:rPr>
          <w:rFonts w:ascii="Times New Roman" w:hAnsi="Times New Roman" w:cs="Times New Roman"/>
          <w:b w:val="0"/>
          <w:bCs/>
          <w:sz w:val="22"/>
          <w:szCs w:val="22"/>
        </w:rPr>
        <w:t>and</w:t>
      </w:r>
      <w:r w:rsidR="00527832" w:rsidRPr="00F15FE5">
        <w:rPr>
          <w:rFonts w:ascii="Times New Roman" w:hAnsi="Times New Roman" w:cs="Times New Roman"/>
          <w:b w:val="0"/>
          <w:sz w:val="22"/>
          <w:szCs w:val="22"/>
        </w:rPr>
        <w:t xml:space="preserve"> </w:t>
      </w:r>
      <m:oMath>
        <m:sSub>
          <m:sSubPr>
            <m:ctrlPr>
              <w:rPr>
                <w:rFonts w:ascii="Cambria Math" w:hAnsi="Cambria Math" w:cs="Times New Roman"/>
                <w:bCs/>
                <w:sz w:val="22"/>
                <w:szCs w:val="22"/>
              </w:rPr>
            </m:ctrlPr>
          </m:sSubPr>
          <m:e>
            <m:r>
              <m:rPr>
                <m:sty m:val="b"/>
              </m:rPr>
              <w:rPr>
                <w:rFonts w:ascii="Cambria Math" w:hAnsi="Cambria Math" w:cs="Times New Roman"/>
                <w:sz w:val="22"/>
                <w:szCs w:val="22"/>
              </w:rPr>
              <m:t>W</m:t>
            </m:r>
          </m:e>
          <m:sub>
            <m:r>
              <m:rPr>
                <m:sty m:val="b"/>
              </m:rPr>
              <w:rPr>
                <w:rFonts w:ascii="Cambria Math" w:hAnsi="Cambria Math" w:cs="Times New Roman"/>
                <w:sz w:val="22"/>
                <w:szCs w:val="22"/>
              </w:rPr>
              <m:t>1</m:t>
            </m:r>
          </m:sub>
        </m:sSub>
        <m:r>
          <m:rPr>
            <m:sty m:val="bi"/>
          </m:rPr>
          <w:rPr>
            <w:rFonts w:ascii="Cambria Math" w:hAnsi="Cambria Math" w:cs="Times New Roman"/>
            <w:sz w:val="22"/>
            <w:szCs w:val="22"/>
          </w:rPr>
          <m:t>'</m:t>
        </m:r>
      </m:oMath>
      <w:r w:rsidR="00527832" w:rsidRPr="00F15FE5">
        <w:rPr>
          <w:rFonts w:ascii="Times New Roman" w:hAnsi="Times New Roman" w:cs="Times New Roman"/>
          <w:bCs/>
          <w:sz w:val="22"/>
          <w:szCs w:val="22"/>
        </w:rPr>
        <w:t xml:space="preserve"> </w:t>
      </w:r>
      <w:r w:rsidR="00527832" w:rsidRPr="00F15FE5">
        <w:rPr>
          <w:rFonts w:ascii="Times New Roman" w:hAnsi="Times New Roman" w:cs="Times New Roman"/>
          <w:b w:val="0"/>
          <w:bCs/>
          <w:sz w:val="22"/>
          <w:szCs w:val="22"/>
        </w:rPr>
        <w:t xml:space="preserve">matrices (along with the biases for the visible layer and first hidden layer; primes indicate that these parameters are initial estimates only) by optimizing </w:t>
      </w:r>
      <m:oMath>
        <m:r>
          <m:rPr>
            <m:sty m:val="bi"/>
          </m:rPr>
          <w:rPr>
            <w:rFonts w:ascii="Cambria Math" w:hAnsi="Cambria Math" w:cs="Times New Roman"/>
            <w:sz w:val="22"/>
            <w:szCs w:val="22"/>
          </w:rPr>
          <m:t>p</m:t>
        </m:r>
        <m:d>
          <m:dPr>
            <m:ctrlPr>
              <w:rPr>
                <w:rFonts w:ascii="Cambria Math" w:hAnsi="Cambria Math" w:cs="Times New Roman"/>
                <w:i/>
                <w:sz w:val="22"/>
                <w:szCs w:val="22"/>
              </w:rPr>
            </m:ctrlPr>
          </m:dPr>
          <m:e>
            <m:r>
              <m:rPr>
                <m:sty m:val="b"/>
              </m:rPr>
              <w:rPr>
                <w:rFonts w:ascii="Cambria Math" w:hAnsi="Cambria Math" w:cs="Times New Roman"/>
                <w:sz w:val="22"/>
                <w:szCs w:val="22"/>
              </w:rPr>
              <m:t>x|z</m:t>
            </m:r>
          </m:e>
        </m:d>
      </m:oMath>
      <w:r w:rsidR="00527832" w:rsidRPr="00F15FE5">
        <w:rPr>
          <w:rFonts w:ascii="Times New Roman" w:hAnsi="Times New Roman" w:cs="Times New Roman"/>
          <w:sz w:val="22"/>
          <w:szCs w:val="22"/>
        </w:rPr>
        <w:t xml:space="preserve"> </w:t>
      </w:r>
      <w:r w:rsidR="00527832" w:rsidRPr="00F15FE5">
        <w:rPr>
          <w:rFonts w:ascii="Times New Roman" w:hAnsi="Times New Roman" w:cs="Times New Roman"/>
          <w:b w:val="0"/>
          <w:sz w:val="22"/>
          <w:szCs w:val="22"/>
        </w:rPr>
        <w:t xml:space="preserve">on the validation partition, while fixing all hidden nodes at the second layer to 0; since we </w:t>
      </w:r>
      <w:bookmarkStart w:id="54" w:name="_GoBack"/>
      <w:bookmarkEnd w:id="54"/>
      <w:r w:rsidR="00527832" w:rsidRPr="00F15FE5">
        <w:rPr>
          <w:rFonts w:ascii="Times New Roman" w:hAnsi="Times New Roman" w:cs="Times New Roman"/>
          <w:b w:val="0"/>
          <w:sz w:val="22"/>
          <w:szCs w:val="22"/>
        </w:rPr>
        <w:t xml:space="preserve">only allow one level of hidden nodes to vary, this model is equivalent to a cRBM (with additional structure on the visible nodes), and hence we use the Contrastive Divergence (Eq. 5) for optimization. Additionally, we perform feature selection at this stage by only including in the model the top </w:t>
      </w:r>
      <m:oMath>
        <m:sSub>
          <m:sSubPr>
            <m:ctrlPr>
              <w:rPr>
                <w:rFonts w:ascii="Cambria Math" w:hAnsi="Cambria Math" w:cs="Times New Roman"/>
                <w:b w:val="0"/>
                <w:i/>
                <w:sz w:val="22"/>
                <w:szCs w:val="22"/>
              </w:rPr>
            </m:ctrlPr>
          </m:sSubPr>
          <m:e>
            <m:r>
              <w:rPr>
                <w:rFonts w:ascii="Cambria Math" w:hAnsi="Cambria Math" w:cs="Times New Roman"/>
                <w:sz w:val="22"/>
                <w:szCs w:val="22"/>
              </w:rPr>
              <m:t>π</m:t>
            </m:r>
          </m:e>
          <m:sub>
            <m:r>
              <m:rPr>
                <m:sty m:val="p"/>
              </m:rPr>
              <w:rPr>
                <w:rFonts w:ascii="Cambria Math" w:hAnsi="Cambria Math" w:cs="Times New Roman"/>
                <w:sz w:val="22"/>
                <w:szCs w:val="22"/>
              </w:rPr>
              <m:t>gene</m:t>
            </m:r>
          </m:sub>
        </m:sSub>
        <m:r>
          <w:rPr>
            <w:rFonts w:ascii="Cambria Math" w:hAnsi="Cambria Math" w:cs="Times New Roman"/>
            <w:sz w:val="22"/>
            <w:szCs w:val="22"/>
          </w:rPr>
          <m:t xml:space="preserve">, </m:t>
        </m:r>
        <m:sSub>
          <m:sSubPr>
            <m:ctrlPr>
              <w:rPr>
                <w:rFonts w:ascii="Cambria Math" w:hAnsi="Cambria Math" w:cs="Times New Roman"/>
                <w:b w:val="0"/>
                <w:i/>
                <w:sz w:val="22"/>
                <w:szCs w:val="22"/>
              </w:rPr>
            </m:ctrlPr>
          </m:sSubPr>
          <m:e>
            <m:r>
              <w:rPr>
                <w:rFonts w:ascii="Cambria Math" w:hAnsi="Cambria Math" w:cs="Times New Roman"/>
                <w:sz w:val="22"/>
                <w:szCs w:val="22"/>
              </w:rPr>
              <m:t>π</m:t>
            </m:r>
          </m:e>
          <m:sub>
            <m:r>
              <m:rPr>
                <m:sty m:val="p"/>
              </m:rPr>
              <w:rPr>
                <w:rFonts w:ascii="Cambria Math" w:hAnsi="Cambria Math" w:cs="Times New Roman"/>
                <w:sz w:val="22"/>
                <w:szCs w:val="22"/>
              </w:rPr>
              <m:t>enh</m:t>
            </m:r>
          </m:sub>
        </m:sSub>
        <m:r>
          <w:rPr>
            <w:rFonts w:ascii="Cambria Math" w:hAnsi="Cambria Math" w:cs="Times New Roman"/>
            <w:sz w:val="22"/>
            <w:szCs w:val="22"/>
          </w:rPr>
          <m:t xml:space="preserve">, </m:t>
        </m:r>
        <m:sSub>
          <m:sSubPr>
            <m:ctrlPr>
              <w:rPr>
                <w:rFonts w:ascii="Cambria Math" w:hAnsi="Cambria Math" w:cs="Times New Roman"/>
                <w:b w:val="0"/>
                <w:i/>
                <w:sz w:val="22"/>
                <w:szCs w:val="22"/>
              </w:rPr>
            </m:ctrlPr>
          </m:sSubPr>
          <m:e>
            <m:r>
              <w:rPr>
                <w:rFonts w:ascii="Cambria Math" w:hAnsi="Cambria Math" w:cs="Times New Roman"/>
                <w:sz w:val="22"/>
                <w:szCs w:val="22"/>
              </w:rPr>
              <m:t>π</m:t>
            </m:r>
          </m:e>
          <m:sub>
            <m:r>
              <m:rPr>
                <m:sty m:val="p"/>
              </m:rPr>
              <w:rPr>
                <w:rFonts w:ascii="Cambria Math" w:hAnsi="Cambria Math" w:cs="Times New Roman"/>
                <w:sz w:val="22"/>
                <w:szCs w:val="22"/>
              </w:rPr>
              <m:t>frac</m:t>
            </m:r>
          </m:sub>
        </m:sSub>
        <m:r>
          <w:rPr>
            <w:rFonts w:ascii="Cambria Math" w:hAnsi="Cambria Math" w:cs="Times New Roman"/>
            <w:sz w:val="22"/>
            <w:szCs w:val="22"/>
          </w:rPr>
          <m:t xml:space="preserve">, </m:t>
        </m:r>
        <m:sSub>
          <m:sSubPr>
            <m:ctrlPr>
              <w:rPr>
                <w:rFonts w:ascii="Cambria Math" w:hAnsi="Cambria Math" w:cs="Times New Roman"/>
                <w:b w:val="0"/>
                <w:i/>
                <w:sz w:val="22"/>
                <w:szCs w:val="22"/>
              </w:rPr>
            </m:ctrlPr>
          </m:sSubPr>
          <m:e>
            <m:r>
              <w:rPr>
                <w:rFonts w:ascii="Cambria Math" w:hAnsi="Cambria Math" w:cs="Times New Roman"/>
                <w:sz w:val="22"/>
                <w:szCs w:val="22"/>
              </w:rPr>
              <m:t>π</m:t>
            </m:r>
          </m:e>
          <m:sub>
            <m:r>
              <m:rPr>
                <m:sty m:val="p"/>
              </m:rPr>
              <w:rPr>
                <w:rFonts w:ascii="Cambria Math" w:hAnsi="Cambria Math" w:cs="Times New Roman"/>
                <w:sz w:val="22"/>
                <w:szCs w:val="22"/>
              </w:rPr>
              <m:t>mod</m:t>
            </m:r>
          </m:sub>
        </m:sSub>
      </m:oMath>
      <w:r w:rsidR="00527832" w:rsidRPr="00F15FE5">
        <w:rPr>
          <w:rFonts w:ascii="Times New Roman" w:hAnsi="Times New Roman" w:cs="Times New Roman"/>
          <w:b w:val="0"/>
          <w:sz w:val="22"/>
          <w:szCs w:val="22"/>
        </w:rPr>
        <w:t xml:space="preserve"> proportion of intermediate phenotypes for each respective type as order by their predictive accuracy using the initial logistic predictor. We then use the partial cRBM model over </w:t>
      </w:r>
      <m:oMath>
        <m:d>
          <m:dPr>
            <m:ctrlPr>
              <w:rPr>
                <w:rFonts w:ascii="Cambria Math" w:hAnsi="Cambria Math" w:cs="Times New Roman"/>
                <w:i/>
                <w:sz w:val="22"/>
                <w:szCs w:val="22"/>
              </w:rPr>
            </m:ctrlPr>
          </m:dPr>
          <m:e>
            <m:r>
              <m:rPr>
                <m:sty m:val="b"/>
              </m:rPr>
              <w:rPr>
                <w:rFonts w:ascii="Cambria Math" w:hAnsi="Cambria Math" w:cs="Times New Roman"/>
                <w:sz w:val="22"/>
                <w:szCs w:val="22"/>
              </w:rPr>
              <m:t>z,x,</m:t>
            </m:r>
            <m:sSub>
              <m:sSubPr>
                <m:ctrlPr>
                  <w:rPr>
                    <w:rFonts w:ascii="Cambria Math" w:hAnsi="Cambria Math" w:cs="Times New Roman"/>
                    <w:sz w:val="22"/>
                    <w:szCs w:val="22"/>
                  </w:rPr>
                </m:ctrlPr>
              </m:sSubPr>
              <m:e>
                <m:r>
                  <m:rPr>
                    <m:sty m:val="b"/>
                  </m:rPr>
                  <w:rPr>
                    <w:rFonts w:ascii="Cambria Math" w:hAnsi="Cambria Math" w:cs="Times New Roman"/>
                    <w:sz w:val="22"/>
                    <w:szCs w:val="22"/>
                  </w:rPr>
                  <m:t>h</m:t>
                </m:r>
              </m:e>
              <m:sub>
                <m:r>
                  <m:rPr>
                    <m:sty m:val="b"/>
                  </m:rPr>
                  <w:rPr>
                    <w:rFonts w:ascii="Cambria Math" w:hAnsi="Cambria Math" w:cs="Times New Roman"/>
                    <w:sz w:val="22"/>
                    <w:szCs w:val="22"/>
                  </w:rPr>
                  <m:t>1</m:t>
                </m:r>
              </m:sub>
            </m:sSub>
          </m:e>
        </m:d>
      </m:oMath>
      <w:r w:rsidR="00527832" w:rsidRPr="00F15FE5">
        <w:rPr>
          <w:rFonts w:ascii="Times New Roman" w:hAnsi="Times New Roman" w:cs="Times New Roman"/>
          <w:sz w:val="22"/>
          <w:szCs w:val="22"/>
        </w:rPr>
        <w:t xml:space="preserve"> </w:t>
      </w:r>
      <w:r w:rsidR="00527832" w:rsidRPr="00F15FE5">
        <w:rPr>
          <w:rFonts w:ascii="Times New Roman" w:hAnsi="Times New Roman" w:cs="Times New Roman"/>
          <w:b w:val="0"/>
          <w:sz w:val="22"/>
          <w:szCs w:val="22"/>
        </w:rPr>
        <w:t xml:space="preserve">to jointly infer estimated </w:t>
      </w:r>
      <w:r w:rsidR="00527832" w:rsidRPr="00F15FE5">
        <w:rPr>
          <w:rFonts w:ascii="Times New Roman" w:hAnsi="Times New Roman" w:cs="Times New Roman"/>
          <w:b w:val="0"/>
          <w:sz w:val="22"/>
          <w:szCs w:val="22"/>
        </w:rPr>
        <w:lastRenderedPageBreak/>
        <w:t xml:space="preserve">intermediate phenotype data for the validation samples, which we label </w:t>
      </w:r>
      <m:oMath>
        <m:sSub>
          <m:sSubPr>
            <m:ctrlPr>
              <w:rPr>
                <w:rFonts w:ascii="Cambria Math" w:hAnsi="Cambria Math" w:cs="Times New Roman"/>
                <w:bCs/>
                <w:sz w:val="22"/>
                <w:szCs w:val="22"/>
              </w:rPr>
            </m:ctrlPr>
          </m:sSubPr>
          <m:e>
            <m:r>
              <m:rPr>
                <m:sty m:val="b"/>
              </m:rPr>
              <w:rPr>
                <w:rFonts w:ascii="Cambria Math" w:hAnsi="Cambria Math" w:cs="Times New Roman"/>
                <w:sz w:val="22"/>
                <w:szCs w:val="22"/>
              </w:rPr>
              <m:t>x</m:t>
            </m:r>
          </m:e>
          <m:sub>
            <m:r>
              <m:rPr>
                <m:sty m:val="b"/>
              </m:rPr>
              <w:rPr>
                <w:rFonts w:ascii="Cambria Math" w:hAnsi="Cambria Math" w:cs="Times New Roman"/>
                <w:sz w:val="22"/>
                <w:szCs w:val="22"/>
              </w:rPr>
              <m:t>imput</m:t>
            </m:r>
          </m:sub>
        </m:sSub>
      </m:oMath>
      <w:r w:rsidR="00527832" w:rsidRPr="00F15FE5">
        <w:rPr>
          <w:rFonts w:ascii="Times New Roman" w:hAnsi="Times New Roman" w:cs="Times New Roman"/>
          <w:bCs/>
          <w:sz w:val="22"/>
          <w:szCs w:val="22"/>
        </w:rPr>
        <w:t xml:space="preserve"> </w:t>
      </w:r>
      <w:r w:rsidR="00527832" w:rsidRPr="00F15FE5">
        <w:rPr>
          <w:rFonts w:ascii="Times New Roman" w:hAnsi="Times New Roman" w:cs="Times New Roman"/>
          <w:b w:val="0"/>
          <w:bCs/>
          <w:sz w:val="22"/>
          <w:szCs w:val="22"/>
        </w:rPr>
        <w:t xml:space="preserve">(we infer </w:t>
      </w:r>
      <m:oMath>
        <m:sSub>
          <m:sSubPr>
            <m:ctrlPr>
              <w:rPr>
                <w:rFonts w:ascii="Cambria Math" w:hAnsi="Cambria Math" w:cs="Times New Roman"/>
                <w:bCs/>
                <w:sz w:val="22"/>
                <w:szCs w:val="22"/>
              </w:rPr>
            </m:ctrlPr>
          </m:sSubPr>
          <m:e>
            <m:r>
              <m:rPr>
                <m:sty m:val="b"/>
              </m:rPr>
              <w:rPr>
                <w:rFonts w:ascii="Cambria Math" w:hAnsi="Cambria Math" w:cs="Times New Roman"/>
                <w:sz w:val="22"/>
                <w:szCs w:val="22"/>
              </w:rPr>
              <m:t>x</m:t>
            </m:r>
          </m:e>
          <m:sub>
            <m:r>
              <m:rPr>
                <m:sty m:val="b"/>
              </m:rPr>
              <w:rPr>
                <w:rFonts w:ascii="Cambria Math" w:hAnsi="Cambria Math" w:cs="Times New Roman"/>
                <w:sz w:val="22"/>
                <w:szCs w:val="22"/>
              </w:rPr>
              <m:t>i</m:t>
            </m:r>
            <m:r>
              <m:rPr>
                <m:sty m:val="b"/>
              </m:rPr>
              <w:rPr>
                <w:rFonts w:ascii="Cambria Math" w:hAnsi="Cambria Math" w:cs="Cambria Math"/>
                <w:sz w:val="22"/>
                <w:szCs w:val="22"/>
              </w:rPr>
              <m:t>m</m:t>
            </m:r>
            <m:r>
              <m:rPr>
                <m:sty m:val="b"/>
              </m:rPr>
              <w:rPr>
                <w:rFonts w:ascii="Cambria Math" w:hAnsi="Cambria Math" w:cs="Times New Roman"/>
                <w:sz w:val="22"/>
                <w:szCs w:val="22"/>
              </w:rPr>
              <m:t>put</m:t>
            </m:r>
          </m:sub>
        </m:sSub>
      </m:oMath>
      <w:r w:rsidR="00527832" w:rsidRPr="00F15FE5">
        <w:rPr>
          <w:rFonts w:ascii="Times New Roman" w:hAnsi="Times New Roman" w:cs="Times New Roman"/>
          <w:bCs/>
          <w:sz w:val="22"/>
          <w:szCs w:val="22"/>
        </w:rPr>
        <w:t xml:space="preserve"> </w:t>
      </w:r>
      <w:r w:rsidR="00527832" w:rsidRPr="00F15FE5">
        <w:rPr>
          <w:rFonts w:ascii="Times New Roman" w:hAnsi="Times New Roman" w:cs="Times New Roman"/>
          <w:b w:val="0"/>
          <w:bCs/>
          <w:sz w:val="22"/>
          <w:szCs w:val="22"/>
        </w:rPr>
        <w:t xml:space="preserve">by initializing it to the maximum likelihood outputs of the logistic predictors, and performing Gibbs sampling according to the cRBM energy function to refine this estimate).  Finally, we train a full DSPN (with </w:t>
      </w:r>
      <m:oMath>
        <m:r>
          <m:rPr>
            <m:sty m:val="b"/>
          </m:rPr>
          <w:rPr>
            <w:rFonts w:ascii="Cambria Math" w:hAnsi="Cambria Math" w:cs="Times New Roman"/>
            <w:sz w:val="22"/>
            <w:szCs w:val="22"/>
          </w:rPr>
          <m:t>V</m:t>
        </m:r>
      </m:oMath>
      <w:r w:rsidR="00527832" w:rsidRPr="00F15FE5">
        <w:rPr>
          <w:rFonts w:ascii="Times New Roman" w:hAnsi="Times New Roman" w:cs="Times New Roman"/>
          <w:bCs/>
          <w:sz w:val="22"/>
          <w:szCs w:val="22"/>
        </w:rPr>
        <w:t xml:space="preserve"> </w:t>
      </w:r>
      <w:r w:rsidR="00527832" w:rsidRPr="00F15FE5">
        <w:rPr>
          <w:rFonts w:ascii="Times New Roman" w:hAnsi="Times New Roman" w:cs="Times New Roman"/>
          <w:b w:val="0"/>
          <w:bCs/>
          <w:sz w:val="22"/>
          <w:szCs w:val="22"/>
        </w:rPr>
        <w:t xml:space="preserve">still fixed) on the validation data, but optimized using the imputed rather than the original intermediate phenotype data, i.e. using  </w:t>
      </w:r>
      <m:oMath>
        <m:d>
          <m:dPr>
            <m:ctrlPr>
              <w:rPr>
                <w:rFonts w:ascii="Cambria Math" w:hAnsi="Cambria Math" w:cs="Times New Roman"/>
                <w:b w:val="0"/>
                <w:bCs/>
                <w:i/>
                <w:sz w:val="22"/>
                <w:szCs w:val="22"/>
              </w:rPr>
            </m:ctrlPr>
          </m:dPr>
          <m:e>
            <m:r>
              <m:rPr>
                <m:sty m:val="b"/>
              </m:rPr>
              <w:rPr>
                <w:rFonts w:ascii="Cambria Math" w:hAnsi="Cambria Math" w:cs="Times New Roman"/>
                <w:sz w:val="22"/>
                <w:szCs w:val="22"/>
              </w:rPr>
              <m:t>z,</m:t>
            </m:r>
            <m:sSub>
              <m:sSubPr>
                <m:ctrlPr>
                  <w:rPr>
                    <w:rFonts w:ascii="Cambria Math" w:hAnsi="Cambria Math" w:cs="Times New Roman"/>
                    <w:bCs/>
                    <w:sz w:val="22"/>
                    <w:szCs w:val="22"/>
                  </w:rPr>
                </m:ctrlPr>
              </m:sSubPr>
              <m:e>
                <m:r>
                  <m:rPr>
                    <m:sty m:val="b"/>
                  </m:rPr>
                  <w:rPr>
                    <w:rFonts w:ascii="Cambria Math" w:hAnsi="Cambria Math" w:cs="Times New Roman"/>
                    <w:sz w:val="22"/>
                    <w:szCs w:val="22"/>
                  </w:rPr>
                  <m:t>x</m:t>
                </m:r>
              </m:e>
              <m:sub>
                <m:r>
                  <m:rPr>
                    <m:sty m:val="b"/>
                  </m:rPr>
                  <w:rPr>
                    <w:rFonts w:ascii="Cambria Math" w:hAnsi="Cambria Math" w:cs="Times New Roman"/>
                    <w:sz w:val="22"/>
                    <w:szCs w:val="22"/>
                  </w:rPr>
                  <m:t>imput</m:t>
                </m:r>
              </m:sub>
            </m:sSub>
            <m:r>
              <m:rPr>
                <m:sty m:val="bi"/>
              </m:rPr>
              <w:rPr>
                <w:rFonts w:ascii="Cambria Math" w:hAnsi="Cambria Math" w:cs="Times New Roman"/>
                <w:sz w:val="22"/>
                <w:szCs w:val="22"/>
              </w:rPr>
              <m:t>,y</m:t>
            </m:r>
          </m:e>
        </m:d>
      </m:oMath>
      <w:r w:rsidR="00527832" w:rsidRPr="00F15FE5">
        <w:rPr>
          <w:rFonts w:ascii="Times New Roman" w:hAnsi="Times New Roman" w:cs="Times New Roman"/>
          <w:b w:val="0"/>
          <w:bCs/>
          <w:sz w:val="22"/>
          <w:szCs w:val="22"/>
        </w:rPr>
        <w:t xml:space="preserve"> as training samples.  </w:t>
      </w:r>
    </w:p>
    <w:p w14:paraId="672CC17E" w14:textId="0AC26F7F" w:rsidR="00527832" w:rsidRDefault="00527832" w:rsidP="00A2563A">
      <w:pPr>
        <w:pStyle w:val="Heading2"/>
        <w:spacing w:before="0"/>
        <w:ind w:firstLine="720"/>
        <w:rPr>
          <w:rFonts w:ascii="Times New Roman" w:hAnsi="Times New Roman" w:cs="Times New Roman"/>
          <w:b w:val="0"/>
          <w:sz w:val="22"/>
          <w:szCs w:val="22"/>
        </w:rPr>
      </w:pPr>
      <w:r w:rsidRPr="00F15FE5">
        <w:rPr>
          <w:rFonts w:ascii="Times New Roman" w:hAnsi="Times New Roman" w:cs="Times New Roman"/>
          <w:b w:val="0"/>
          <w:bCs/>
          <w:sz w:val="22"/>
          <w:szCs w:val="22"/>
        </w:rPr>
        <w:t xml:space="preserve">At test time, we do not make use of the intermediate phenotype data.  Instead, we follow a similar path to training, by first imputing the intermediate phenotype data using the partial cRBM model with parameters </w:t>
      </w:r>
      <m:oMath>
        <m:r>
          <m:rPr>
            <m:sty m:val="b"/>
          </m:rPr>
          <w:rPr>
            <w:rFonts w:ascii="Cambria Math" w:hAnsi="Cambria Math" w:cs="Times New Roman"/>
          </w:rPr>
          <m:t>V,</m:t>
        </m:r>
      </m:oMath>
      <w:r w:rsidRPr="00F15FE5">
        <w:rPr>
          <w:rFonts w:ascii="Times New Roman" w:hAnsi="Times New Roman" w:cs="Times New Roman"/>
          <w:bCs/>
        </w:rPr>
        <w:t xml:space="preserve"> </w:t>
      </w:r>
      <m:oMath>
        <m:r>
          <m:rPr>
            <m:sty m:val="b"/>
          </m:rPr>
          <w:rPr>
            <w:rFonts w:ascii="Cambria Math" w:hAnsi="Cambria Math" w:cs="Times New Roman"/>
            <w:sz w:val="22"/>
            <w:szCs w:val="22"/>
          </w:rPr>
          <m:t>U'</m:t>
        </m:r>
      </m:oMath>
      <w:r w:rsidRPr="00F15FE5">
        <w:rPr>
          <w:rFonts w:ascii="Times New Roman" w:hAnsi="Times New Roman" w:cs="Times New Roman"/>
          <w:bCs/>
          <w:sz w:val="22"/>
          <w:szCs w:val="22"/>
        </w:rPr>
        <w:t xml:space="preserve"> </w:t>
      </w:r>
      <w:r w:rsidRPr="00F15FE5">
        <w:rPr>
          <w:rFonts w:ascii="Times New Roman" w:hAnsi="Times New Roman" w:cs="Times New Roman"/>
          <w:b w:val="0"/>
          <w:bCs/>
          <w:sz w:val="22"/>
          <w:szCs w:val="22"/>
        </w:rPr>
        <w:t>and</w:t>
      </w:r>
      <w:r w:rsidRPr="00F15FE5">
        <w:rPr>
          <w:rFonts w:ascii="Times New Roman" w:hAnsi="Times New Roman" w:cs="Times New Roman"/>
          <w:b w:val="0"/>
          <w:sz w:val="22"/>
          <w:szCs w:val="22"/>
        </w:rPr>
        <w:t xml:space="preserve"> </w:t>
      </w:r>
      <m:oMath>
        <m:sSub>
          <m:sSubPr>
            <m:ctrlPr>
              <w:rPr>
                <w:rFonts w:ascii="Cambria Math" w:hAnsi="Cambria Math" w:cs="Times New Roman"/>
                <w:bCs/>
                <w:sz w:val="22"/>
                <w:szCs w:val="22"/>
              </w:rPr>
            </m:ctrlPr>
          </m:sSubPr>
          <m:e>
            <m:r>
              <m:rPr>
                <m:sty m:val="b"/>
              </m:rPr>
              <w:rPr>
                <w:rFonts w:ascii="Cambria Math" w:hAnsi="Cambria Math" w:cs="Times New Roman"/>
                <w:sz w:val="22"/>
                <w:szCs w:val="22"/>
              </w:rPr>
              <m:t>W</m:t>
            </m:r>
          </m:e>
          <m:sub>
            <m:r>
              <m:rPr>
                <m:sty m:val="b"/>
              </m:rPr>
              <w:rPr>
                <w:rFonts w:ascii="Cambria Math" w:hAnsi="Cambria Math" w:cs="Times New Roman"/>
                <w:sz w:val="22"/>
                <w:szCs w:val="22"/>
              </w:rPr>
              <m:t>1</m:t>
            </m:r>
          </m:sub>
        </m:sSub>
        <m:r>
          <m:rPr>
            <m:sty m:val="bi"/>
          </m:rPr>
          <w:rPr>
            <w:rFonts w:ascii="Cambria Math" w:hAnsi="Cambria Math" w:cs="Times New Roman"/>
            <w:sz w:val="22"/>
            <w:szCs w:val="22"/>
          </w:rPr>
          <m:t>'</m:t>
        </m:r>
      </m:oMath>
      <w:r w:rsidRPr="00F15FE5">
        <w:rPr>
          <w:rFonts w:ascii="Times New Roman" w:hAnsi="Times New Roman" w:cs="Times New Roman"/>
          <w:bCs/>
          <w:sz w:val="22"/>
          <w:szCs w:val="22"/>
        </w:rPr>
        <w:t xml:space="preserve"> </w:t>
      </w:r>
      <w:r w:rsidRPr="00F15FE5">
        <w:rPr>
          <w:rFonts w:ascii="Times New Roman" w:hAnsi="Times New Roman" w:cs="Times New Roman"/>
          <w:b w:val="0"/>
          <w:bCs/>
          <w:sz w:val="22"/>
          <w:szCs w:val="22"/>
        </w:rPr>
        <w:t xml:space="preserve">(initialized using the individual logistic predictors used to form </w:t>
      </w:r>
      <m:oMath>
        <m:r>
          <m:rPr>
            <m:sty m:val="b"/>
          </m:rPr>
          <w:rPr>
            <w:rFonts w:ascii="Cambria Math" w:hAnsi="Cambria Math" w:cs="Times New Roman"/>
          </w:rPr>
          <m:t>V</m:t>
        </m:r>
      </m:oMath>
      <w:r w:rsidRPr="00F15FE5">
        <w:rPr>
          <w:rFonts w:ascii="Times New Roman" w:hAnsi="Times New Roman" w:cs="Times New Roman"/>
          <w:b w:val="0"/>
          <w:bCs/>
        </w:rPr>
        <w:t>).</w:t>
      </w:r>
      <w:r w:rsidRPr="00F15FE5">
        <w:rPr>
          <w:rFonts w:ascii="Times New Roman" w:hAnsi="Times New Roman" w:cs="Times New Roman"/>
          <w:b w:val="0"/>
          <w:bCs/>
          <w:sz w:val="22"/>
          <w:szCs w:val="22"/>
        </w:rPr>
        <w:t xml:space="preserve">  We then treat the imputed phenotype data as fixed, and predict the associated high-level phenotype data from the full DSPN model using a forward pass as described for prediction in the cDBM model.  We train the imputation based DSPN model using the same hyper-parameters as for the DSPN above, while setting  </w:t>
      </w:r>
      <m:oMath>
        <m:sSub>
          <m:sSubPr>
            <m:ctrlPr>
              <w:rPr>
                <w:rFonts w:ascii="Cambria Math" w:hAnsi="Cambria Math" w:cs="Times New Roman"/>
                <w:b w:val="0"/>
                <w:i/>
                <w:sz w:val="22"/>
                <w:szCs w:val="22"/>
              </w:rPr>
            </m:ctrlPr>
          </m:sSubPr>
          <m:e>
            <m:r>
              <w:rPr>
                <w:rFonts w:ascii="Cambria Math" w:hAnsi="Cambria Math" w:cs="Times New Roman"/>
                <w:sz w:val="22"/>
                <w:szCs w:val="22"/>
              </w:rPr>
              <m:t>π</m:t>
            </m:r>
          </m:e>
          <m:sub>
            <m:r>
              <m:rPr>
                <m:sty m:val="p"/>
              </m:rPr>
              <w:rPr>
                <w:rFonts w:ascii="Cambria Math" w:hAnsi="Cambria Math" w:cs="Times New Roman"/>
                <w:sz w:val="22"/>
                <w:szCs w:val="22"/>
              </w:rPr>
              <m:t>gene</m:t>
            </m:r>
          </m:sub>
        </m:sSub>
        <m:r>
          <w:rPr>
            <w:rFonts w:ascii="Cambria Math" w:hAnsi="Cambria Math" w:cs="Times New Roman"/>
            <w:sz w:val="22"/>
            <w:szCs w:val="22"/>
          </w:rPr>
          <m:t xml:space="preserve">=0.01, </m:t>
        </m:r>
        <m:sSub>
          <m:sSubPr>
            <m:ctrlPr>
              <w:rPr>
                <w:rFonts w:ascii="Cambria Math" w:hAnsi="Cambria Math" w:cs="Times New Roman"/>
                <w:b w:val="0"/>
                <w:i/>
                <w:sz w:val="22"/>
                <w:szCs w:val="22"/>
              </w:rPr>
            </m:ctrlPr>
          </m:sSubPr>
          <m:e>
            <m:r>
              <w:rPr>
                <w:rFonts w:ascii="Cambria Math" w:hAnsi="Cambria Math" w:cs="Times New Roman"/>
                <w:sz w:val="22"/>
                <w:szCs w:val="22"/>
              </w:rPr>
              <m:t xml:space="preserve"> π</m:t>
            </m:r>
          </m:e>
          <m:sub>
            <m:r>
              <m:rPr>
                <m:sty m:val="p"/>
              </m:rPr>
              <w:rPr>
                <w:rFonts w:ascii="Cambria Math" w:hAnsi="Cambria Math" w:cs="Times New Roman"/>
                <w:sz w:val="22"/>
                <w:szCs w:val="22"/>
              </w:rPr>
              <m:t>enh</m:t>
            </m:r>
          </m:sub>
        </m:sSub>
        <m:r>
          <w:rPr>
            <w:rFonts w:ascii="Cambria Math" w:hAnsi="Cambria Math" w:cs="Times New Roman"/>
            <w:sz w:val="22"/>
            <w:szCs w:val="22"/>
          </w:rPr>
          <m:t xml:space="preserve">=0.01, </m:t>
        </m:r>
        <m:sSub>
          <m:sSubPr>
            <m:ctrlPr>
              <w:rPr>
                <w:rFonts w:ascii="Cambria Math" w:hAnsi="Cambria Math" w:cs="Times New Roman"/>
                <w:b w:val="0"/>
                <w:i/>
                <w:sz w:val="22"/>
                <w:szCs w:val="22"/>
              </w:rPr>
            </m:ctrlPr>
          </m:sSubPr>
          <m:e>
            <m:r>
              <w:rPr>
                <w:rFonts w:ascii="Cambria Math" w:hAnsi="Cambria Math" w:cs="Times New Roman"/>
                <w:sz w:val="22"/>
                <w:szCs w:val="22"/>
              </w:rPr>
              <m:t xml:space="preserve"> π</m:t>
            </m:r>
          </m:e>
          <m:sub>
            <m:r>
              <m:rPr>
                <m:sty m:val="p"/>
              </m:rPr>
              <w:rPr>
                <w:rFonts w:ascii="Cambria Math" w:hAnsi="Cambria Math" w:cs="Times New Roman"/>
                <w:sz w:val="22"/>
                <w:szCs w:val="22"/>
              </w:rPr>
              <m:t>frac</m:t>
            </m:r>
          </m:sub>
        </m:sSub>
        <m:r>
          <w:rPr>
            <w:rFonts w:ascii="Cambria Math" w:hAnsi="Cambria Math" w:cs="Times New Roman"/>
            <w:sz w:val="22"/>
            <w:szCs w:val="22"/>
          </w:rPr>
          <m:t xml:space="preserve">=0.5,  </m:t>
        </m:r>
        <m:sSub>
          <m:sSubPr>
            <m:ctrlPr>
              <w:rPr>
                <w:rFonts w:ascii="Cambria Math" w:hAnsi="Cambria Math" w:cs="Times New Roman"/>
                <w:b w:val="0"/>
                <w:i/>
                <w:sz w:val="22"/>
                <w:szCs w:val="22"/>
              </w:rPr>
            </m:ctrlPr>
          </m:sSubPr>
          <m:e>
            <m:r>
              <w:rPr>
                <w:rFonts w:ascii="Cambria Math" w:hAnsi="Cambria Math" w:cs="Times New Roman"/>
                <w:sz w:val="22"/>
                <w:szCs w:val="22"/>
              </w:rPr>
              <m:t>π</m:t>
            </m:r>
          </m:e>
          <m:sub>
            <m:r>
              <m:rPr>
                <m:sty m:val="p"/>
              </m:rPr>
              <w:rPr>
                <w:rFonts w:ascii="Cambria Math" w:hAnsi="Cambria Math" w:cs="Times New Roman"/>
                <w:sz w:val="22"/>
                <w:szCs w:val="22"/>
              </w:rPr>
              <m:t>mod</m:t>
            </m:r>
          </m:sub>
        </m:sSub>
        <m:r>
          <w:rPr>
            <w:rFonts w:ascii="Cambria Math" w:hAnsi="Cambria Math" w:cs="Times New Roman"/>
            <w:sz w:val="22"/>
            <w:szCs w:val="22"/>
          </w:rPr>
          <m:t>=0.05.</m:t>
        </m:r>
      </m:oMath>
    </w:p>
    <w:p w14:paraId="3B07F28A" w14:textId="01E09FBA" w:rsidR="00527832" w:rsidRPr="00527832" w:rsidRDefault="00527832" w:rsidP="00A2563A">
      <w:pPr>
        <w:spacing w:before="0" w:line="240" w:lineRule="auto"/>
        <w:jc w:val="center"/>
      </w:pPr>
      <w:r>
        <w:rPr>
          <w:noProof/>
          <w:lang w:val="en-US"/>
        </w:rPr>
        <w:drawing>
          <wp:inline distT="0" distB="0" distL="0" distR="0" wp14:anchorId="472FCFDA" wp14:editId="4A62D6FF">
            <wp:extent cx="5320023" cy="304749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_S8.1.pdf"/>
                    <pic:cNvPicPr/>
                  </pic:nvPicPr>
                  <pic:blipFill rotWithShape="1">
                    <a:blip r:embed="rId44">
                      <a:extLst>
                        <a:ext uri="{28A0092B-C50C-407E-A947-70E740481C1C}">
                          <a14:useLocalDpi xmlns:a14="http://schemas.microsoft.com/office/drawing/2010/main" val="0"/>
                        </a:ext>
                      </a:extLst>
                    </a:blip>
                    <a:srcRect l="8923" t="10461" r="12915" b="-8"/>
                    <a:stretch/>
                  </pic:blipFill>
                  <pic:spPr bwMode="auto">
                    <a:xfrm>
                      <a:off x="0" y="0"/>
                      <a:ext cx="5350949" cy="3065207"/>
                    </a:xfrm>
                    <a:prstGeom prst="rect">
                      <a:avLst/>
                    </a:prstGeom>
                    <a:ln>
                      <a:noFill/>
                    </a:ln>
                    <a:extLst>
                      <a:ext uri="{53640926-AAD7-44D8-BBD7-CCE9431645EC}">
                        <a14:shadowObscured xmlns:a14="http://schemas.microsoft.com/office/drawing/2010/main"/>
                      </a:ext>
                    </a:extLst>
                  </pic:spPr>
                </pic:pic>
              </a:graphicData>
            </a:graphic>
          </wp:inline>
        </w:drawing>
      </w:r>
    </w:p>
    <w:p w14:paraId="791A84D2" w14:textId="215C46B0" w:rsidR="00527832" w:rsidRPr="00605DD0" w:rsidRDefault="00527832" w:rsidP="00A2563A">
      <w:pPr>
        <w:pBdr>
          <w:top w:val="single" w:sz="4" w:space="2" w:color="000000"/>
          <w:left w:val="single" w:sz="4" w:space="2" w:color="000000"/>
          <w:bottom w:val="single" w:sz="4" w:space="2" w:color="000000"/>
          <w:right w:val="single" w:sz="4" w:space="2" w:color="000000"/>
        </w:pBdr>
        <w:spacing w:before="0" w:line="240" w:lineRule="auto"/>
        <w:rPr>
          <w:rFonts w:ascii="Helvetica" w:eastAsia="Helvetica Neue" w:hAnsi="Helvetica" w:cs="Helvetica Neue"/>
          <w:sz w:val="18"/>
          <w:szCs w:val="18"/>
        </w:rPr>
      </w:pPr>
      <w:r w:rsidRPr="00605DD0">
        <w:rPr>
          <w:rFonts w:ascii="Helvetica" w:eastAsia="Helvetica Neue" w:hAnsi="Helvetica" w:cs="Helvetica Neue"/>
          <w:b/>
          <w:color w:val="434343"/>
          <w:sz w:val="18"/>
          <w:szCs w:val="18"/>
        </w:rPr>
        <w:t>Fig. S8.1 Accuracy of intermediate phenotype imputation using DSPN-imput model</w:t>
      </w:r>
      <w:r w:rsidRPr="00605DD0">
        <w:rPr>
          <w:rFonts w:ascii="Helvetica" w:eastAsia="Helvetica Neue" w:hAnsi="Helvetica" w:cs="Helvetica Neue"/>
          <w:b/>
          <w:color w:val="000000"/>
          <w:sz w:val="18"/>
          <w:szCs w:val="18"/>
        </w:rPr>
        <w:t xml:space="preserve">  </w:t>
      </w:r>
      <w:r w:rsidRPr="00605DD0">
        <w:rPr>
          <w:rFonts w:ascii="Helvetica" w:eastAsia="Helvetica Neue" w:hAnsi="Helvetica" w:cs="Helvetica Neue"/>
          <w:color w:val="434343"/>
          <w:sz w:val="18"/>
          <w:szCs w:val="18"/>
        </w:rPr>
        <w:t>Figure compares prediction accuracy for gene expression and chromatin activity using the full DSPN-imput model (with GRN structure included) vs prediction with a logistic model (independent prediction). Performance on training and testing partitions is shown.</w:t>
      </w:r>
    </w:p>
    <w:p w14:paraId="11790F27" w14:textId="77777777" w:rsidR="00A2563A" w:rsidRDefault="00A2563A" w:rsidP="00A2563A">
      <w:pPr>
        <w:pStyle w:val="Heading2"/>
        <w:spacing w:before="0"/>
        <w:rPr>
          <w:rFonts w:ascii="Helvetica" w:hAnsi="Helvetica"/>
          <w:sz w:val="28"/>
          <w:szCs w:val="28"/>
        </w:rPr>
      </w:pPr>
    </w:p>
    <w:p w14:paraId="6C4715CB" w14:textId="77777777" w:rsidR="00A2563A" w:rsidRDefault="00A2563A" w:rsidP="00A2563A">
      <w:pPr>
        <w:pStyle w:val="Heading2"/>
        <w:spacing w:before="0"/>
        <w:rPr>
          <w:rFonts w:ascii="Helvetica" w:hAnsi="Helvetica"/>
          <w:sz w:val="28"/>
          <w:szCs w:val="28"/>
        </w:rPr>
      </w:pPr>
    </w:p>
    <w:p w14:paraId="0966678D" w14:textId="77777777" w:rsidR="00527832" w:rsidRPr="00D51A3C" w:rsidRDefault="00527832" w:rsidP="00A2563A">
      <w:pPr>
        <w:pStyle w:val="Heading2"/>
        <w:spacing w:before="0"/>
        <w:rPr>
          <w:rFonts w:ascii="Helvetica" w:hAnsi="Helvetica"/>
          <w:sz w:val="28"/>
          <w:szCs w:val="28"/>
        </w:rPr>
      </w:pPr>
      <w:r w:rsidRPr="00D51A3C">
        <w:rPr>
          <w:rFonts w:ascii="Helvetica" w:hAnsi="Helvetica"/>
          <w:sz w:val="28"/>
          <w:szCs w:val="28"/>
        </w:rPr>
        <w:t>S8.4 Variance explained on liability scale</w:t>
      </w:r>
    </w:p>
    <w:p w14:paraId="389F380E" w14:textId="77777777"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7E7E25C9" wp14:editId="142182B9">
                <wp:simplePos x="0" y="0"/>
                <wp:positionH relativeFrom="column">
                  <wp:posOffset>5650865</wp:posOffset>
                </wp:positionH>
                <wp:positionV relativeFrom="paragraph">
                  <wp:posOffset>214630</wp:posOffset>
                </wp:positionV>
                <wp:extent cx="277495" cy="334645"/>
                <wp:effectExtent l="0" t="0" r="1905" b="20955"/>
                <wp:wrapNone/>
                <wp:docPr id="66" name="Text Box 66"/>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368A2E" w14:textId="77777777" w:rsidR="00B31588" w:rsidRPr="005E01D8" w:rsidRDefault="00B31588" w:rsidP="00527832">
                            <w:pPr>
                              <w:rPr>
                                <w:lang w:val="en-US"/>
                              </w:rPr>
                            </w:pPr>
                            <w:r>
                              <w:rPr>
                                <w:lang w:val="en-US"/>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7E25C9" id="Text Box 66" o:spid="_x0000_s1036" type="#_x0000_t202" style="position:absolute;margin-left:444.95pt;margin-top:16.9pt;width:21.8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" filled="f" stroked="f">
                <v:textbox inset="0,0,0,0">
                  <w:txbxContent>
                    <w:p w14:paraId="46368A2E" w14:textId="77777777" w:rsidR="00B31588" w:rsidRPr="005E01D8" w:rsidRDefault="00B31588" w:rsidP="00527832">
                      <w:pPr>
                        <w:rPr>
                          <w:lang w:val="en-US"/>
                        </w:rPr>
                      </w:pPr>
                      <w:r>
                        <w:rPr>
                          <w:lang w:val="en-US"/>
                        </w:rPr>
                        <w:t>(11)</w:t>
                      </w:r>
                    </w:p>
                  </w:txbxContent>
                </v:textbox>
              </v:shape>
            </w:pict>
          </mc:Fallback>
        </mc:AlternateContent>
      </w:r>
      <w:r w:rsidRPr="00F15FE5">
        <w:rPr>
          <w:rFonts w:ascii="Times New Roman" w:hAnsi="Times New Roman" w:cs="Times New Roman"/>
        </w:rPr>
        <w:t>To covert predictive performance of all models onto the liability scale, we use the following conversion due to Falconer (see International Schizophrenia Consortium, 2009; Falconer and MacKay, 1996):</w:t>
      </w:r>
    </w:p>
    <w:p w14:paraId="4F3654E4" w14:textId="77777777" w:rsidR="00527832" w:rsidRPr="00F15FE5" w:rsidRDefault="003C62F0" w:rsidP="00A2563A">
      <w:pPr>
        <w:spacing w:before="0" w:line="24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liab</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pos</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pos</m:t>
                  </m:r>
                </m:sub>
              </m:sSub>
            </m:e>
          </m:d>
          <m:sSup>
            <m:sSupPr>
              <m:ctrlPr>
                <w:rPr>
                  <w:rFonts w:ascii="Cambria Math" w:hAnsi="Cambria Math" w:cs="Times New Roman"/>
                </w:rPr>
              </m:ctrlPr>
            </m:sSupPr>
            <m:e>
              <m:d>
                <m:dPr>
                  <m:ctrlPr>
                    <w:rPr>
                      <w:rFonts w:ascii="Cambria Math" w:hAnsi="Cambria Math" w:cs="Times New Roman"/>
                      <w:i/>
                    </w:rPr>
                  </m:ctrlPr>
                </m:dPr>
                <m:e>
                  <m:r>
                    <m:rPr>
                      <m:sty m:val="p"/>
                    </m:rPr>
                    <w:rPr>
                      <w:rFonts w:ascii="Cambria Math" w:hAnsi="Cambria Math" w:cs="Times New Roman"/>
                    </w:rPr>
                    <m:t>GRR-1</m:t>
                  </m:r>
                  <m:ctrlPr>
                    <w:rPr>
                      <w:rFonts w:ascii="Cambria Math" w:hAnsi="Cambria Math" w:cs="Times New Roman"/>
                    </w:rPr>
                  </m:ctrlPr>
                </m:e>
              </m:d>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i</m:t>
              </m:r>
            </m:e>
            <m:sup>
              <m:r>
                <m:rPr>
                  <m:sty m:val="p"/>
                </m:rPr>
                <w:rPr>
                  <w:rFonts w:ascii="Cambria Math" w:hAnsi="Cambria Math" w:cs="Times New Roman"/>
                </w:rPr>
                <m:t>2</m:t>
              </m:r>
            </m:sup>
          </m:sSup>
          <m:r>
            <w:rPr>
              <w:rFonts w:ascii="Cambria Math" w:hAnsi="Cambria Math" w:cs="Times New Roman"/>
            </w:rPr>
            <m:t>,</m:t>
          </m:r>
        </m:oMath>
      </m:oMathPara>
    </w:p>
    <w:p w14:paraId="72638691" w14:textId="77777777"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liab</m:t>
            </m:r>
          </m:sub>
        </m:sSub>
      </m:oMath>
      <w:r w:rsidRPr="00F15FE5">
        <w:rPr>
          <w:rFonts w:ascii="Times New Roman" w:hAnsi="Times New Roman" w:cs="Times New Roman"/>
        </w:rPr>
        <w:t xml:space="preserve"> is the variance explained on the liability scale,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pos</m:t>
            </m:r>
          </m:sub>
        </m:sSub>
      </m:oMath>
      <w:r w:rsidRPr="00F15FE5">
        <w:rPr>
          <w:rFonts w:ascii="Times New Roman" w:hAnsi="Times New Roman" w:cs="Times New Roman"/>
        </w:rPr>
        <w:t xml:space="preserve"> is the probability the model predicts a genotype to be a case, GRR is the genotype relative risk, and </w:t>
      </w:r>
      <m:oMath>
        <m:r>
          <w:rPr>
            <w:rFonts w:ascii="Cambria Math" w:hAnsi="Cambria Math" w:cs="Times New Roman"/>
          </w:rPr>
          <m:t>i=z/K</m:t>
        </m:r>
      </m:oMath>
      <w:r w:rsidRPr="00F15FE5">
        <w:rPr>
          <w:rFonts w:ascii="Times New Roman" w:hAnsi="Times New Roman" w:cs="Times New Roman"/>
        </w:rPr>
        <w:t xml:space="preserve">, where </w:t>
      </w:r>
      <m:oMath>
        <m:r>
          <w:rPr>
            <w:rFonts w:ascii="Cambria Math" w:hAnsi="Cambria Math" w:cs="Times New Roman"/>
          </w:rPr>
          <m:t>K</m:t>
        </m:r>
      </m:oMath>
      <w:r w:rsidRPr="00F15FE5">
        <w:rPr>
          <w:rFonts w:ascii="Times New Roman" w:hAnsi="Times New Roman" w:cs="Times New Roman"/>
        </w:rPr>
        <w:t xml:space="preserve"> is the disease prevalence, and </w:t>
      </w:r>
      <m:oMath>
        <m:r>
          <w:rPr>
            <w:rFonts w:ascii="Cambria Math" w:hAnsi="Cambria Math" w:cs="Times New Roman"/>
          </w:rPr>
          <m:t>z</m:t>
        </m:r>
      </m:oMath>
      <w:r w:rsidRPr="00F15FE5">
        <w:rPr>
          <w:rFonts w:ascii="Times New Roman" w:hAnsi="Times New Roman" w:cs="Times New Roman"/>
        </w:rPr>
        <w:t xml:space="preserve"> the height of a standard normal distribution when the cumulative distribution has height </w:t>
      </w:r>
      <m:oMath>
        <m:d>
          <m:dPr>
            <m:ctrlPr>
              <w:rPr>
                <w:rFonts w:ascii="Cambria Math" w:hAnsi="Cambria Math" w:cs="Times New Roman"/>
                <w:i/>
              </w:rPr>
            </m:ctrlPr>
          </m:dPr>
          <m:e>
            <m:r>
              <w:rPr>
                <w:rFonts w:ascii="Cambria Math" w:hAnsi="Cambria Math" w:cs="Times New Roman"/>
              </w:rPr>
              <m:t>1-K</m:t>
            </m:r>
          </m:e>
        </m:d>
      </m:oMath>
      <w:r w:rsidRPr="00F15FE5">
        <w:rPr>
          <w:rFonts w:ascii="Times New Roman" w:hAnsi="Times New Roman" w:cs="Times New Roman"/>
        </w:rPr>
        <w:t xml:space="preserve">.  Letting </w:t>
      </w:r>
      <m:oMath>
        <m:r>
          <w:rPr>
            <w:rFonts w:ascii="Cambria Math" w:hAnsi="Cambria Math" w:cs="Times New Roman"/>
          </w:rPr>
          <m:t>a, b, c, d</m:t>
        </m:r>
      </m:oMath>
      <w:r w:rsidRPr="00F15FE5">
        <w:rPr>
          <w:rFonts w:ascii="Times New Roman" w:hAnsi="Times New Roman" w:cs="Times New Roman"/>
        </w:rPr>
        <w:t xml:space="preserve"> be the true negatives, false negatives, false positives and true positives respectively for a given model on test data, we estimate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pos</m:t>
            </m:r>
          </m:sub>
        </m:sSub>
        <m:r>
          <w:rPr>
            <w:rFonts w:ascii="Cambria Math" w:hAnsi="Cambria Math" w:cs="Times New Roman"/>
          </w:rPr>
          <m:t>=(c+</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1-K</m:t>
                </m:r>
              </m:den>
            </m:f>
          </m:e>
        </m:d>
        <m:r>
          <w:rPr>
            <w:rFonts w:ascii="Cambria Math" w:hAnsi="Cambria Math" w:cs="Times New Roman"/>
          </w:rPr>
          <m:t>d)/(a+c+</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1-K</m:t>
                </m:r>
              </m:den>
            </m:f>
          </m:e>
        </m:d>
        <m:d>
          <m:dPr>
            <m:ctrlPr>
              <w:rPr>
                <w:rFonts w:ascii="Cambria Math" w:hAnsi="Cambria Math" w:cs="Times New Roman"/>
                <w:i/>
              </w:rPr>
            </m:ctrlPr>
          </m:dPr>
          <m:e>
            <m:r>
              <w:rPr>
                <w:rFonts w:ascii="Cambria Math" w:hAnsi="Cambria Math" w:cs="Times New Roman"/>
              </w:rPr>
              <m:t>b+d</m:t>
            </m:r>
          </m:e>
        </m:d>
        <m:r>
          <w:rPr>
            <w:rFonts w:ascii="Cambria Math" w:hAnsi="Cambria Math" w:cs="Times New Roman"/>
          </w:rPr>
          <m:t>)</m:t>
        </m:r>
      </m:oMath>
      <w:r w:rsidRPr="00F15FE5">
        <w:rPr>
          <w:rFonts w:ascii="Times New Roman" w:hAnsi="Times New Roman" w:cs="Times New Roman"/>
        </w:rPr>
        <w:t xml:space="preserve">, and </w:t>
      </w:r>
      <m:oMath>
        <m:r>
          <m:rPr>
            <m:sty m:val="p"/>
          </m:rPr>
          <w:rPr>
            <w:rFonts w:ascii="Cambria Math" w:hAnsi="Cambria Math" w:cs="Times New Roman"/>
          </w:rPr>
          <m:t>GRR</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c+d</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a+b</m:t>
            </m:r>
          </m:den>
        </m:f>
        <m:r>
          <w:rPr>
            <w:rFonts w:ascii="Cambria Math" w:hAnsi="Cambria Math" w:cs="Times New Roman"/>
          </w:rPr>
          <m:t>)</m:t>
        </m:r>
      </m:oMath>
      <w:r w:rsidRPr="00F15FE5">
        <w:rPr>
          <w:rFonts w:ascii="Times New Roman" w:hAnsi="Times New Roman" w:cs="Times New Roman"/>
        </w:rPr>
        <w:t xml:space="preserve">.  We set </w:t>
      </w:r>
      <m:oMath>
        <m:r>
          <w:rPr>
            <w:rFonts w:ascii="Cambria Math" w:hAnsi="Cambria Math" w:cs="Times New Roman"/>
          </w:rPr>
          <m:t>K=0.011, 0.01, 0.015</m:t>
        </m:r>
      </m:oMath>
      <w:r w:rsidRPr="00F15FE5">
        <w:rPr>
          <w:rFonts w:ascii="Times New Roman" w:hAnsi="Times New Roman" w:cs="Times New Roman"/>
        </w:rPr>
        <w:t xml:space="preserve"> for SCZ, BPD and ASD respectively. </w:t>
      </w:r>
    </w:p>
    <w:p w14:paraId="6F2E5D69" w14:textId="77777777" w:rsidR="00527832" w:rsidRDefault="00527832" w:rsidP="00A2563A">
      <w:pPr>
        <w:spacing w:before="0" w:line="240" w:lineRule="auto"/>
      </w:pPr>
    </w:p>
    <w:p w14:paraId="60C28558" w14:textId="7FCC2C80" w:rsidR="00527832" w:rsidRDefault="00127EDA" w:rsidP="00A2563A">
      <w:pPr>
        <w:spacing w:before="0" w:line="240" w:lineRule="auto"/>
        <w:jc w:val="center"/>
      </w:pPr>
      <w:r>
        <w:rPr>
          <w:noProof/>
          <w:lang w:val="en-US"/>
        </w:rPr>
        <w:lastRenderedPageBreak/>
        <w:drawing>
          <wp:inline distT="0" distB="0" distL="0" distR="0" wp14:anchorId="27A8ABD5" wp14:editId="0F098E87">
            <wp:extent cx="4568571" cy="2399321"/>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_S8.2.pdf"/>
                    <pic:cNvPicPr/>
                  </pic:nvPicPr>
                  <pic:blipFill rotWithShape="1">
                    <a:blip r:embed="rId45">
                      <a:extLst>
                        <a:ext uri="{28A0092B-C50C-407E-A947-70E740481C1C}">
                          <a14:useLocalDpi xmlns:a14="http://schemas.microsoft.com/office/drawing/2010/main" val="0"/>
                        </a:ext>
                      </a:extLst>
                    </a:blip>
                    <a:srcRect l="18462" t="14769" r="17371" b="17833"/>
                    <a:stretch/>
                  </pic:blipFill>
                  <pic:spPr bwMode="auto">
                    <a:xfrm>
                      <a:off x="0" y="0"/>
                      <a:ext cx="4612013" cy="2422136"/>
                    </a:xfrm>
                    <a:prstGeom prst="rect">
                      <a:avLst/>
                    </a:prstGeom>
                    <a:ln>
                      <a:noFill/>
                    </a:ln>
                    <a:extLst>
                      <a:ext uri="{53640926-AAD7-44D8-BBD7-CCE9431645EC}">
                        <a14:shadowObscured xmlns:a14="http://schemas.microsoft.com/office/drawing/2010/main"/>
                      </a:ext>
                    </a:extLst>
                  </pic:spPr>
                </pic:pic>
              </a:graphicData>
            </a:graphic>
          </wp:inline>
        </w:drawing>
      </w:r>
    </w:p>
    <w:p w14:paraId="23323BD4" w14:textId="53E81DFC" w:rsidR="00127EDA" w:rsidRPr="0004201E" w:rsidRDefault="00527832" w:rsidP="00A2563A">
      <w:pPr>
        <w:pBdr>
          <w:top w:val="single" w:sz="4" w:space="2" w:color="000000"/>
          <w:left w:val="single" w:sz="4" w:space="2" w:color="000000"/>
          <w:bottom w:val="single" w:sz="4" w:space="2" w:color="000000"/>
          <w:right w:val="single" w:sz="4" w:space="2" w:color="000000"/>
        </w:pBdr>
        <w:spacing w:before="0" w:line="240" w:lineRule="auto"/>
        <w:rPr>
          <w:rFonts w:ascii="Helvetica" w:eastAsia="Helvetica Neue" w:hAnsi="Helvetica" w:cs="Helvetica Neue"/>
          <w:sz w:val="18"/>
          <w:szCs w:val="18"/>
        </w:rPr>
      </w:pPr>
      <w:r w:rsidRPr="0004201E">
        <w:rPr>
          <w:rFonts w:ascii="Helvetica" w:eastAsia="Helvetica Neue" w:hAnsi="Helvetica" w:cs="Helvetica Neue"/>
          <w:b/>
          <w:color w:val="434343"/>
          <w:sz w:val="18"/>
          <w:szCs w:val="18"/>
        </w:rPr>
        <w:t>Fig. S8.2 Potential causal relationships between genome, transcriptome/epigenome, macro-environment and high-level traits</w:t>
      </w:r>
      <w:r w:rsidRPr="0004201E">
        <w:rPr>
          <w:rFonts w:ascii="Helvetica" w:eastAsia="Helvetica Neue" w:hAnsi="Helvetica" w:cs="Helvetica Neue"/>
          <w:b/>
          <w:color w:val="000000"/>
          <w:sz w:val="18"/>
          <w:szCs w:val="18"/>
        </w:rPr>
        <w:t xml:space="preserve">  </w:t>
      </w:r>
      <w:r w:rsidRPr="0004201E">
        <w:rPr>
          <w:rFonts w:ascii="Helvetica" w:eastAsia="Helvetica Neue" w:hAnsi="Helvetica" w:cs="Helvetica Neue"/>
          <w:color w:val="434343"/>
          <w:sz w:val="18"/>
          <w:szCs w:val="18"/>
        </w:rPr>
        <w:t>A schematic of possible decomposition of variation in the</w:t>
      </w:r>
      <w:r w:rsidRPr="0004201E">
        <w:rPr>
          <w:rFonts w:ascii="Helvetica" w:eastAsia="Helvetica Neue" w:hAnsi="Helvetica" w:cs="Helvetica Neue"/>
          <w:sz w:val="18"/>
          <w:szCs w:val="18"/>
        </w:rPr>
        <w:t xml:space="preserve"> indicated variables. Large circles represent total entropy of each variable, and smaller circles (e-det, g-det, trait-det) represent multivariate mutual information shared between variables linked by arrows (directionality represents causation). The red dotted circle and arrow represent causal influence of transcriptome/epigenome on the high-level trait, only part of which need intersect the g-det circle; hence, the trait variance explained by the transcriptome/epigenome is an upper-bound on the genetically determined trait variance. Only three-way intersections involving trait interactions are shown</w:t>
      </w:r>
    </w:p>
    <w:p w14:paraId="0F58F814" w14:textId="77777777" w:rsidR="00127EDA" w:rsidRDefault="00127EDA" w:rsidP="00A2563A">
      <w:pPr>
        <w:pStyle w:val="Heading2"/>
        <w:spacing w:before="0"/>
        <w:rPr>
          <w:sz w:val="26"/>
          <w:szCs w:val="26"/>
        </w:rPr>
      </w:pPr>
    </w:p>
    <w:p w14:paraId="7EA5B12C" w14:textId="77777777" w:rsidR="00A2563A" w:rsidRDefault="00A2563A" w:rsidP="00A2563A">
      <w:pPr>
        <w:pStyle w:val="Heading2"/>
        <w:spacing w:before="0"/>
        <w:rPr>
          <w:rFonts w:ascii="Helvetica" w:hAnsi="Helvetica"/>
          <w:sz w:val="28"/>
          <w:szCs w:val="28"/>
        </w:rPr>
      </w:pPr>
    </w:p>
    <w:p w14:paraId="34C8C83B" w14:textId="77777777" w:rsidR="00527832" w:rsidRPr="00D51A3C" w:rsidRDefault="00527832" w:rsidP="00A2563A">
      <w:pPr>
        <w:pStyle w:val="Heading2"/>
        <w:spacing w:before="0"/>
        <w:rPr>
          <w:rFonts w:ascii="Helvetica" w:hAnsi="Helvetica"/>
          <w:sz w:val="28"/>
          <w:szCs w:val="28"/>
          <w:highlight w:val="yellow"/>
        </w:rPr>
      </w:pPr>
      <w:r w:rsidRPr="00D51A3C">
        <w:rPr>
          <w:rFonts w:ascii="Helvetica" w:hAnsi="Helvetica"/>
          <w:sz w:val="28"/>
          <w:szCs w:val="28"/>
        </w:rPr>
        <w:t>S8.5</w:t>
      </w:r>
      <w:r w:rsidRPr="00D51A3C">
        <w:rPr>
          <w:rFonts w:ascii="Helvetica" w:hAnsi="Helvetica"/>
          <w:b w:val="0"/>
          <w:sz w:val="28"/>
          <w:szCs w:val="28"/>
        </w:rPr>
        <w:t xml:space="preserve"> </w:t>
      </w:r>
      <w:r w:rsidRPr="00D51A3C">
        <w:rPr>
          <w:rFonts w:ascii="Helvetica" w:hAnsi="Helvetica"/>
          <w:sz w:val="28"/>
          <w:szCs w:val="28"/>
        </w:rPr>
        <w:t>Enrichment analysis for prioritized modules and higher-order groupings</w:t>
      </w:r>
    </w:p>
    <w:p w14:paraId="0D7D9BC6" w14:textId="358AD959"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rPr>
        <w:t>To provide interpretation of the DSPN model we develop a multilevel prioritization scheme, which, given a node of interest and a lower ‘projection layer’, defines positive and negative subsets of nodes on the projection layer which are most ‘important’ in influencing the value of the node of interest.  In our analysis, we take the node of interest to be either a high-level trait (e.g. SCZ), or a hidden-layer node, and the projection layer to be an intermediate phenotype; we then use the prioritized subsets either to look for intermediate phenotypes prioritized for a given trait, or to functionally annotate hidden-layer nodes by looking for functionally enriched categories in the prioritized subsets.</w:t>
      </w:r>
    </w:p>
    <w:p w14:paraId="26CDA0D8" w14:textId="2CBA3590"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38E604FA" wp14:editId="01305BF8">
                <wp:simplePos x="0" y="0"/>
                <wp:positionH relativeFrom="column">
                  <wp:posOffset>5655310</wp:posOffset>
                </wp:positionH>
                <wp:positionV relativeFrom="paragraph">
                  <wp:posOffset>1253490</wp:posOffset>
                </wp:positionV>
                <wp:extent cx="277495" cy="334645"/>
                <wp:effectExtent l="0" t="0" r="1905" b="20955"/>
                <wp:wrapNone/>
                <wp:docPr id="67" name="Text Box 67"/>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ECDAB8" w14:textId="77777777" w:rsidR="00B31588" w:rsidRPr="005E01D8" w:rsidRDefault="00B31588" w:rsidP="00527832">
                            <w:pPr>
                              <w:rPr>
                                <w:lang w:val="en-US"/>
                              </w:rPr>
                            </w:pPr>
                            <w:r>
                              <w:rPr>
                                <w:lang w:val="en-US"/>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E604FA" id="Text Box 67" o:spid="_x0000_s1037" type="#_x0000_t202" style="position:absolute;margin-left:445.3pt;margin-top:98.7pt;width:21.85pt;height:2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" filled="f" stroked="f">
                <v:textbox inset="0,0,0,0">
                  <w:txbxContent>
                    <w:p w14:paraId="3AECDAB8" w14:textId="77777777" w:rsidR="00B31588" w:rsidRPr="005E01D8" w:rsidRDefault="00B31588" w:rsidP="00527832">
                      <w:pPr>
                        <w:rPr>
                          <w:lang w:val="en-US"/>
                        </w:rPr>
                      </w:pPr>
                      <w:r>
                        <w:rPr>
                          <w:lang w:val="en-US"/>
                        </w:rPr>
                        <w:t>(12)</w:t>
                      </w:r>
                    </w:p>
                  </w:txbxContent>
                </v:textbox>
              </v:shape>
            </w:pict>
          </mc:Fallback>
        </mc:AlternateContent>
      </w:r>
      <w:r w:rsidR="00A2563A">
        <w:rPr>
          <w:rFonts w:ascii="Times New Roman" w:hAnsi="Times New Roman" w:cs="Times New Roman"/>
        </w:rPr>
        <w:t xml:space="preserve"> </w:t>
      </w:r>
      <w:r w:rsidR="00A2563A">
        <w:rPr>
          <w:rFonts w:ascii="Times New Roman" w:hAnsi="Times New Roman" w:cs="Times New Roman"/>
        </w:rPr>
        <w:tab/>
      </w:r>
      <w:r w:rsidRPr="00F15FE5">
        <w:rPr>
          <w:rFonts w:ascii="Times New Roman" w:hAnsi="Times New Roman" w:cs="Times New Roman"/>
        </w:rPr>
        <w:t xml:space="preserve">In general, we assume we have a neural network with layers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l</m:t>
            </m:r>
          </m:sub>
        </m:sSub>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ub>
                </m:sSub>
              </m:sub>
            </m:sSub>
          </m:e>
        </m:d>
      </m:oMath>
      <w:r w:rsidRPr="00F15FE5">
        <w:rPr>
          <w:rFonts w:ascii="Times New Roman" w:hAnsi="Times New Roman" w:cs="Times New Roman"/>
        </w:rPr>
        <w:t xml:space="preserve">, </w:t>
      </w:r>
      <m:oMath>
        <m:r>
          <w:rPr>
            <w:rFonts w:ascii="Cambria Math" w:hAnsi="Cambria Math" w:cs="Times New Roman"/>
          </w:rPr>
          <m:t>l=0…</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ub>
        </m:sSub>
      </m:oMath>
      <w:r w:rsidRPr="00F15FE5">
        <w:rPr>
          <w:rFonts w:ascii="Times New Roman" w:hAnsi="Times New Roman" w:cs="Times New Roman"/>
        </w:rPr>
        <w:t xml:space="preserve">, with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oMath>
      <w:r w:rsidRPr="00F15FE5">
        <w:rPr>
          <w:rFonts w:ascii="Times New Roman" w:hAnsi="Times New Roman" w:cs="Times New Roman"/>
        </w:rPr>
        <w:t xml:space="preserve"> the lowest (input) layer and </w:t>
      </w:r>
      <m:oMath>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ub>
            </m:sSub>
          </m:sub>
        </m:sSub>
      </m:oMath>
      <w:r w:rsidRPr="00F15FE5">
        <w:rPr>
          <w:rFonts w:ascii="Times New Roman" w:hAnsi="Times New Roman" w:cs="Times New Roman"/>
        </w:rPr>
        <w:t xml:space="preserve"> the highest (output) layer.  We fix a node of interest on layer </w:t>
      </w:r>
      <m:oMath>
        <m:r>
          <w:rPr>
            <w:rFonts w:ascii="Cambria Math" w:hAnsi="Cambria Math" w:cs="Times New Roman"/>
          </w:rPr>
          <m:t>m</m:t>
        </m:r>
      </m:oMath>
      <w:r w:rsidRPr="00F15FE5">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m:t>
            </m:r>
          </m:sub>
        </m:sSub>
      </m:oMath>
      <w:r w:rsidRPr="00F15FE5">
        <w:rPr>
          <w:rFonts w:ascii="Times New Roman" w:hAnsi="Times New Roman" w:cs="Times New Roman"/>
        </w:rPr>
        <w:t xml:space="preserve">, and a ‘branching factor’ </w:t>
      </w:r>
      <m:oMath>
        <m:r>
          <w:rPr>
            <w:rFonts w:ascii="Cambria Math" w:hAnsi="Cambria Math" w:cs="Times New Roman"/>
          </w:rPr>
          <m:t>B</m:t>
        </m:r>
      </m:oMath>
      <w:r w:rsidRPr="00F15FE5">
        <w:rPr>
          <w:rFonts w:ascii="Times New Roman" w:hAnsi="Times New Roman" w:cs="Times New Roman"/>
        </w:rPr>
        <w:t xml:space="preserve">, which will determine the maximum size of the prioritized sets associated with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oMath>
      <w:r w:rsidRPr="00F15FE5">
        <w:rPr>
          <w:rFonts w:ascii="Times New Roman" w:hAnsi="Times New Roman" w:cs="Times New Roman"/>
        </w:rPr>
        <w:t xml:space="preserve">.  Given these, we recursively define the positive and negative sets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oMath>
      <w:r w:rsidRPr="00F15FE5">
        <w:rPr>
          <w:rFonts w:ascii="Times New Roman" w:hAnsi="Times New Roman" w:cs="Times New Roman"/>
        </w:rPr>
        <w:t xml:space="preserve"> associated with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oMath>
      <w:r w:rsidRPr="00F15FE5">
        <w:rPr>
          <w:rFonts w:ascii="Times New Roman" w:hAnsi="Times New Roman" w:cs="Times New Roman"/>
        </w:rPr>
        <w:t xml:space="preserve"> for all </w:t>
      </w:r>
      <m:oMath>
        <m:r>
          <w:rPr>
            <w:rFonts w:ascii="Cambria Math" w:hAnsi="Cambria Math" w:cs="Times New Roman"/>
          </w:rPr>
          <m:t>l≤m</m:t>
        </m:r>
      </m:oMath>
      <w:r w:rsidRPr="00F15FE5">
        <w:rPr>
          <w:rFonts w:ascii="Times New Roman" w:hAnsi="Times New Roman" w:cs="Times New Roman"/>
        </w:rPr>
        <w:t xml:space="preserve">.  We start by defining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(m,+)</m:t>
            </m:r>
          </m:sub>
        </m:sSub>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e>
        </m:d>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(m,+)</m:t>
            </m:r>
          </m:sub>
        </m:sSub>
        <m:r>
          <w:rPr>
            <w:rFonts w:ascii="Cambria Math" w:hAnsi="Cambria Math" w:cs="Times New Roman"/>
          </w:rPr>
          <m:t>={}</m:t>
        </m:r>
      </m:oMath>
      <w:r w:rsidRPr="00F15FE5">
        <w:rPr>
          <w:rFonts w:ascii="Times New Roman" w:hAnsi="Times New Roman" w:cs="Times New Roman"/>
        </w:rPr>
        <w:t xml:space="preserve">.  Then, for all </w:t>
      </w:r>
      <m:oMath>
        <m:r>
          <w:rPr>
            <w:rFonts w:ascii="Cambria Math" w:hAnsi="Cambria Math" w:cs="Times New Roman"/>
          </w:rPr>
          <m:t>l&lt;m</m:t>
        </m:r>
      </m:oMath>
      <w:r w:rsidRPr="00F15FE5">
        <w:rPr>
          <w:rFonts w:ascii="Times New Roman" w:hAnsi="Times New Roman" w:cs="Times New Roman"/>
        </w:rPr>
        <w:t>:</w:t>
      </w:r>
    </w:p>
    <w:p w14:paraId="39A054DD" w14:textId="77777777" w:rsidR="00527832" w:rsidRPr="00F15FE5" w:rsidRDefault="003C62F0" w:rsidP="00A2563A">
      <w:pPr>
        <w:spacing w:before="0" w:line="24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r>
            <w:rPr>
              <w:rFonts w:ascii="Cambria Math" w:hAnsi="Cambria Math" w:cs="Times New Roman"/>
            </w:rPr>
            <m:t>=</m:t>
          </m:r>
          <m:d>
            <m:dPr>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l+1,+</m:t>
                          </m:r>
                        </m:e>
                      </m:d>
                    </m:sub>
                  </m:sSub>
                </m:sub>
                <m:sup/>
                <m:e>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e>
              </m:nary>
            </m:e>
          </m:d>
          <m:r>
            <w:rPr>
              <w:rFonts w:ascii="Cambria Math" w:hAnsi="Cambria Math" w:cs="Times New Roman"/>
            </w:rPr>
            <m:t>∪</m:t>
          </m:r>
          <m:d>
            <m:dPr>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l+1,-</m:t>
                          </m:r>
                        </m:e>
                      </m:d>
                    </m:sub>
                  </m:sSub>
                </m:sub>
                <m:sup/>
                <m:e>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e>
              </m:nary>
            </m:e>
          </m:d>
          <m:r>
            <w:rPr>
              <w:rFonts w:ascii="Cambria Math" w:hAnsi="Cambria Math" w:cs="Times New Roman"/>
            </w:rPr>
            <m:t>,</m:t>
          </m:r>
        </m:oMath>
      </m:oMathPara>
    </w:p>
    <w:p w14:paraId="56E46652" w14:textId="77777777" w:rsidR="00527832" w:rsidRPr="00F15FE5" w:rsidRDefault="003C62F0" w:rsidP="00A2563A">
      <w:pPr>
        <w:spacing w:before="0" w:line="24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r>
            <w:rPr>
              <w:rFonts w:ascii="Cambria Math" w:hAnsi="Cambria Math" w:cs="Times New Roman"/>
            </w:rPr>
            <m:t>=</m:t>
          </m:r>
          <m:d>
            <m:dPr>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l+1,+</m:t>
                          </m:r>
                        </m:e>
                      </m:d>
                    </m:sub>
                  </m:sSub>
                </m:sub>
                <m:sup/>
                <m:e>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e>
              </m:nary>
            </m:e>
          </m:d>
          <m:r>
            <w:rPr>
              <w:rFonts w:ascii="Cambria Math" w:hAnsi="Cambria Math" w:cs="Times New Roman"/>
            </w:rPr>
            <m:t>∪</m:t>
          </m:r>
          <m:d>
            <m:dPr>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l+1,-</m:t>
                          </m:r>
                        </m:e>
                      </m:d>
                    </m:sub>
                  </m:sSub>
                </m:sub>
                <m:sup/>
                <m:e>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e>
              </m:nary>
            </m:e>
          </m:d>
          <m:r>
            <w:rPr>
              <w:rFonts w:ascii="Cambria Math" w:hAnsi="Cambria Math" w:cs="Times New Roman"/>
            </w:rPr>
            <m:t>,</m:t>
          </m:r>
        </m:oMath>
      </m:oMathPara>
    </w:p>
    <w:p w14:paraId="13362EEF" w14:textId="77777777"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rPr>
        <w:t xml:space="preserve">where we define the sets </w:t>
      </w:r>
      <m:oMath>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l</m:t>
            </m:r>
          </m:sub>
        </m:sSub>
      </m:oMath>
      <w:r w:rsidRPr="00F15FE5">
        <w:rPr>
          <w:rFonts w:ascii="Times New Roman" w:hAnsi="Times New Roman" w:cs="Times New Roman"/>
        </w:rPr>
        <w:t xml:space="preserve"> for </w:t>
      </w:r>
      <m:oMath>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l+1</m:t>
            </m:r>
          </m:sub>
        </m:sSub>
      </m:oMath>
      <w:r w:rsidRPr="00F15FE5">
        <w:rPr>
          <w:rFonts w:ascii="Times New Roman" w:hAnsi="Times New Roman" w:cs="Times New Roman"/>
        </w:rPr>
        <w:t xml:space="preserve"> as </w:t>
      </w:r>
      <m:oMath>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r>
              <w:rPr>
                <w:rFonts w:ascii="Cambria Math" w:hAnsi="Cambria Math" w:cs="Times New Roman"/>
              </w:rPr>
              <m:t xml:space="preserve"> | </m:t>
            </m:r>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r>
                  <w:rPr>
                    <w:rFonts w:ascii="Cambria Math" w:hAnsi="Cambria Math" w:cs="Times New Roman"/>
                  </w:rPr>
                  <m:t>n</m:t>
                </m:r>
              </m:sub>
              <m:sup>
                <m:r>
                  <m:rPr>
                    <m:sty m:val="p"/>
                  </m:rPr>
                  <w:rPr>
                    <w:rFonts w:ascii="Cambria Math" w:hAnsi="Cambria Math" w:cs="Times New Roman"/>
                  </w:rPr>
                  <m:t>+</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e>
            </m:d>
            <m:r>
              <w:rPr>
                <w:rFonts w:ascii="Cambria Math" w:hAnsi="Cambria Math" w:cs="Times New Roman"/>
              </w:rPr>
              <m:t>≤B</m:t>
            </m:r>
          </m:e>
        </m:d>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n,-</m:t>
                </m:r>
              </m:e>
            </m:d>
          </m:sub>
        </m:sSub>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r>
              <w:rPr>
                <w:rFonts w:ascii="Cambria Math" w:hAnsi="Cambria Math" w:cs="Times New Roman"/>
              </w:rPr>
              <m:t xml:space="preserve"> | </m:t>
            </m:r>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r>
                  <w:rPr>
                    <w:rFonts w:ascii="Cambria Math" w:hAnsi="Cambria Math" w:cs="Times New Roman"/>
                  </w:rPr>
                  <m:t>n</m:t>
                </m:r>
              </m:sub>
              <m:sup>
                <m:r>
                  <m:rPr>
                    <m:sty m:val="p"/>
                  </m:rPr>
                  <w:rPr>
                    <w:rFonts w:ascii="Cambria Math" w:hAnsi="Cambria Math" w:cs="Times New Roman"/>
                  </w:rPr>
                  <m:t>-</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e>
            </m:d>
            <m:r>
              <w:rPr>
                <w:rFonts w:ascii="Cambria Math" w:hAnsi="Cambria Math" w:cs="Times New Roman"/>
              </w:rPr>
              <m:t>≤B</m:t>
            </m:r>
          </m:e>
        </m:d>
      </m:oMath>
      <w:r w:rsidRPr="00F15FE5">
        <w:rPr>
          <w:rFonts w:ascii="Times New Roman" w:hAnsi="Times New Roman" w:cs="Times New Roman"/>
        </w:rPr>
        <w:t xml:space="preserve">, where the function </w:t>
      </w:r>
      <m:oMath>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r>
              <w:rPr>
                <w:rFonts w:ascii="Cambria Math" w:hAnsi="Cambria Math" w:cs="Times New Roman"/>
              </w:rPr>
              <m:t>n</m:t>
            </m:r>
          </m:sub>
          <m:sup>
            <m:r>
              <m:rPr>
                <m:sty m:val="p"/>
              </m:rPr>
              <w:rPr>
                <w:rFonts w:ascii="Cambria Math" w:hAnsi="Cambria Math" w:cs="Times New Roman"/>
              </w:rPr>
              <m:t>+</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e>
        </m:d>
      </m:oMath>
      <w:r w:rsidRPr="00F15FE5">
        <w:rPr>
          <w:rFonts w:ascii="Times New Roman" w:hAnsi="Times New Roman" w:cs="Times New Roman"/>
        </w:rPr>
        <w:t xml:space="preserve"> returns the rank of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oMath>
      <w:r w:rsidRPr="00F15FE5">
        <w:rPr>
          <w:rFonts w:ascii="Times New Roman" w:hAnsi="Times New Roman" w:cs="Times New Roman"/>
        </w:rPr>
        <w:t xml:space="preserve"> when the nodes of layer </w:t>
      </w:r>
      <m:oMath>
        <m:r>
          <w:rPr>
            <w:rFonts w:ascii="Cambria Math" w:hAnsi="Cambria Math" w:cs="Times New Roman"/>
          </w:rPr>
          <m:t>L</m:t>
        </m:r>
      </m:oMath>
      <w:r w:rsidRPr="00F15FE5">
        <w:rPr>
          <w:rFonts w:ascii="Times New Roman" w:hAnsi="Times New Roman" w:cs="Times New Roman"/>
        </w:rPr>
        <w:t xml:space="preserve"> are ranked in descending order by the network weights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sub>
        </m:sSub>
      </m:oMath>
      <w:r w:rsidRPr="00F15FE5">
        <w:rPr>
          <w:rFonts w:ascii="Times New Roman" w:hAnsi="Times New Roman" w:cs="Times New Roman"/>
        </w:rPr>
        <w:t xml:space="preserve">, and </w:t>
      </w:r>
      <m:oMath>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r>
              <w:rPr>
                <w:rFonts w:ascii="Cambria Math" w:hAnsi="Cambria Math" w:cs="Times New Roman"/>
              </w:rPr>
              <m:t>n</m:t>
            </m:r>
          </m:sub>
          <m:sup>
            <m:r>
              <m:rPr>
                <m:sty m:val="p"/>
              </m:rPr>
              <w:rPr>
                <w:rFonts w:ascii="Cambria Math" w:hAnsi="Cambria Math" w:cs="Times New Roman"/>
              </w:rPr>
              <m:t>-</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e>
        </m:d>
      </m:oMath>
      <w:r w:rsidRPr="00F15FE5">
        <w:rPr>
          <w:rFonts w:ascii="Times New Roman" w:hAnsi="Times New Roman" w:cs="Times New Roman"/>
        </w:rPr>
        <w:t xml:space="preserve"> returns the rank when the nodes are ranked in ascending order by the same weights.  We note that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oMath>
      <w:r w:rsidRPr="00F15FE5">
        <w:rPr>
          <w:rFonts w:ascii="Times New Roman" w:hAnsi="Times New Roman" w:cs="Times New Roman"/>
        </w:rPr>
        <w:t xml:space="preserve"> may contain common elements (i.e. nodes that contribute both positively and negatively to variation in a higher-level node).</w:t>
      </w:r>
    </w:p>
    <w:p w14:paraId="20B343D1" w14:textId="77777777" w:rsidR="00527832" w:rsidRPr="00F15FE5" w:rsidRDefault="00527832" w:rsidP="00A2563A">
      <w:pPr>
        <w:spacing w:before="0" w:line="240" w:lineRule="auto"/>
        <w:rPr>
          <w:rFonts w:ascii="Times New Roman" w:hAnsi="Times New Roman" w:cs="Times New Roman"/>
        </w:rPr>
      </w:pPr>
    </w:p>
    <w:p w14:paraId="09F9B473" w14:textId="2AC1089F"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rPr>
        <w:lastRenderedPageBreak/>
        <w:t xml:space="preserve">To find prioritized modules for a given trait, we fix the ‘projection layer’ </w:t>
      </w:r>
      <m:oMath>
        <m:r>
          <w:rPr>
            <w:rFonts w:ascii="Cambria Math" w:hAnsi="Cambria Math" w:cs="Times New Roman"/>
          </w:rPr>
          <m:t>l</m:t>
        </m:r>
      </m:oMath>
      <w:r w:rsidRPr="00F15FE5">
        <w:rPr>
          <w:rFonts w:ascii="Times New Roman" w:hAnsi="Times New Roman" w:cs="Times New Roman"/>
        </w:rPr>
        <w:t xml:space="preserve"> to be the co-expression module sublayer in the DSPN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1b-ii</m:t>
            </m:r>
          </m:sub>
        </m:sSub>
      </m:oMath>
      <w:r>
        <w:rPr>
          <w:rFonts w:ascii="Times New Roman" w:hAnsi="Times New Roman" w:cs="Times New Roman"/>
        </w:rPr>
        <w:t xml:space="preserve"> </w:t>
      </w:r>
      <w:r w:rsidRPr="007C01C9">
        <w:rPr>
          <w:rFonts w:ascii="Times New Roman" w:hAnsi="Times New Roman" w:cs="Times New Roman"/>
        </w:rPr>
        <w:t>in Fig. 6A</w:t>
      </w:r>
      <w:r w:rsidRPr="00F15FE5">
        <w:rPr>
          <w:rFonts w:ascii="Times New Roman" w:hAnsi="Times New Roman" w:cs="Times New Roman"/>
        </w:rPr>
        <w:t xml:space="preserve">), and find the sets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oMath>
      <w:r w:rsidRPr="00F15FE5">
        <w:rPr>
          <w:rFonts w:ascii="Times New Roman" w:hAnsi="Times New Roman" w:cs="Times New Roman"/>
        </w:rPr>
        <w:t xml:space="preserve"> when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oMath>
      <w:r w:rsidRPr="00F15FE5">
        <w:rPr>
          <w:rFonts w:ascii="Times New Roman" w:hAnsi="Times New Roman" w:cs="Times New Roman"/>
        </w:rPr>
        <w:t xml:space="preserve"> is set to the output trait node.  We repeat this analysis for models trained on the 10 splits of the data for the given trait, generating 10 positive and negative projected sets.  For module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oMath>
      <w:r w:rsidRPr="00F15FE5">
        <w:rPr>
          <w:rFonts w:ascii="Times New Roman" w:hAnsi="Times New Roman" w:cs="Times New Roman"/>
        </w:rPr>
        <w:t xml:space="preserve">, we then calculate the counts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t</m:t>
            </m:r>
          </m:sub>
          <m:sup/>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r>
              <w:rPr>
                <w:rFonts w:ascii="Cambria Math" w:hAnsi="Cambria Math" w:cs="Times New Roman"/>
              </w:rPr>
              <m:t>∈</m:t>
            </m:r>
          </m:e>
        </m:nary>
        <m:sSubSup>
          <m:sSubSupPr>
            <m:ctrlPr>
              <w:rPr>
                <w:rFonts w:ascii="Cambria Math" w:hAnsi="Cambria Math" w:cs="Times New Roman"/>
                <w:i/>
              </w:rPr>
            </m:ctrlPr>
          </m:sSubSup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m:t>
                </m:r>
              </m:e>
            </m:d>
          </m:sub>
          <m:sup>
            <m:r>
              <w:rPr>
                <w:rFonts w:ascii="Cambria Math" w:hAnsi="Cambria Math" w:cs="Times New Roman"/>
              </w:rPr>
              <m:t>t</m:t>
            </m:r>
          </m:sup>
        </m:sSubSup>
        <m:r>
          <w:rPr>
            <w:rFonts w:ascii="Cambria Math" w:hAnsi="Cambria Math" w:cs="Times New Roman"/>
          </w:rPr>
          <m:t>]</m:t>
        </m:r>
      </m:oMath>
      <w:r w:rsidRPr="00F15FE5">
        <w:rPr>
          <w:rFonts w:ascii="Times New Roman" w:hAnsi="Times New Roman" w:cs="Times New Roman"/>
        </w:rPr>
        <w:t xml:space="preserve">, where </w:t>
      </w:r>
      <m:oMath>
        <m:sSubSup>
          <m:sSubSupPr>
            <m:ctrlPr>
              <w:rPr>
                <w:rFonts w:ascii="Cambria Math" w:hAnsi="Cambria Math" w:cs="Times New Roman"/>
                <w:i/>
              </w:rPr>
            </m:ctrlPr>
          </m:sSubSup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m:t>
                </m:r>
              </m:e>
            </m:d>
          </m:sub>
          <m:sup>
            <m:r>
              <w:rPr>
                <w:rFonts w:ascii="Cambria Math" w:hAnsi="Cambria Math" w:cs="Times New Roman"/>
              </w:rPr>
              <m:t>t</m:t>
            </m:r>
          </m:sup>
        </m:sSubSup>
      </m:oMath>
      <w:r w:rsidRPr="00F15FE5">
        <w:rPr>
          <w:rFonts w:ascii="Times New Roman" w:hAnsi="Times New Roman" w:cs="Times New Roman"/>
        </w:rPr>
        <w:t xml:space="preserve"> is the positive projected set from the model trained on data split </w:t>
      </w:r>
      <m:oMath>
        <m:r>
          <w:rPr>
            <w:rFonts w:ascii="Cambria Math" w:hAnsi="Cambria Math" w:cs="Times New Roman"/>
          </w:rPr>
          <m:t>t</m:t>
        </m:r>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t</m:t>
            </m:r>
          </m:sub>
          <m:sup/>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r>
              <w:rPr>
                <w:rFonts w:ascii="Cambria Math" w:hAnsi="Cambria Math" w:cs="Times New Roman"/>
              </w:rPr>
              <m:t>∈</m:t>
            </m:r>
          </m:e>
        </m:nary>
        <m:sSubSup>
          <m:sSubSupPr>
            <m:ctrlPr>
              <w:rPr>
                <w:rFonts w:ascii="Cambria Math" w:hAnsi="Cambria Math" w:cs="Times New Roman"/>
                <w:i/>
              </w:rPr>
            </m:ctrlPr>
          </m:sSubSup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m:t>
                </m:r>
              </m:e>
            </m:d>
          </m:sub>
          <m:sup>
            <m:r>
              <w:rPr>
                <w:rFonts w:ascii="Cambria Math" w:hAnsi="Cambria Math" w:cs="Times New Roman"/>
              </w:rPr>
              <m:t>t</m:t>
            </m:r>
          </m:sup>
        </m:sSubSup>
        <m:r>
          <w:rPr>
            <w:rFonts w:ascii="Cambria Math" w:hAnsi="Cambria Math" w:cs="Times New Roman"/>
          </w:rPr>
          <m:t>]</m:t>
        </m:r>
      </m:oMath>
      <w:r w:rsidRPr="00F15FE5">
        <w:rPr>
          <w:rFonts w:ascii="Times New Roman" w:hAnsi="Times New Roman" w:cs="Times New Roman"/>
        </w:rPr>
        <w:t xml:space="preserve">.  For our final list of positive and negative prioritized modules we use </w:t>
      </w:r>
      <m:oMath>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m:t>
            </m:r>
          </m:sup>
        </m:sSup>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r>
              <w:rPr>
                <w:rFonts w:ascii="Cambria Math" w:hAnsi="Cambria Math" w:cs="Times New Roman"/>
              </w:rPr>
              <m:t xml:space="preserve"> </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r>
          <w:rPr>
            <w:rFonts w:ascii="Cambria Math" w:hAnsi="Cambria Math" w:cs="Times New Roman"/>
          </w:rPr>
          <m:t>}</m:t>
        </m:r>
      </m:oMath>
      <w:r w:rsidRPr="00F15FE5">
        <w:rPr>
          <w:rFonts w:ascii="Times New Roman" w:hAnsi="Times New Roman" w:cs="Times New Roman"/>
        </w:rPr>
        <w:t xml:space="preserve"> and  </w:t>
      </w:r>
      <m:oMath>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m:t>
            </m:r>
          </m:sup>
        </m:sSup>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r>
              <w:rPr>
                <w:rFonts w:ascii="Cambria Math" w:hAnsi="Cambria Math" w:cs="Times New Roman"/>
              </w:rPr>
              <m:t xml:space="preserve"> </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r>
          <w:rPr>
            <w:rFonts w:ascii="Cambria Math" w:hAnsi="Cambria Math" w:cs="Times New Roman"/>
          </w:rPr>
          <m:t>}</m:t>
        </m:r>
      </m:oMath>
      <w:r w:rsidRPr="00F15FE5">
        <w:rPr>
          <w:rFonts w:ascii="Times New Roman" w:hAnsi="Times New Roman" w:cs="Times New Roman"/>
        </w:rPr>
        <w:t xml:space="preserve"> respectively.  The threshold </w:t>
      </w:r>
      <m:oMath>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oMath>
      <w:r w:rsidRPr="00F15FE5">
        <w:rPr>
          <w:rFonts w:ascii="Times New Roman" w:hAnsi="Times New Roman" w:cs="Times New Roman"/>
        </w:rPr>
        <w:t xml:space="preserve"> is set such that, </w:t>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d>
                  <m:dPr>
                    <m:ctrlPr>
                      <w:rPr>
                        <w:rFonts w:ascii="Cambria Math" w:hAnsi="Cambria Math" w:cs="Times New Roman"/>
                        <w:i/>
                      </w:rPr>
                    </m:ctrlPr>
                  </m:dPr>
                  <m:e>
                    <m:r>
                      <w:rPr>
                        <w:rFonts w:ascii="Cambria Math" w:hAnsi="Cambria Math" w:cs="Times New Roman"/>
                      </w:rPr>
                      <m:t>i,+</m:t>
                    </m:r>
                  </m:e>
                </m:d>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r>
              <w:rPr>
                <w:rFonts w:ascii="Cambria Math" w:hAnsi="Cambria Math" w:cs="Times New Roman"/>
              </w:rPr>
              <m:t xml:space="preserve"> | B</m:t>
            </m:r>
          </m:e>
        </m:d>
        <m:r>
          <w:rPr>
            <w:rFonts w:ascii="Cambria Math" w:hAnsi="Cambria Math" w:cs="Times New Roman"/>
          </w:rPr>
          <m:t>&lt;α</m:t>
        </m:r>
      </m:oMath>
      <w:r w:rsidRPr="00F15FE5">
        <w:rPr>
          <w:rFonts w:ascii="Times New Roman" w:hAnsi="Times New Roman" w:cs="Times New Roman"/>
        </w:rPr>
        <w:t xml:space="preserve"> under a null distribution where the network weights are sampled from a standard normal distribution and the same branching factor </w:t>
      </w:r>
      <m:oMath>
        <m:r>
          <w:rPr>
            <w:rFonts w:ascii="Cambria Math" w:hAnsi="Cambria Math" w:cs="Times New Roman"/>
          </w:rPr>
          <m:t>B</m:t>
        </m:r>
      </m:oMath>
      <w:r w:rsidRPr="00F15FE5">
        <w:rPr>
          <w:rFonts w:ascii="Times New Roman" w:hAnsi="Times New Roman" w:cs="Times New Roman"/>
        </w:rPr>
        <w:t xml:space="preserve"> is used.  We set </w:t>
      </w:r>
      <m:oMath>
        <m:r>
          <w:rPr>
            <w:rFonts w:ascii="Cambria Math" w:hAnsi="Cambria Math" w:cs="Times New Roman"/>
          </w:rPr>
          <m:t>α=0.001</m:t>
        </m:r>
      </m:oMath>
      <w:r w:rsidRPr="00F15FE5">
        <w:rPr>
          <w:rFonts w:ascii="Times New Roman" w:hAnsi="Times New Roman" w:cs="Times New Roman"/>
        </w:rPr>
        <w:t xml:space="preserve">, and evaluate </w:t>
      </w:r>
      <m:oMath>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oMath>
      <w:r w:rsidRPr="00F15FE5">
        <w:rPr>
          <w:rFonts w:ascii="Times New Roman" w:hAnsi="Times New Roman" w:cs="Times New Roman"/>
        </w:rPr>
        <w:t xml:space="preserve"> using 10,000 simulations.  Setting </w:t>
      </w:r>
      <m:oMath>
        <m:r>
          <w:rPr>
            <w:rFonts w:ascii="Cambria Math" w:hAnsi="Cambria Math" w:cs="Times New Roman"/>
          </w:rPr>
          <m:t>B=4</m:t>
        </m:r>
      </m:oMath>
      <w:r w:rsidRPr="00F15FE5">
        <w:rPr>
          <w:rFonts w:ascii="Times New Roman" w:hAnsi="Times New Roman" w:cs="Times New Roman"/>
        </w:rPr>
        <w:t xml:space="preserve">, we found that this implied an estimate of  </w:t>
      </w:r>
      <m:oMath>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r>
          <w:rPr>
            <w:rFonts w:ascii="Cambria Math" w:hAnsi="Cambria Math" w:cs="Times New Roman"/>
          </w:rPr>
          <m:t>=3</m:t>
        </m:r>
      </m:oMath>
      <w:r w:rsidRPr="00F15FE5">
        <w:rPr>
          <w:rFonts w:ascii="Times New Roman" w:hAnsi="Times New Roman" w:cs="Times New Roman"/>
        </w:rPr>
        <w:t>, and generated  </w:t>
      </w:r>
      <m:oMath>
        <m:r>
          <w:rPr>
            <w:rFonts w:ascii="Cambria Math" w:hAnsi="Cambria Math" w:cs="Times New Roman"/>
          </w:rPr>
          <m:t>∼30</m:t>
        </m:r>
      </m:oMath>
      <w:r w:rsidRPr="00F15FE5">
        <w:rPr>
          <w:rFonts w:ascii="Times New Roman" w:hAnsi="Times New Roman" w:cs="Times New Roman"/>
        </w:rPr>
        <w:t xml:space="preserve"> positive and negative prioritized modules per trait (out of </w:t>
      </w:r>
      <m:oMath>
        <m:r>
          <w:rPr>
            <w:rFonts w:ascii="Cambria Math" w:hAnsi="Cambria Math" w:cs="Times New Roman"/>
          </w:rPr>
          <m:t>∼5000</m:t>
        </m:r>
      </m:oMath>
      <w:r w:rsidRPr="00F15FE5">
        <w:rPr>
          <w:rFonts w:ascii="Times New Roman" w:hAnsi="Times New Roman" w:cs="Times New Roman"/>
        </w:rPr>
        <w:t>).</w:t>
      </w:r>
    </w:p>
    <w:p w14:paraId="4B8C50DB" w14:textId="3BD0B658"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6D647E5E" wp14:editId="2975F363">
                <wp:simplePos x="0" y="0"/>
                <wp:positionH relativeFrom="column">
                  <wp:posOffset>5652135</wp:posOffset>
                </wp:positionH>
                <wp:positionV relativeFrom="paragraph">
                  <wp:posOffset>627221</wp:posOffset>
                </wp:positionV>
                <wp:extent cx="277495" cy="334645"/>
                <wp:effectExtent l="0" t="0" r="1905" b="20955"/>
                <wp:wrapNone/>
                <wp:docPr id="68" name="Text Box 68"/>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2E02D" w14:textId="77777777" w:rsidR="00B31588" w:rsidRPr="005E01D8" w:rsidRDefault="00B31588" w:rsidP="00527832">
                            <w:pPr>
                              <w:rPr>
                                <w:lang w:val="en-US"/>
                              </w:rPr>
                            </w:pPr>
                            <w:r>
                              <w:rPr>
                                <w:lang w:val="en-US"/>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647E5E" id="Text Box 68" o:spid="_x0000_s1038" type="#_x0000_t202" style="position:absolute;margin-left:445.05pt;margin-top:49.4pt;width:21.85pt;height:2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" filled="f" stroked="f">
                <v:textbox inset="0,0,0,0">
                  <w:txbxContent>
                    <w:p w14:paraId="4142E02D" w14:textId="77777777" w:rsidR="00B31588" w:rsidRPr="005E01D8" w:rsidRDefault="00B31588" w:rsidP="00527832">
                      <w:pPr>
                        <w:rPr>
                          <w:lang w:val="en-US"/>
                        </w:rPr>
                      </w:pPr>
                      <w:r>
                        <w:rPr>
                          <w:lang w:val="en-US"/>
                        </w:rPr>
                        <w:t>(13)</w:t>
                      </w:r>
                    </w:p>
                  </w:txbxContent>
                </v:textbox>
              </v:shape>
            </w:pict>
          </mc:Fallback>
        </mc:AlternateContent>
      </w:r>
      <w:r w:rsidR="00A2563A">
        <w:rPr>
          <w:rFonts w:ascii="Times New Roman" w:hAnsi="Times New Roman" w:cs="Times New Roman"/>
        </w:rPr>
        <w:tab/>
      </w:r>
      <w:r w:rsidRPr="00F15FE5">
        <w:rPr>
          <w:rFonts w:ascii="Times New Roman" w:hAnsi="Times New Roman" w:cs="Times New Roman"/>
        </w:rPr>
        <w:t xml:space="preserve">To annotate ‘typical’ ancestor nodes of module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oMath>
      <w:r w:rsidRPr="00F15FE5">
        <w:rPr>
          <w:rFonts w:ascii="Times New Roman" w:hAnsi="Times New Roman" w:cs="Times New Roman"/>
        </w:rPr>
        <w:t xml:space="preserve"> at layers </w:t>
      </w:r>
      <m:oMath>
        <m:r>
          <w:rPr>
            <w:rFonts w:ascii="Cambria Math" w:hAnsi="Cambria Math" w:cs="Times New Roman"/>
          </w:rPr>
          <m:t>l+1</m:t>
        </m:r>
      </m:oMath>
      <w:r w:rsidRPr="00F15FE5">
        <w:rPr>
          <w:rFonts w:ascii="Times New Roman" w:hAnsi="Times New Roman" w:cs="Times New Roman"/>
        </w:rPr>
        <w:t xml:space="preserve"> and </w:t>
      </w:r>
      <m:oMath>
        <m:r>
          <w:rPr>
            <w:rFonts w:ascii="Cambria Math" w:hAnsi="Cambria Math" w:cs="Times New Roman"/>
          </w:rPr>
          <m:t>l+2</m:t>
        </m:r>
      </m:oMath>
      <w:r w:rsidRPr="00F15FE5">
        <w:rPr>
          <w:rFonts w:ascii="Times New Roman" w:hAnsi="Times New Roman" w:cs="Times New Roman"/>
        </w:rPr>
        <w:t xml:space="preserve"> in the DSPN (hidden layers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2a</m:t>
            </m:r>
          </m:sub>
        </m:sSub>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2b</m:t>
            </m:r>
          </m:sub>
        </m:sSub>
      </m:oMath>
      <w:r w:rsidRPr="00F15FE5">
        <w:rPr>
          <w:rFonts w:ascii="Times New Roman" w:hAnsi="Times New Roman" w:cs="Times New Roman"/>
        </w:rPr>
        <w:t xml:space="preserve"> </w:t>
      </w:r>
      <w:r w:rsidRPr="007C01C9">
        <w:rPr>
          <w:rFonts w:ascii="Times New Roman" w:hAnsi="Times New Roman" w:cs="Times New Roman"/>
        </w:rPr>
        <w:t>respectively in Fig. 6A</w:t>
      </w:r>
      <w:r w:rsidRPr="00F15FE5">
        <w:rPr>
          <w:rFonts w:ascii="Times New Roman" w:hAnsi="Times New Roman" w:cs="Times New Roman"/>
        </w:rPr>
        <w:t xml:space="preserve">), for each data split we find nodes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l+1,j</m:t>
            </m:r>
          </m:sub>
        </m:sSub>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l+2,k</m:t>
            </m:r>
          </m:sub>
        </m:sSub>
      </m:oMath>
      <w:r w:rsidRPr="00F15FE5">
        <w:rPr>
          <w:rFonts w:ascii="Times New Roman" w:hAnsi="Times New Roman" w:cs="Times New Roman"/>
        </w:rPr>
        <w:t xml:space="preserve"> such that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l+1,j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l+2,k</m:t>
            </m:r>
          </m:sub>
        </m:sSub>
        <m:r>
          <w:rPr>
            <w:rFonts w:ascii="Cambria Math" w:hAnsi="Cambria Math" w:cs="Times New Roman"/>
          </w:rPr>
          <m:t>)</m:t>
        </m:r>
      </m:oMath>
      <w:r w:rsidRPr="00F15FE5">
        <w:rPr>
          <w:rFonts w:ascii="Times New Roman" w:hAnsi="Times New Roman" w:cs="Times New Roman"/>
        </w:rPr>
        <w:t xml:space="preserve"> forms the ‘best path’ from module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oMath>
      <w:r w:rsidRPr="00F15FE5">
        <w:rPr>
          <w:rFonts w:ascii="Times New Roman" w:hAnsi="Times New Roman" w:cs="Times New Roman"/>
        </w:rPr>
        <w:t xml:space="preserve"> to the trait output node in the sense that it minimizes the score:</w:t>
      </w:r>
    </w:p>
    <w:p w14:paraId="6106BA6C" w14:textId="77777777" w:rsidR="00527832" w:rsidRPr="00F15FE5" w:rsidRDefault="00527832" w:rsidP="00A2563A">
      <w:pPr>
        <w:spacing w:before="0" w:line="240" w:lineRule="auto"/>
        <w:rPr>
          <w:rFonts w:ascii="Times New Roman" w:hAnsi="Times New Roman" w:cs="Times New Roman"/>
        </w:rPr>
      </w:pPr>
      <m:oMathPara>
        <m:oMath>
          <m:r>
            <m:rPr>
              <m:sty m:val="p"/>
            </m:rPr>
            <w:rPr>
              <w:rFonts w:ascii="Cambria Math" w:hAnsi="Cambria Math" w:cs="Times New Roman"/>
            </w:rPr>
            <m:t>Sc=</m:t>
          </m:r>
          <m:nary>
            <m:naryPr>
              <m:chr m:val="∑"/>
              <m:supHide m:val="1"/>
              <m:ctrlPr>
                <w:rPr>
                  <w:rFonts w:ascii="Cambria Math" w:hAnsi="Cambria Math" w:cs="Times New Roman"/>
                  <w:i/>
                </w:rPr>
              </m:ctrlPr>
            </m:naryPr>
            <m: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j</m:t>
                      </m:r>
                    </m:e>
                    <m:sup>
                      <m:r>
                        <w:rPr>
                          <w:rFonts w:ascii="Cambria Math" w:hAnsi="Cambria Math" w:cs="Times New Roman"/>
                        </w:rPr>
                        <m:t>'</m:t>
                      </m:r>
                    </m:sup>
                  </m:sSup>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l,i,j</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l+1,j,k</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l+2,k,0</m:t>
                      </m:r>
                    </m:e>
                  </m:d>
                </m:e>
              </m:d>
            </m:sub>
            <m:sup/>
            <m:e>
              <m:r>
                <m:rPr>
                  <m:sty m:val="p"/>
                </m:rPr>
                <w:rPr>
                  <w:rFonts w:ascii="Cambria Math" w:hAnsi="Cambria Math" w:cs="Times New Roman"/>
                </w:rPr>
                <m:t>min⁡</m:t>
              </m:r>
              <m:r>
                <w:rPr>
                  <w:rFonts w:ascii="Cambria Math" w:hAnsi="Cambria Math" w:cs="Times New Roman"/>
                </w:rPr>
                <m:t>(</m:t>
              </m:r>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j</m:t>
                          </m:r>
                        </m:e>
                        <m:sup>
                          <m:r>
                            <w:rPr>
                              <w:rFonts w:ascii="Cambria Math" w:hAnsi="Cambria Math" w:cs="Times New Roman"/>
                            </w:rPr>
                            <m:t>'</m:t>
                          </m:r>
                        </m:sup>
                      </m:sSup>
                    </m:sub>
                  </m:sSub>
                </m:sub>
                <m:sup>
                  <m:r>
                    <m:rPr>
                      <m:sty m:val="p"/>
                    </m:rP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e>
              </m:d>
              <m:r>
                <w:rPr>
                  <w:rFonts w:ascii="Cambria Math" w:hAnsi="Cambria Math" w:cs="Times New Roman"/>
                </w:rPr>
                <m:t>,</m:t>
              </m:r>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j</m:t>
                          </m:r>
                        </m:e>
                        <m:sup>
                          <m:r>
                            <w:rPr>
                              <w:rFonts w:ascii="Cambria Math" w:hAnsi="Cambria Math" w:cs="Times New Roman"/>
                            </w:rPr>
                            <m:t>'</m:t>
                          </m:r>
                        </m:sup>
                      </m:sSup>
                    </m:sub>
                  </m:sSub>
                </m:sub>
                <m:sup>
                  <m:r>
                    <m:rPr>
                      <m:sty m:val="p"/>
                    </m:rP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e>
              </m:d>
              <m:r>
                <w:rPr>
                  <w:rFonts w:ascii="Cambria Math" w:hAnsi="Cambria Math" w:cs="Times New Roman"/>
                </w:rPr>
                <m:t>)</m:t>
              </m:r>
            </m:e>
          </m:nary>
          <m:r>
            <w:rPr>
              <w:rFonts w:ascii="Cambria Math" w:hAnsi="Cambria Math" w:cs="Times New Roman"/>
            </w:rPr>
            <m:t xml:space="preserve">, </m:t>
          </m:r>
        </m:oMath>
      </m:oMathPara>
    </w:p>
    <w:p w14:paraId="5A2AAB68" w14:textId="50F03033" w:rsidR="00527832" w:rsidRPr="00F15FE5" w:rsidRDefault="00377A6F" w:rsidP="00A2563A">
      <w:pPr>
        <w:spacing w:before="0" w:line="240" w:lineRule="auto"/>
        <w:rPr>
          <w:rFonts w:ascii="Times New Roman" w:hAnsi="Times New Roman" w:cs="Times New Roman"/>
        </w:rPr>
      </w:pPr>
      <w:r w:rsidRPr="00F15FE5">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14:anchorId="0CA72289" wp14:editId="2F410CA2">
                <wp:simplePos x="0" y="0"/>
                <wp:positionH relativeFrom="column">
                  <wp:posOffset>5652135</wp:posOffset>
                </wp:positionH>
                <wp:positionV relativeFrom="paragraph">
                  <wp:posOffset>107632</wp:posOffset>
                </wp:positionV>
                <wp:extent cx="277495" cy="334645"/>
                <wp:effectExtent l="0" t="0" r="1905" b="20955"/>
                <wp:wrapNone/>
                <wp:docPr id="69" name="Text Box 69"/>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A67C9" w14:textId="77777777" w:rsidR="00B31588" w:rsidRPr="005E01D8" w:rsidRDefault="00B31588" w:rsidP="00527832">
                            <w:pPr>
                              <w:rPr>
                                <w:lang w:val="en-US"/>
                              </w:rPr>
                            </w:pPr>
                            <w:r>
                              <w:rPr>
                                <w:lang w:val="en-US"/>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A72289" id="Text Box 69" o:spid="_x0000_s1039" type="#_x0000_t202" style="position:absolute;margin-left:445.05pt;margin-top:8.45pt;width:21.85pt;height:2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" filled="f" stroked="f">
                <v:textbox inset="0,0,0,0">
                  <w:txbxContent>
                    <w:p w14:paraId="158A67C9" w14:textId="77777777" w:rsidR="00B31588" w:rsidRPr="005E01D8" w:rsidRDefault="00B31588" w:rsidP="00527832">
                      <w:pPr>
                        <w:rPr>
                          <w:lang w:val="en-US"/>
                        </w:rPr>
                      </w:pPr>
                      <w:r>
                        <w:rPr>
                          <w:lang w:val="en-US"/>
                        </w:rPr>
                        <w:t>(14)</w:t>
                      </w:r>
                    </w:p>
                  </w:txbxContent>
                </v:textbox>
              </v:shape>
            </w:pict>
          </mc:Fallback>
        </mc:AlternateContent>
      </w:r>
      <w:r w:rsidR="00527832" w:rsidRPr="00F15FE5">
        <w:rPr>
          <w:rFonts w:ascii="Times New Roman" w:hAnsi="Times New Roman" w:cs="Times New Roman"/>
        </w:rPr>
        <w:t xml:space="preserve">across all ‘positive’ paths, meaning: </w:t>
      </w:r>
    </w:p>
    <w:p w14:paraId="31FE9D62" w14:textId="77777777" w:rsidR="00527832" w:rsidRPr="00F15FE5" w:rsidRDefault="003C62F0" w:rsidP="00A2563A">
      <w:pPr>
        <w:spacing w:before="0" w:line="240" w:lineRule="auto"/>
        <w:jc w:val="center"/>
        <w:rPr>
          <w:rFonts w:ascii="Times New Roman" w:hAnsi="Times New Roman" w:cs="Times New Roman"/>
        </w:rPr>
      </w:pPr>
      <m:oMath>
        <m:nary>
          <m:naryPr>
            <m:chr m:val="∏"/>
            <m:supHide m:val="1"/>
            <m:ctrlPr>
              <w:rPr>
                <w:rFonts w:ascii="Cambria Math" w:hAnsi="Cambria Math" w:cs="Times New Roman"/>
                <w:i/>
              </w:rPr>
            </m:ctrlPr>
          </m:naryPr>
          <m: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j</m:t>
                    </m:r>
                  </m:e>
                  <m:sup>
                    <m:r>
                      <w:rPr>
                        <w:rFonts w:ascii="Cambria Math" w:hAnsi="Cambria Math" w:cs="Times New Roman"/>
                      </w:rPr>
                      <m:t>'</m:t>
                    </m:r>
                  </m:sup>
                </m:sSup>
              </m:e>
            </m:d>
          </m:sub>
          <m:sup/>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e>
                </m:d>
                <m:ctrlPr>
                  <w:rPr>
                    <w:rFonts w:ascii="Cambria Math" w:hAnsi="Cambria Math" w:cs="Times New Roman"/>
                  </w:rPr>
                </m:ctrlPr>
              </m:e>
              <m:sup>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j</m:t>
                            </m:r>
                          </m:e>
                          <m:sup>
                            <m:r>
                              <w:rPr>
                                <w:rFonts w:ascii="Cambria Math" w:hAnsi="Cambria Math" w:cs="Times New Roman"/>
                              </w:rPr>
                              <m:t>'</m:t>
                            </m:r>
                          </m:sup>
                        </m:sSup>
                      </m:sub>
                    </m:sSub>
                  </m:sub>
                  <m:sup>
                    <m:r>
                      <m:rPr>
                        <m:sty m:val="p"/>
                      </m:rP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e>
                </m:d>
                <m:r>
                  <w:rPr>
                    <w:rFonts w:ascii="Cambria Math" w:hAnsi="Cambria Math" w:cs="Times New Roman"/>
                  </w:rPr>
                  <m:t>≤B]</m:t>
                </m:r>
              </m:sup>
            </m:sSup>
          </m:e>
        </m:nary>
        <m:r>
          <w:rPr>
            <w:rFonts w:ascii="Cambria Math" w:hAnsi="Cambria Math" w:cs="Times New Roman"/>
          </w:rPr>
          <m:t>⋅</m:t>
        </m:r>
        <m:d>
          <m:dPr>
            <m:begChr m:val="["/>
            <m:endChr m:val="]"/>
            <m:ctrlPr>
              <w:rPr>
                <w:rFonts w:ascii="Cambria Math" w:hAnsi="Cambria Math" w:cs="Times New Roman"/>
                <w:i/>
              </w:rPr>
            </m:ctrlPr>
          </m:dPr>
          <m:e>
            <m:func>
              <m:funcPr>
                <m:ctrlPr>
                  <w:rPr>
                    <w:rFonts w:ascii="Cambria Math" w:hAnsi="Cambria Math" w:cs="Times New Roman"/>
                  </w:rPr>
                </m:ctrlPr>
              </m:funcPr>
              <m:fName>
                <m:r>
                  <m:rPr>
                    <m:sty m:val="p"/>
                  </m:rPr>
                  <w:rPr>
                    <w:rFonts w:ascii="Cambria Math" w:hAnsi="Cambria Math" w:cs="Times New Roman"/>
                  </w:rPr>
                  <m:t>min</m:t>
                </m:r>
                <m:ctrlPr>
                  <w:rPr>
                    <w:rFonts w:ascii="Cambria Math" w:hAnsi="Cambria Math" w:cs="Times New Roman"/>
                    <w:i/>
                  </w:rPr>
                </m:ctrlPr>
              </m:fName>
              <m:e>
                <m:d>
                  <m:dPr>
                    <m:ctrlPr>
                      <w:rPr>
                        <w:rFonts w:ascii="Cambria Math" w:hAnsi="Cambria Math" w:cs="Times New Roman"/>
                        <w:i/>
                      </w:rPr>
                    </m:ctrlPr>
                  </m:dPr>
                  <m:e>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j</m:t>
                                </m:r>
                              </m:e>
                              <m:sup>
                                <m:r>
                                  <w:rPr>
                                    <w:rFonts w:ascii="Cambria Math" w:hAnsi="Cambria Math" w:cs="Times New Roman"/>
                                  </w:rPr>
                                  <m:t>'</m:t>
                                </m:r>
                              </m:sup>
                            </m:sSup>
                          </m:sub>
                        </m:sSub>
                      </m:sub>
                      <m:sup>
                        <m:r>
                          <m:rPr>
                            <m:sty m:val="p"/>
                          </m:rP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e>
                    </m:d>
                    <m:r>
                      <w:rPr>
                        <w:rFonts w:ascii="Cambria Math" w:hAnsi="Cambria Math" w:cs="Times New Roman"/>
                      </w:rPr>
                      <m:t>,</m:t>
                    </m:r>
                    <m:r>
                      <m:rPr>
                        <m:sty m:val="p"/>
                      </m:rPr>
                      <w:rPr>
                        <w:rFonts w:ascii="Cambria Math" w:hAnsi="Cambria Math" w:cs="Times New Roman"/>
                      </w:rPr>
                      <m:t>ran</m:t>
                    </m:r>
                    <m:sSubSup>
                      <m:sSubSupPr>
                        <m:ctrlPr>
                          <w:rPr>
                            <w:rFonts w:ascii="Cambria Math" w:hAnsi="Cambria Math" w:cs="Times New Roman"/>
                          </w:rPr>
                        </m:ctrlPr>
                      </m:sSubSupPr>
                      <m:e>
                        <m:r>
                          <m:rPr>
                            <m:sty m:val="p"/>
                          </m:rPr>
                          <w:rPr>
                            <w:rFonts w:ascii="Cambria Math" w:hAnsi="Cambria Math" w:cs="Times New Roman"/>
                          </w:rPr>
                          <m:t>k</m:t>
                        </m:r>
                      </m:e>
                      <m:sub>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j</m:t>
                                </m:r>
                              </m:e>
                              <m:sup>
                                <m:r>
                                  <w:rPr>
                                    <w:rFonts w:ascii="Cambria Math" w:hAnsi="Cambria Math" w:cs="Times New Roman"/>
                                  </w:rPr>
                                  <m:t>'</m:t>
                                </m:r>
                              </m:sup>
                            </m:sSup>
                          </m:sub>
                        </m:sSub>
                      </m:sub>
                      <m:sup>
                        <m:r>
                          <m:rPr>
                            <m:sty m:val="p"/>
                          </m:rP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e>
                    </m:d>
                  </m:e>
                </m:d>
              </m:e>
            </m:func>
            <m:r>
              <w:rPr>
                <w:rFonts w:ascii="Cambria Math" w:hAnsi="Cambria Math" w:cs="Times New Roman"/>
              </w:rPr>
              <m:t>≤B</m:t>
            </m:r>
          </m:e>
        </m:d>
        <m:r>
          <w:rPr>
            <w:rFonts w:ascii="Cambria Math" w:hAnsi="Cambria Math" w:cs="Times New Roman"/>
          </w:rPr>
          <m:t>=1</m:t>
        </m:r>
      </m:oMath>
      <w:r w:rsidR="00527832" w:rsidRPr="00F15FE5">
        <w:rPr>
          <w:rFonts w:ascii="Times New Roman" w:hAnsi="Times New Roman" w:cs="Times New Roman"/>
        </w:rPr>
        <w:t>,</w:t>
      </w:r>
    </w:p>
    <w:p w14:paraId="0FE881F6" w14:textId="77777777" w:rsidR="00527832" w:rsidRPr="00F15FE5" w:rsidRDefault="00527832" w:rsidP="00A2563A">
      <w:pPr>
        <w:spacing w:before="0" w:line="240" w:lineRule="auto"/>
        <w:rPr>
          <w:rFonts w:ascii="Times New Roman" w:hAnsi="Times New Roman" w:cs="Times New Roman"/>
        </w:rPr>
      </w:pPr>
      <w:r w:rsidRPr="00F15FE5">
        <w:rPr>
          <w:rFonts w:ascii="Times New Roman" w:hAnsi="Times New Roman" w:cs="Times New Roman"/>
        </w:rPr>
        <w:t xml:space="preserve">and ties are broken arbitrarily (a similar annotation can be made for negative paths by placing </w:t>
      </w:r>
      <m:oMath>
        <m:r>
          <w:rPr>
            <w:rFonts w:ascii="Cambria Math" w:hAnsi="Cambria Math" w:cs="Times New Roman"/>
          </w:rPr>
          <m:t>-1</m:t>
        </m:r>
      </m:oMath>
      <w:r w:rsidRPr="00F15FE5">
        <w:rPr>
          <w:rFonts w:ascii="Times New Roman" w:hAnsi="Times New Roman" w:cs="Times New Roman"/>
        </w:rPr>
        <w:t xml:space="preserve"> on the RHS of Eq. 13). Writing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l+1,j</m:t>
            </m:r>
          </m:sub>
          <m:sup>
            <m:r>
              <w:rPr>
                <w:rFonts w:ascii="Cambria Math" w:hAnsi="Cambria Math" w:cs="Times New Roman"/>
              </w:rPr>
              <m:t>t</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l+2,k</m:t>
            </m:r>
          </m:sub>
          <m:sup>
            <m:r>
              <w:rPr>
                <w:rFonts w:ascii="Cambria Math" w:hAnsi="Cambria Math" w:cs="Times New Roman"/>
              </w:rPr>
              <m:t>t</m:t>
            </m:r>
          </m:sup>
        </m:sSubSup>
      </m:oMath>
      <w:r w:rsidRPr="00F15FE5">
        <w:rPr>
          <w:rFonts w:ascii="Times New Roman" w:hAnsi="Times New Roman" w:cs="Times New Roman"/>
        </w:rPr>
        <w:t xml:space="preserve"> for the nodes on the best path from module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oMath>
      <w:r w:rsidRPr="00F15FE5">
        <w:rPr>
          <w:rFonts w:ascii="Times New Roman" w:hAnsi="Times New Roman" w:cs="Times New Roman"/>
        </w:rPr>
        <w:t xml:space="preserve"> in the model from data split </w:t>
      </w:r>
      <m:oMath>
        <m:r>
          <w:rPr>
            <w:rFonts w:ascii="Cambria Math" w:hAnsi="Cambria Math" w:cs="Times New Roman"/>
          </w:rPr>
          <m:t>t</m:t>
        </m:r>
      </m:oMath>
      <w:r w:rsidRPr="00F15FE5">
        <w:rPr>
          <w:rFonts w:ascii="Times New Roman" w:hAnsi="Times New Roman" w:cs="Times New Roman"/>
        </w:rPr>
        <w:t xml:space="preserve">, we evaluate the counts for all modules,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t</m:t>
            </m:r>
          </m:sub>
          <m:sup/>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r>
              <w:rPr>
                <w:rFonts w:ascii="Cambria Math" w:hAnsi="Cambria Math" w:cs="Times New Roman"/>
              </w:rPr>
              <m:t>∈</m:t>
            </m:r>
          </m:e>
        </m:nary>
        <m:sSubSup>
          <m:sSubSupPr>
            <m:ctrlPr>
              <w:rPr>
                <w:rFonts w:ascii="Cambria Math" w:hAnsi="Cambria Math" w:cs="Times New Roman"/>
                <w:i/>
              </w:rPr>
            </m:ctrlPr>
          </m:sSubSup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m:t>
                </m:r>
              </m:e>
            </m:d>
          </m:sub>
          <m:sup>
            <m:r>
              <w:rPr>
                <w:rFonts w:ascii="Cambria Math" w:hAnsi="Cambria Math" w:cs="Times New Roman"/>
              </w:rPr>
              <m:t>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l+1,j</m:t>
            </m:r>
          </m:sub>
          <m:sup>
            <m:r>
              <w:rPr>
                <w:rFonts w:ascii="Cambria Math" w:hAnsi="Cambria Math" w:cs="Times New Roman"/>
              </w:rPr>
              <m:t>t</m:t>
            </m:r>
          </m:sup>
        </m:sSubSup>
        <m:r>
          <w:rPr>
            <w:rFonts w:ascii="Cambria Math" w:hAnsi="Cambria Math" w:cs="Times New Roman"/>
          </w:rPr>
          <m:t>)]</m:t>
        </m:r>
      </m:oMath>
      <w:r w:rsidRPr="00F15FE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t</m:t>
            </m:r>
          </m:sub>
          <m:sup/>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r>
              <w:rPr>
                <w:rFonts w:ascii="Cambria Math" w:hAnsi="Cambria Math" w:cs="Times New Roman"/>
              </w:rPr>
              <m:t>∈</m:t>
            </m:r>
          </m:e>
        </m:nary>
        <m:sSubSup>
          <m:sSubSupPr>
            <m:ctrlPr>
              <w:rPr>
                <w:rFonts w:ascii="Cambria Math" w:hAnsi="Cambria Math" w:cs="Times New Roman"/>
                <w:i/>
              </w:rPr>
            </m:ctrlPr>
          </m:sSubSup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m:t>
                </m:r>
              </m:e>
            </m:d>
          </m:sub>
          <m:sup>
            <m:r>
              <w:rPr>
                <w:rFonts w:ascii="Cambria Math" w:hAnsi="Cambria Math" w:cs="Times New Roman"/>
              </w:rPr>
              <m:t>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l+2,k</m:t>
            </m:r>
          </m:sub>
          <m:sup>
            <m:r>
              <w:rPr>
                <w:rFonts w:ascii="Cambria Math" w:hAnsi="Cambria Math" w:cs="Times New Roman"/>
              </w:rPr>
              <m:t>t</m:t>
            </m:r>
          </m:sup>
        </m:sSubSup>
        <m:r>
          <w:rPr>
            <w:rFonts w:ascii="Cambria Math" w:hAnsi="Cambria Math" w:cs="Times New Roman"/>
          </w:rPr>
          <m:t>)]</m:t>
        </m:r>
      </m:oMath>
      <w:r w:rsidRPr="00F15FE5">
        <w:rPr>
          <w:rFonts w:ascii="Times New Roman" w:hAnsi="Times New Roman" w:cs="Times New Roman"/>
        </w:rPr>
        <w:t xml:space="preserve">, where we write </w:t>
      </w:r>
      <m:oMath>
        <m:sSubSup>
          <m:sSubSupPr>
            <m:ctrlPr>
              <w:rPr>
                <w:rFonts w:ascii="Cambria Math" w:hAnsi="Cambria Math" w:cs="Times New Roman"/>
                <w:i/>
              </w:rPr>
            </m:ctrlPr>
          </m:sSubSupPr>
          <m:e>
            <m:r>
              <w:rPr>
                <w:rFonts w:ascii="Cambria Math" w:hAnsi="Cambria Math" w:cs="Times New Roman"/>
              </w:rPr>
              <m:t>S</m:t>
            </m:r>
          </m:e>
          <m:sub>
            <m:d>
              <m:dPr>
                <m:ctrlPr>
                  <w:rPr>
                    <w:rFonts w:ascii="Cambria Math" w:hAnsi="Cambria Math" w:cs="Times New Roman"/>
                    <w:i/>
                  </w:rPr>
                </m:ctrlPr>
              </m:dPr>
              <m:e>
                <m:r>
                  <w:rPr>
                    <w:rFonts w:ascii="Cambria Math" w:hAnsi="Cambria Math" w:cs="Times New Roman"/>
                  </w:rPr>
                  <m:t>l,+</m:t>
                </m:r>
              </m:e>
            </m:d>
          </m:sub>
          <m:sup>
            <m:r>
              <w:rPr>
                <w:rFonts w:ascii="Cambria Math" w:hAnsi="Cambria Math" w:cs="Times New Roman"/>
              </w:rPr>
              <m:t>t</m:t>
            </m:r>
          </m:sup>
        </m:sSubSup>
        <m:r>
          <w:rPr>
            <w:rFonts w:ascii="Cambria Math" w:hAnsi="Cambria Math" w:cs="Times New Roman"/>
          </w:rPr>
          <m:t>(n)</m:t>
        </m:r>
      </m:oMath>
      <w:r w:rsidRPr="00F15FE5">
        <w:rPr>
          <w:rFonts w:ascii="Times New Roman" w:hAnsi="Times New Roman" w:cs="Times New Roman"/>
        </w:rPr>
        <w:t xml:space="preserve"> for the positive projected set at level </w:t>
      </w:r>
      <m:oMath>
        <m:r>
          <w:rPr>
            <w:rFonts w:ascii="Cambria Math" w:hAnsi="Cambria Math" w:cs="Times New Roman"/>
          </w:rPr>
          <m:t>l</m:t>
        </m:r>
      </m:oMath>
      <w:r w:rsidRPr="00F15FE5">
        <w:rPr>
          <w:rFonts w:ascii="Times New Roman" w:hAnsi="Times New Roman" w:cs="Times New Roman"/>
        </w:rPr>
        <w:t xml:space="preserve"> for data split </w:t>
      </w:r>
      <m:oMath>
        <m:r>
          <w:rPr>
            <w:rFonts w:ascii="Cambria Math" w:hAnsi="Cambria Math" w:cs="Times New Roman"/>
          </w:rPr>
          <m:t>t</m:t>
        </m:r>
      </m:oMath>
      <w:r w:rsidRPr="00F15FE5">
        <w:rPr>
          <w:rFonts w:ascii="Times New Roman" w:hAnsi="Times New Roman" w:cs="Times New Roman"/>
        </w:rPr>
        <w:t xml:space="preserve"> when we set the node of interest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r>
          <w:rPr>
            <w:rFonts w:ascii="Cambria Math" w:hAnsi="Cambria Math" w:cs="Times New Roman"/>
          </w:rPr>
          <m:t>=n</m:t>
        </m:r>
      </m:oMath>
      <w:r w:rsidRPr="00F15FE5">
        <w:rPr>
          <w:rFonts w:ascii="Times New Roman" w:hAnsi="Times New Roman" w:cs="Times New Roman"/>
        </w:rPr>
        <w:t xml:space="preserve">.  We then evaluate </w:t>
      </w:r>
      <m:oMath>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c</m:t>
            </m:r>
          </m:sub>
          <m:sup>
            <m:r>
              <w:rPr>
                <w:rFonts w:ascii="Cambria Math" w:hAnsi="Cambria Math" w:cs="Times New Roman"/>
              </w:rPr>
              <m:t>+</m:t>
            </m:r>
          </m:sup>
        </m:sSubSup>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r>
              <w:rPr>
                <w:rFonts w:ascii="Cambria Math" w:hAnsi="Cambria Math" w:cs="Times New Roman"/>
              </w:rPr>
              <m:t xml:space="preserve"> </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r>
          <w:rPr>
            <w:rFonts w:ascii="Cambria Math" w:hAnsi="Cambria Math" w:cs="Times New Roman"/>
          </w:rPr>
          <m:t>}</m:t>
        </m:r>
      </m:oMath>
      <w:r w:rsidRPr="00F15FE5">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d</m:t>
            </m:r>
          </m:sub>
          <m:sup>
            <m:r>
              <w:rPr>
                <w:rFonts w:ascii="Cambria Math" w:hAnsi="Cambria Math" w:cs="Times New Roman"/>
              </w:rPr>
              <m:t>+</m:t>
            </m:r>
          </m:sup>
        </m:sSubSup>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r>
              <w:rPr>
                <w:rFonts w:ascii="Cambria Math" w:hAnsi="Cambria Math" w:cs="Times New Roman"/>
              </w:rPr>
              <m:t xml:space="preserve"> </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r>
          <w:rPr>
            <w:rFonts w:ascii="Cambria Math" w:hAnsi="Cambria Math" w:cs="Times New Roman"/>
          </w:rPr>
          <m:t>}</m:t>
        </m:r>
      </m:oMath>
      <w:r w:rsidRPr="00F15FE5">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prioritize</m:t>
            </m:r>
          </m:sub>
        </m:sSub>
      </m:oMath>
      <w:r w:rsidRPr="00F15FE5">
        <w:rPr>
          <w:rFonts w:ascii="Times New Roman" w:hAnsi="Times New Roman" w:cs="Times New Roman"/>
        </w:rPr>
        <w:t xml:space="preserve"> is defined as above, and annotate a typical (positive) ancestor of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t>
            </m:r>
          </m:sub>
        </m:sSub>
      </m:oMath>
      <w:r w:rsidRPr="00F15FE5">
        <w:rPr>
          <w:rFonts w:ascii="Times New Roman" w:hAnsi="Times New Roman" w:cs="Times New Roman"/>
        </w:rPr>
        <w:t xml:space="preserve"> at layer </w:t>
      </w:r>
      <m:oMath>
        <m:r>
          <w:rPr>
            <w:rFonts w:ascii="Cambria Math" w:hAnsi="Cambria Math" w:cs="Times New Roman"/>
          </w:rPr>
          <m:t>l+1</m:t>
        </m:r>
      </m:oMath>
      <w:r w:rsidRPr="00F15FE5">
        <w:rPr>
          <w:rFonts w:ascii="Times New Roman" w:hAnsi="Times New Roman" w:cs="Times New Roman"/>
        </w:rPr>
        <w:t xml:space="preserve"> (respectively </w:t>
      </w:r>
      <m:oMath>
        <m:r>
          <w:rPr>
            <w:rFonts w:ascii="Cambria Math" w:hAnsi="Cambria Math" w:cs="Times New Roman"/>
          </w:rPr>
          <m:t>l+2</m:t>
        </m:r>
      </m:oMath>
      <w:r w:rsidRPr="00F15FE5">
        <w:rPr>
          <w:rFonts w:ascii="Times New Roman" w:hAnsi="Times New Roman" w:cs="Times New Roman"/>
        </w:rPr>
        <w:t xml:space="preserve">) by finding the functional annotations enriched in the gene-set formed by taking the union of the co-expression modules in </w:t>
      </w:r>
      <m:oMath>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c</m:t>
            </m:r>
          </m:sub>
          <m:sup>
            <m:r>
              <w:rPr>
                <w:rFonts w:ascii="Cambria Math" w:hAnsi="Cambria Math" w:cs="Times New Roman"/>
              </w:rPr>
              <m:t>+</m:t>
            </m:r>
          </m:sup>
        </m:sSubSup>
      </m:oMath>
      <w:r w:rsidRPr="00F15FE5">
        <w:rPr>
          <w:rFonts w:ascii="Times New Roman" w:hAnsi="Times New Roman" w:cs="Times New Roman"/>
        </w:rPr>
        <w:t xml:space="preserve"> (respectively </w:t>
      </w:r>
      <m:oMath>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d</m:t>
            </m:r>
          </m:sub>
          <m:sup>
            <m:r>
              <w:rPr>
                <w:rFonts w:ascii="Cambria Math" w:hAnsi="Cambria Math" w:cs="Times New Roman"/>
              </w:rPr>
              <m:t>+</m:t>
            </m:r>
          </m:sup>
        </m:sSubSup>
      </m:oMath>
      <w:r w:rsidRPr="00F15FE5">
        <w:rPr>
          <w:rFonts w:ascii="Times New Roman" w:hAnsi="Times New Roman" w:cs="Times New Roman"/>
        </w:rPr>
        <w:t>).</w:t>
      </w:r>
    </w:p>
    <w:p w14:paraId="3A58F4A7" w14:textId="77777777" w:rsidR="00527832" w:rsidRDefault="00527832" w:rsidP="00A2563A">
      <w:pPr>
        <w:spacing w:before="0" w:line="240" w:lineRule="auto"/>
        <w:ind w:firstLine="720"/>
        <w:rPr>
          <w:rFonts w:ascii="Times New Roman" w:hAnsi="Times New Roman" w:cs="Times New Roman"/>
        </w:rPr>
      </w:pPr>
      <w:r w:rsidRPr="00F15FE5">
        <w:rPr>
          <w:rFonts w:ascii="Times New Roman" w:hAnsi="Times New Roman" w:cs="Times New Roman"/>
        </w:rPr>
        <w:t xml:space="preserve">We perform functional enrichment analysis using the R package ‘clusterProfiler’ (Yu et al., 2012) using KEGG pathway annotations, and setting the p-value and q-value cutoffs to 0.05 and 0.1 respectively.  Further, we perform enrichment analysis for the cell-type marker genes corresponding to the cell-types used in our single-cell deconvolution analysis.  Here, we threshold the marker gene expression matrix for each gene independently at its 0.75 quantile value to define a collection of subsets of marker genes for each cell-type.  We test for enrichment of cell type markers using the hypergeometric test with a p-value cutoff of </w:t>
      </w:r>
      <w:r>
        <w:rPr>
          <w:rFonts w:ascii="Times New Roman" w:hAnsi="Times New Roman" w:cs="Times New Roman"/>
        </w:rPr>
        <w:t>0.</w:t>
      </w:r>
      <w:r w:rsidRPr="007C01C9">
        <w:rPr>
          <w:rFonts w:ascii="Times New Roman" w:hAnsi="Times New Roman" w:cs="Times New Roman"/>
        </w:rPr>
        <w:t>1</w:t>
      </w:r>
      <w:r w:rsidRPr="00F15FE5">
        <w:rPr>
          <w:rFonts w:ascii="Times New Roman" w:hAnsi="Times New Roman" w:cs="Times New Roman"/>
        </w:rPr>
        <w:t xml:space="preserve">.  Finally, we also compare the modules prioritized for our SCZ model using the above approach with those prioritized using a </w:t>
      </w:r>
      <w:r w:rsidRPr="007C01C9">
        <w:rPr>
          <w:rFonts w:ascii="Times New Roman" w:hAnsi="Times New Roman" w:cs="Times New Roman"/>
        </w:rPr>
        <w:t>gradient-based approach</w:t>
      </w:r>
      <w:r w:rsidRPr="00F15FE5">
        <w:rPr>
          <w:rFonts w:ascii="Times New Roman" w:hAnsi="Times New Roman" w:cs="Times New Roman"/>
        </w:rPr>
        <w:t xml:space="preserve">, following (Simonyan et al., 2013) where the magnitude of the gradient of the response of a node of interest (in our case, the trait node responses across the training set) is use to prioritize salient input nodes (modules).  We provide the results of this analysis in </w:t>
      </w:r>
      <w:r>
        <w:rPr>
          <w:rFonts w:ascii="Times New Roman" w:hAnsi="Times New Roman" w:cs="Times New Roman"/>
        </w:rPr>
        <w:t>the enrichment analysis data file on the website (adult.psychencode.org)</w:t>
      </w:r>
      <w:r w:rsidRPr="00F15FE5">
        <w:rPr>
          <w:rFonts w:ascii="Times New Roman" w:hAnsi="Times New Roman" w:cs="Times New Roman"/>
        </w:rPr>
        <w:t>, but found it to exhibit a strong bias towards prioritizing smaller modules, which may be due to the underestimation of the contribution of saturated nodes in gradient approac</w:t>
      </w:r>
      <w:r>
        <w:rPr>
          <w:rFonts w:ascii="Times New Roman" w:hAnsi="Times New Roman" w:cs="Times New Roman"/>
        </w:rPr>
        <w:t xml:space="preserve">hes (see Shrikumar et al., </w:t>
      </w:r>
      <w:r w:rsidRPr="007C01C9">
        <w:rPr>
          <w:rFonts w:ascii="Times New Roman" w:hAnsi="Times New Roman" w:cs="Times New Roman"/>
        </w:rPr>
        <w:t>2017,</w:t>
      </w:r>
      <w:r w:rsidRPr="00F15FE5">
        <w:rPr>
          <w:rFonts w:ascii="Times New Roman" w:hAnsi="Times New Roman" w:cs="Times New Roman"/>
        </w:rPr>
        <w:t xml:space="preserve"> which attempts to circumvent these problems, but requires definition of a ‘reference’ state which is unclear in our model), causing us to prefer the prioritization scheme developed above, in which we did not observe such a bias.  </w:t>
      </w:r>
    </w:p>
    <w:p w14:paraId="1C863EC6" w14:textId="116AE5E2" w:rsidR="00527832" w:rsidRPr="00127EDA" w:rsidRDefault="00127EDA" w:rsidP="00A2563A">
      <w:pPr>
        <w:spacing w:before="0" w:line="240" w:lineRule="auto"/>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1459609C" wp14:editId="6EFEC2BB">
            <wp:extent cx="4675057" cy="2741075"/>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_S8.3.pdf"/>
                    <pic:cNvPicPr/>
                  </pic:nvPicPr>
                  <pic:blipFill rotWithShape="1">
                    <a:blip r:embed="rId46">
                      <a:extLst>
                        <a:ext uri="{28A0092B-C50C-407E-A947-70E740481C1C}">
                          <a14:useLocalDpi xmlns:a14="http://schemas.microsoft.com/office/drawing/2010/main" val="0"/>
                        </a:ext>
                      </a:extLst>
                    </a:blip>
                    <a:srcRect l="26615" t="20923" r="26144" b="23680"/>
                    <a:stretch/>
                  </pic:blipFill>
                  <pic:spPr bwMode="auto">
                    <a:xfrm>
                      <a:off x="0" y="0"/>
                      <a:ext cx="4768802" cy="2796039"/>
                    </a:xfrm>
                    <a:prstGeom prst="rect">
                      <a:avLst/>
                    </a:prstGeom>
                    <a:ln>
                      <a:noFill/>
                    </a:ln>
                    <a:extLst>
                      <a:ext uri="{53640926-AAD7-44D8-BBD7-CCE9431645EC}">
                        <a14:shadowObscured xmlns:a14="http://schemas.microsoft.com/office/drawing/2010/main"/>
                      </a:ext>
                    </a:extLst>
                  </pic:spPr>
                </pic:pic>
              </a:graphicData>
            </a:graphic>
          </wp:inline>
        </w:drawing>
      </w:r>
    </w:p>
    <w:p w14:paraId="65230434" w14:textId="77777777" w:rsidR="00527832" w:rsidRPr="0004201E" w:rsidRDefault="00527832" w:rsidP="00A2563A">
      <w:pPr>
        <w:pBdr>
          <w:top w:val="single" w:sz="4" w:space="2" w:color="000000"/>
          <w:left w:val="single" w:sz="4" w:space="2" w:color="000000"/>
          <w:bottom w:val="single" w:sz="4" w:space="2" w:color="000000"/>
          <w:right w:val="single" w:sz="4" w:space="2" w:color="000000"/>
        </w:pBdr>
        <w:spacing w:before="0" w:line="240" w:lineRule="auto"/>
        <w:rPr>
          <w:rFonts w:ascii="Helvetica" w:eastAsia="Helvetica Neue" w:hAnsi="Helvetica" w:cs="Helvetica Neue"/>
          <w:color w:val="434343"/>
          <w:sz w:val="18"/>
          <w:szCs w:val="18"/>
        </w:rPr>
      </w:pPr>
      <w:r w:rsidRPr="0004201E">
        <w:rPr>
          <w:rFonts w:ascii="Helvetica" w:eastAsia="Helvetica Neue" w:hAnsi="Helvetica" w:cs="Helvetica Neue"/>
          <w:b/>
          <w:color w:val="434343"/>
          <w:sz w:val="18"/>
          <w:szCs w:val="18"/>
        </w:rPr>
        <w:t>Fig. S8.3 Schematic representation of prioritization scheme for interpreting DSPN latent nodes and modules</w:t>
      </w:r>
      <w:r w:rsidRPr="0004201E">
        <w:rPr>
          <w:rFonts w:ascii="Helvetica" w:eastAsia="Helvetica Neue" w:hAnsi="Helvetica" w:cs="Helvetica Neue"/>
          <w:b/>
          <w:color w:val="000000"/>
          <w:sz w:val="18"/>
          <w:szCs w:val="18"/>
        </w:rPr>
        <w:t xml:space="preserve">  </w:t>
      </w:r>
      <w:r w:rsidRPr="0004201E">
        <w:rPr>
          <w:rFonts w:ascii="Helvetica" w:eastAsia="Helvetica Neue" w:hAnsi="Helvetica" w:cs="Helvetica Neue"/>
          <w:color w:val="434343"/>
          <w:sz w:val="18"/>
          <w:szCs w:val="18"/>
        </w:rPr>
        <w:t>Circles represent nodes on three layers within the DPSN, along with a ‘node of interest’ on the upper layer. The prioritization shown uses a branching factor of 2, where red and blue links indicate the largest positive and negatively weighted edge respectively connected to each node from below. + and - signs represent the positive and negative prioritized sets for the node of interest at each of the lower levels, which are assigned based on the multiplication of signs along connecting paths (conflicting pathways would result in assignment to both positive and negative sets; not shown).</w:t>
      </w:r>
    </w:p>
    <w:p w14:paraId="0D36772B" w14:textId="77777777" w:rsidR="007F0348" w:rsidRDefault="007F0348" w:rsidP="00A2563A">
      <w:pPr>
        <w:pBdr>
          <w:top w:val="none" w:sz="0" w:space="0" w:color="auto"/>
          <w:left w:val="none" w:sz="0" w:space="0" w:color="auto"/>
          <w:bottom w:val="none" w:sz="0" w:space="0" w:color="auto"/>
          <w:right w:val="none" w:sz="0" w:space="0" w:color="auto"/>
          <w:between w:val="none" w:sz="0" w:space="0" w:color="auto"/>
        </w:pBdr>
        <w:spacing w:before="0" w:line="240" w:lineRule="auto"/>
        <w:jc w:val="center"/>
        <w:rPr>
          <w:rFonts w:ascii="Times New Roman" w:eastAsia="Times New Roman" w:hAnsi="Times New Roman" w:cs="Times New Roman"/>
          <w:color w:val="auto"/>
          <w:sz w:val="24"/>
          <w:szCs w:val="24"/>
          <w:lang w:val="en-US"/>
        </w:rPr>
      </w:pPr>
    </w:p>
    <w:p w14:paraId="40AEECE4" w14:textId="5D613CE8" w:rsidR="00527832" w:rsidRDefault="00127EDA" w:rsidP="00A2563A">
      <w:pPr>
        <w:pBdr>
          <w:top w:val="none" w:sz="0" w:space="0" w:color="auto"/>
          <w:left w:val="none" w:sz="0" w:space="0" w:color="auto"/>
          <w:bottom w:val="none" w:sz="0" w:space="0" w:color="auto"/>
          <w:right w:val="none" w:sz="0" w:space="0" w:color="auto"/>
          <w:between w:val="none" w:sz="0" w:space="0" w:color="auto"/>
        </w:pBdr>
        <w:spacing w:before="0" w:line="240" w:lineRule="auto"/>
        <w:jc w:val="center"/>
        <w:rPr>
          <w:rFonts w:ascii="Times New Roman" w:eastAsia="Times New Roman" w:hAnsi="Times New Roman" w:cs="Times New Roman"/>
          <w:color w:val="auto"/>
          <w:sz w:val="24"/>
          <w:szCs w:val="24"/>
          <w:lang w:val="en-US"/>
        </w:rPr>
      </w:pPr>
      <w:r>
        <w:rPr>
          <w:rFonts w:ascii="Times New Roman" w:eastAsia="Times New Roman" w:hAnsi="Times New Roman" w:cs="Times New Roman"/>
          <w:noProof/>
          <w:color w:val="auto"/>
          <w:sz w:val="24"/>
          <w:szCs w:val="24"/>
          <w:lang w:val="en-US"/>
        </w:rPr>
        <w:drawing>
          <wp:inline distT="0" distB="0" distL="0" distR="0" wp14:anchorId="5E573C4C" wp14:editId="47A6171E">
            <wp:extent cx="5530837" cy="3089491"/>
            <wp:effectExtent l="0" t="0" r="698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_S8.4.pdf"/>
                    <pic:cNvPicPr/>
                  </pic:nvPicPr>
                  <pic:blipFill rotWithShape="1">
                    <a:blip r:embed="rId47">
                      <a:extLst>
                        <a:ext uri="{28A0092B-C50C-407E-A947-70E740481C1C}">
                          <a14:useLocalDpi xmlns:a14="http://schemas.microsoft.com/office/drawing/2010/main" val="0"/>
                        </a:ext>
                      </a:extLst>
                    </a:blip>
                    <a:srcRect l="14881" t="6721" r="9533" b="8835"/>
                    <a:stretch/>
                  </pic:blipFill>
                  <pic:spPr bwMode="auto">
                    <a:xfrm>
                      <a:off x="0" y="0"/>
                      <a:ext cx="5680740" cy="3173226"/>
                    </a:xfrm>
                    <a:prstGeom prst="rect">
                      <a:avLst/>
                    </a:prstGeom>
                    <a:ln>
                      <a:noFill/>
                    </a:ln>
                    <a:extLst>
                      <a:ext uri="{53640926-AAD7-44D8-BBD7-CCE9431645EC}">
                        <a14:shadowObscured xmlns:a14="http://schemas.microsoft.com/office/drawing/2010/main"/>
                      </a:ext>
                    </a:extLst>
                  </pic:spPr>
                </pic:pic>
              </a:graphicData>
            </a:graphic>
          </wp:inline>
        </w:drawing>
      </w:r>
    </w:p>
    <w:p w14:paraId="1A9DEE09" w14:textId="77777777" w:rsidR="00393425" w:rsidRPr="00127EDA" w:rsidRDefault="00393425" w:rsidP="00A2563A">
      <w:pPr>
        <w:pBdr>
          <w:top w:val="none" w:sz="0" w:space="0" w:color="auto"/>
          <w:left w:val="none" w:sz="0" w:space="0" w:color="auto"/>
          <w:bottom w:val="none" w:sz="0" w:space="0" w:color="auto"/>
          <w:right w:val="none" w:sz="0" w:space="0" w:color="auto"/>
          <w:between w:val="none" w:sz="0" w:space="0" w:color="auto"/>
        </w:pBdr>
        <w:spacing w:before="0" w:line="240" w:lineRule="auto"/>
        <w:jc w:val="center"/>
        <w:rPr>
          <w:rFonts w:ascii="Times New Roman" w:eastAsia="Times New Roman" w:hAnsi="Times New Roman" w:cs="Times New Roman"/>
          <w:color w:val="auto"/>
          <w:sz w:val="24"/>
          <w:szCs w:val="24"/>
          <w:lang w:val="en-US"/>
        </w:rPr>
      </w:pPr>
    </w:p>
    <w:p w14:paraId="11C2B668" w14:textId="77777777" w:rsidR="00527832" w:rsidRPr="0004201E" w:rsidRDefault="00527832" w:rsidP="00A2563A">
      <w:pPr>
        <w:pBdr>
          <w:top w:val="single" w:sz="4" w:space="2" w:color="000000"/>
          <w:left w:val="single" w:sz="4" w:space="2" w:color="000000"/>
          <w:bottom w:val="single" w:sz="4" w:space="2" w:color="000000"/>
          <w:right w:val="single" w:sz="4" w:space="2" w:color="000000"/>
        </w:pBdr>
        <w:spacing w:before="0" w:line="240" w:lineRule="auto"/>
        <w:rPr>
          <w:rFonts w:ascii="Helvetica" w:eastAsia="Helvetica Neue" w:hAnsi="Helvetica" w:cs="Helvetica Neue"/>
          <w:sz w:val="18"/>
          <w:szCs w:val="18"/>
        </w:rPr>
      </w:pPr>
      <w:r w:rsidRPr="0004201E">
        <w:rPr>
          <w:rFonts w:ascii="Helvetica" w:eastAsia="Helvetica Neue" w:hAnsi="Helvetica" w:cs="Helvetica Neue"/>
          <w:b/>
          <w:color w:val="434343"/>
          <w:sz w:val="18"/>
          <w:szCs w:val="18"/>
        </w:rPr>
        <w:t>Fig. S8.4 Further DSPN traces for functional enrichment of prioritized modules in DSPN models</w:t>
      </w:r>
      <w:r w:rsidRPr="0004201E">
        <w:rPr>
          <w:rFonts w:ascii="Helvetica" w:eastAsia="Helvetica Neue" w:hAnsi="Helvetica" w:cs="Helvetica Neue"/>
          <w:b/>
          <w:color w:val="000000"/>
          <w:sz w:val="18"/>
          <w:szCs w:val="18"/>
        </w:rPr>
        <w:t xml:space="preserve">  </w:t>
      </w:r>
      <w:r w:rsidRPr="0004201E">
        <w:rPr>
          <w:rFonts w:ascii="Helvetica" w:eastAsia="Helvetica Neue" w:hAnsi="Helvetica" w:cs="Helvetica Neue"/>
          <w:color w:val="434343"/>
          <w:sz w:val="18"/>
          <w:szCs w:val="18"/>
        </w:rPr>
        <w:t xml:space="preserve">Examples are shown of genes belonging to prioritized modules in BPD (left) and AGE (right) related DSPN models. HOMER1 has previously been associated with BPD, and NRGN was strongly associated with age in our differential expression analysis (as well as being a SCZ associated gene). An associated data file summarizing the functional and cell-type enrichments in the prioritized modules of all phenotypes can be found on the website (adult.psychencode.org). </w:t>
      </w:r>
    </w:p>
    <w:p w14:paraId="75DC6382" w14:textId="00FF2AC5" w:rsidR="00527832" w:rsidRDefault="00127EDA" w:rsidP="00A2563A">
      <w:pPr>
        <w:spacing w:before="0" w:line="240" w:lineRule="auto"/>
        <w:jc w:val="center"/>
      </w:pPr>
      <w:r>
        <w:rPr>
          <w:noProof/>
          <w:lang w:val="en-US"/>
        </w:rPr>
        <w:lastRenderedPageBreak/>
        <w:drawing>
          <wp:inline distT="0" distB="0" distL="0" distR="0" wp14:anchorId="0982E231" wp14:editId="31A2035A">
            <wp:extent cx="5041327" cy="36601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_S8.5.pdf"/>
                    <pic:cNvPicPr/>
                  </pic:nvPicPr>
                  <pic:blipFill rotWithShape="1">
                    <a:blip r:embed="rId48">
                      <a:extLst>
                        <a:ext uri="{28A0092B-C50C-407E-A947-70E740481C1C}">
                          <a14:useLocalDpi xmlns:a14="http://schemas.microsoft.com/office/drawing/2010/main" val="0"/>
                        </a:ext>
                      </a:extLst>
                    </a:blip>
                    <a:srcRect l="16923" t="10462" r="26918" b="7992"/>
                    <a:stretch/>
                  </pic:blipFill>
                  <pic:spPr bwMode="auto">
                    <a:xfrm>
                      <a:off x="0" y="0"/>
                      <a:ext cx="5083178" cy="3690525"/>
                    </a:xfrm>
                    <a:prstGeom prst="rect">
                      <a:avLst/>
                    </a:prstGeom>
                    <a:ln>
                      <a:noFill/>
                    </a:ln>
                    <a:extLst>
                      <a:ext uri="{53640926-AAD7-44D8-BBD7-CCE9431645EC}">
                        <a14:shadowObscured xmlns:a14="http://schemas.microsoft.com/office/drawing/2010/main"/>
                      </a:ext>
                    </a:extLst>
                  </pic:spPr>
                </pic:pic>
              </a:graphicData>
            </a:graphic>
          </wp:inline>
        </w:drawing>
      </w:r>
    </w:p>
    <w:p w14:paraId="2F67599B" w14:textId="77777777" w:rsidR="00393425" w:rsidRDefault="00393425" w:rsidP="00A2563A">
      <w:pPr>
        <w:spacing w:before="0" w:line="240" w:lineRule="auto"/>
        <w:jc w:val="center"/>
      </w:pPr>
    </w:p>
    <w:p w14:paraId="22E2671E" w14:textId="6DB4919A" w:rsidR="00527832" w:rsidRPr="0004201E" w:rsidRDefault="00527832" w:rsidP="00A2563A">
      <w:pPr>
        <w:pBdr>
          <w:top w:val="single" w:sz="4" w:space="2" w:color="000000"/>
          <w:left w:val="single" w:sz="4" w:space="2" w:color="000000"/>
          <w:bottom w:val="single" w:sz="4" w:space="2" w:color="000000"/>
          <w:right w:val="single" w:sz="4" w:space="2" w:color="000000"/>
        </w:pBdr>
        <w:spacing w:before="0" w:line="240" w:lineRule="auto"/>
        <w:rPr>
          <w:rFonts w:ascii="Helvetica" w:eastAsia="Helvetica Neue" w:hAnsi="Helvetica" w:cs="Helvetica Neue"/>
          <w:color w:val="434343"/>
          <w:sz w:val="18"/>
          <w:szCs w:val="18"/>
        </w:rPr>
      </w:pPr>
      <w:r w:rsidRPr="0004201E">
        <w:rPr>
          <w:rFonts w:ascii="Helvetica" w:eastAsia="Helvetica Neue" w:hAnsi="Helvetica" w:cs="Helvetica Neue"/>
          <w:b/>
          <w:color w:val="434343"/>
          <w:sz w:val="18"/>
          <w:szCs w:val="18"/>
        </w:rPr>
        <w:t>Fig. S8.5 Enrichment of GWAS SNPs in DSPN prioritized modules</w:t>
      </w:r>
      <w:r w:rsidR="007D574E">
        <w:rPr>
          <w:rFonts w:ascii="Helvetica" w:eastAsia="Helvetica Neue" w:hAnsi="Helvetica" w:cs="Helvetica Neue"/>
          <w:b/>
          <w:color w:val="000000"/>
          <w:sz w:val="18"/>
          <w:szCs w:val="18"/>
        </w:rPr>
        <w:t xml:space="preserve">. </w:t>
      </w:r>
      <w:r w:rsidRPr="0004201E">
        <w:rPr>
          <w:rFonts w:ascii="Helvetica" w:eastAsia="Helvetica Neue" w:hAnsi="Helvetica" w:cs="Helvetica Neue"/>
          <w:color w:val="434343"/>
          <w:sz w:val="18"/>
          <w:szCs w:val="18"/>
        </w:rPr>
        <w:t>Figure shows enrichment of GWAS SNPs associated with SCZ and BPD in the DSPN modules prioritized in the SCZ and BPD models. SNPs are linked with prioritized modules using all eQTLs associated with genes they contain. Enrichment is tested using a 1-tailed Mann-Whitney test for an increase in the number of GWAS SNPs per gene in prioritized versus non-prioritized modules. We observe enrichments for both disease modules with their respective GWAS SNPs, and also an enrichment of BPD GWAS SNPs in the SCZ modules, consistent with an overlap in disease etiology.</w:t>
      </w:r>
    </w:p>
    <w:p w14:paraId="40416A62" w14:textId="77777777" w:rsidR="00377A6F" w:rsidRDefault="00377A6F" w:rsidP="00377A6F">
      <w:pPr>
        <w:spacing w:before="0" w:line="240" w:lineRule="auto"/>
        <w:jc w:val="center"/>
        <w:rPr>
          <w:rFonts w:ascii="Times New Roman" w:eastAsia="Times New Roman" w:hAnsi="Times New Roman" w:cs="Times New Roman"/>
          <w:sz w:val="20"/>
          <w:szCs w:val="20"/>
        </w:rPr>
      </w:pPr>
    </w:p>
    <w:p w14:paraId="629AAB29" w14:textId="1650AF7C" w:rsidR="00527832" w:rsidRDefault="00377A6F" w:rsidP="00377A6F">
      <w:pPr>
        <w:spacing w:before="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3068D77A" wp14:editId="0610A139">
            <wp:extent cx="5995035" cy="18264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_S8.1.pdf"/>
                    <pic:cNvPicPr/>
                  </pic:nvPicPr>
                  <pic:blipFill rotWithShape="1">
                    <a:blip r:embed="rId49">
                      <a:extLst>
                        <a:ext uri="{28A0092B-C50C-407E-A947-70E740481C1C}">
                          <a14:useLocalDpi xmlns:a14="http://schemas.microsoft.com/office/drawing/2010/main" val="0"/>
                        </a:ext>
                      </a:extLst>
                    </a:blip>
                    <a:srcRect l="4568" t="28846" r="10211" b="19228"/>
                    <a:stretch/>
                  </pic:blipFill>
                  <pic:spPr bwMode="auto">
                    <a:xfrm>
                      <a:off x="0" y="0"/>
                      <a:ext cx="6046156" cy="1841987"/>
                    </a:xfrm>
                    <a:prstGeom prst="rect">
                      <a:avLst/>
                    </a:prstGeom>
                    <a:ln>
                      <a:noFill/>
                    </a:ln>
                    <a:extLst>
                      <a:ext uri="{53640926-AAD7-44D8-BBD7-CCE9431645EC}">
                        <a14:shadowObscured xmlns:a14="http://schemas.microsoft.com/office/drawing/2010/main"/>
                      </a:ext>
                    </a:extLst>
                  </pic:spPr>
                </pic:pic>
              </a:graphicData>
            </a:graphic>
          </wp:inline>
        </w:drawing>
      </w:r>
    </w:p>
    <w:p w14:paraId="5D1AC317" w14:textId="4705B018" w:rsidR="0077186D" w:rsidRDefault="0077186D" w:rsidP="00A2563A">
      <w:pPr>
        <w:spacing w:before="0" w:line="240" w:lineRule="auto"/>
        <w:rPr>
          <w:color w:val="434343"/>
          <w:sz w:val="20"/>
          <w:szCs w:val="20"/>
        </w:rPr>
      </w:pPr>
    </w:p>
    <w:p w14:paraId="66BB3D0B" w14:textId="0A980EEA" w:rsidR="0077186D" w:rsidRPr="0004201E" w:rsidRDefault="00E47411" w:rsidP="00A2563A">
      <w:pPr>
        <w:pBdr>
          <w:top w:val="single" w:sz="4" w:space="2" w:color="000000"/>
          <w:left w:val="single" w:sz="4" w:space="2" w:color="000000"/>
          <w:bottom w:val="single" w:sz="4" w:space="2" w:color="000000"/>
          <w:right w:val="single" w:sz="4" w:space="2" w:color="000000"/>
        </w:pBdr>
        <w:spacing w:before="0" w:line="240" w:lineRule="auto"/>
        <w:rPr>
          <w:rFonts w:ascii="Helvetica" w:hAnsi="Helvetica"/>
          <w:color w:val="434343"/>
          <w:sz w:val="20"/>
          <w:szCs w:val="20"/>
        </w:rPr>
      </w:pPr>
      <w:r w:rsidRPr="0004201E">
        <w:rPr>
          <w:rFonts w:ascii="Helvetica" w:eastAsia="Helvetica Neue" w:hAnsi="Helvetica" w:cs="Helvetica Neue"/>
          <w:b/>
          <w:color w:val="434343"/>
          <w:sz w:val="18"/>
          <w:szCs w:val="18"/>
        </w:rPr>
        <w:t>Table S8.1 Performance of DSPN-mod and comparison of stopping criteria.</w:t>
      </w:r>
      <w:r w:rsidRPr="0004201E">
        <w:rPr>
          <w:rFonts w:ascii="Helvetica" w:eastAsia="Helvetica Neue" w:hAnsi="Helvetica" w:cs="Helvetica Neue"/>
          <w:b/>
          <w:color w:val="000000"/>
          <w:sz w:val="18"/>
          <w:szCs w:val="18"/>
        </w:rPr>
        <w:t xml:space="preserve"> </w:t>
      </w:r>
      <w:r w:rsidRPr="0004201E">
        <w:rPr>
          <w:rFonts w:ascii="Helvetica" w:eastAsia="Helvetica Neue" w:hAnsi="Helvetica" w:cs="Helvetica Neue"/>
          <w:color w:val="434343"/>
          <w:sz w:val="18"/>
          <w:szCs w:val="18"/>
        </w:rPr>
        <w:t>Performance of DSPN-mod and other models are shown using (a) fixed and (b) variable early stopping thresholds, as described in the supplemental text (S8.2). Test accuracy is shown for all models along with corresponding liability scores in brackets averaged across 10-fold cross validation data splits. A fixed threshold only is used for the ASD model (due to small sample size); variable threshold settings for cRBM, DSPN-impu</w:t>
      </w:r>
      <w:r w:rsidR="00377A6F">
        <w:rPr>
          <w:rFonts w:ascii="Helvetica" w:eastAsia="Helvetica Neue" w:hAnsi="Helvetica" w:cs="Helvetica Neue"/>
          <w:color w:val="434343"/>
          <w:sz w:val="18"/>
          <w:szCs w:val="18"/>
        </w:rPr>
        <w:t>t and DSPN-full models are as</w:t>
      </w:r>
      <w:r w:rsidRPr="0004201E">
        <w:rPr>
          <w:rFonts w:ascii="Helvetica" w:eastAsia="Helvetica Neue" w:hAnsi="Helvetica" w:cs="Helvetica Neue"/>
          <w:color w:val="434343"/>
          <w:sz w:val="18"/>
          <w:szCs w:val="18"/>
        </w:rPr>
        <w:t xml:space="preserve"> in Fig. 6D for all phenotypes except ASD. </w:t>
      </w:r>
    </w:p>
    <w:p w14:paraId="3821BA38" w14:textId="77777777" w:rsidR="0077186D" w:rsidRDefault="0077186D">
      <w:pPr>
        <w:spacing w:line="240" w:lineRule="auto"/>
      </w:pPr>
    </w:p>
    <w:p w14:paraId="03536D4B" w14:textId="77777777" w:rsidR="007822DE" w:rsidRDefault="007822DE">
      <w:pPr>
        <w:spacing w:line="240" w:lineRule="auto"/>
      </w:pPr>
    </w:p>
    <w:p w14:paraId="291B70FD" w14:textId="77777777" w:rsidR="007F0348" w:rsidRDefault="007F0348">
      <w:pPr>
        <w:spacing w:line="240" w:lineRule="auto"/>
      </w:pPr>
    </w:p>
    <w:p w14:paraId="00F1CD6A" w14:textId="77777777" w:rsidR="0077186D" w:rsidRPr="00D51A3C" w:rsidRDefault="00E47411">
      <w:pPr>
        <w:pStyle w:val="Heading1"/>
        <w:spacing w:before="200" w:after="280" w:line="273" w:lineRule="auto"/>
        <w:rPr>
          <w:rFonts w:ascii="Helvetica" w:hAnsi="Helvetica"/>
          <w:sz w:val="44"/>
          <w:szCs w:val="44"/>
        </w:rPr>
      </w:pPr>
      <w:bookmarkStart w:id="55" w:name="_6nm1h2pycdbe" w:colFirst="0" w:colLast="0"/>
      <w:bookmarkEnd w:id="55"/>
      <w:r w:rsidRPr="00D51A3C">
        <w:rPr>
          <w:rFonts w:ascii="Helvetica" w:hAnsi="Helvetica"/>
          <w:sz w:val="44"/>
          <w:szCs w:val="44"/>
        </w:rPr>
        <w:lastRenderedPageBreak/>
        <w:t>S9. Resource website and raw data</w:t>
      </w:r>
    </w:p>
    <w:p w14:paraId="57621188" w14:textId="77777777" w:rsidR="0077186D" w:rsidRPr="00D51A3C" w:rsidRDefault="00E47411">
      <w:pPr>
        <w:pStyle w:val="Heading2"/>
        <w:spacing w:before="0"/>
        <w:rPr>
          <w:rFonts w:ascii="Helvetica" w:eastAsia="Times New Roman" w:hAnsi="Helvetica" w:cs="Times New Roman"/>
          <w:sz w:val="28"/>
          <w:szCs w:val="28"/>
        </w:rPr>
      </w:pPr>
      <w:bookmarkStart w:id="56" w:name="_udikppi6zppl" w:colFirst="0" w:colLast="0"/>
      <w:bookmarkEnd w:id="56"/>
      <w:r w:rsidRPr="00D51A3C">
        <w:rPr>
          <w:rFonts w:ascii="Helvetica" w:hAnsi="Helvetica"/>
          <w:sz w:val="28"/>
          <w:szCs w:val="28"/>
        </w:rPr>
        <w:t xml:space="preserve">S9.1 Resource website: </w:t>
      </w:r>
      <w:r w:rsidRPr="00D51A3C">
        <w:rPr>
          <w:rFonts w:ascii="Helvetica" w:eastAsia="Times New Roman" w:hAnsi="Helvetica" w:cs="Times New Roman"/>
          <w:sz w:val="28"/>
          <w:szCs w:val="28"/>
        </w:rPr>
        <w:t>http://adult.psychencode.org/</w:t>
      </w:r>
    </w:p>
    <w:p w14:paraId="684766D2" w14:textId="77777777" w:rsidR="0077186D" w:rsidRDefault="00E47411">
      <w:pPr>
        <w:spacing w:before="0" w:line="240" w:lineRule="auto"/>
        <w:rPr>
          <w:rFonts w:ascii="Times New Roman" w:eastAsia="Times New Roman" w:hAnsi="Times New Roman" w:cs="Times New Roman"/>
        </w:rPr>
      </w:pPr>
      <w:r>
        <w:rPr>
          <w:rFonts w:ascii="Times New Roman" w:eastAsia="Times New Roman" w:hAnsi="Times New Roman" w:cs="Times New Roman"/>
        </w:rPr>
        <w:t>The website contains much supplementary information related to the project, including the raw and processed data files them. For convenience, we reproduce below some sections of the site and from the PsychENCODE Synapse website related to the descriptions of the data files.</w:t>
      </w:r>
    </w:p>
    <w:p w14:paraId="1640787C" w14:textId="77777777" w:rsidR="0077186D" w:rsidRPr="00D51A3C" w:rsidRDefault="00E47411">
      <w:pPr>
        <w:pStyle w:val="Heading2"/>
        <w:rPr>
          <w:rFonts w:ascii="Helvetica" w:hAnsi="Helvetica"/>
          <w:sz w:val="28"/>
          <w:szCs w:val="28"/>
        </w:rPr>
      </w:pPr>
      <w:bookmarkStart w:id="57" w:name="_i3dftweo9qkg" w:colFirst="0" w:colLast="0"/>
      <w:bookmarkEnd w:id="57"/>
      <w:r w:rsidRPr="00D51A3C">
        <w:rPr>
          <w:rFonts w:ascii="Helvetica" w:hAnsi="Helvetica"/>
          <w:sz w:val="28"/>
          <w:szCs w:val="28"/>
        </w:rPr>
        <w:t>S9.2 RNA-seq, ChIP-seq and genotype data (The text in this section up to Study 8 was directly adapted from the Psychencode/Synapse Website).</w:t>
      </w:r>
    </w:p>
    <w:p w14:paraId="425AD9A1" w14:textId="143B4F3B" w:rsidR="0077186D" w:rsidRDefault="0043466B">
      <w:pPr>
        <w:spacing w:before="0" w:line="240" w:lineRule="auto"/>
        <w:rPr>
          <w:rFonts w:ascii="Times New Roman" w:eastAsia="Times New Roman" w:hAnsi="Times New Roman" w:cs="Times New Roman"/>
        </w:rPr>
      </w:pPr>
      <w:r w:rsidRPr="0043466B">
        <w:rPr>
          <w:rFonts w:ascii="Times New Roman" w:eastAsia="Times New Roman" w:hAnsi="Times New Roman" w:cs="Times New Roman"/>
        </w:rPr>
        <w:t>We processed data from 9 studies: UCLA-ASD, Yale-ASD, BrainGVEX, the The Lieber Institute for Brain Development (LIBD), GTEx, the CommonMind Consortium (CMC), the CMC’s NIMH Human Brain Collection Core (CMC HBCC) and Bipseq a Bipolar cohorts. The detailed descriptions of PsychENCODE related 8 studies were listed below and may also be found on supplemental Table S2.1, as well as in t</w:t>
      </w:r>
      <w:r>
        <w:rPr>
          <w:rFonts w:ascii="Times New Roman" w:eastAsia="Times New Roman" w:hAnsi="Times New Roman" w:cs="Times New Roman"/>
        </w:rPr>
        <w:t xml:space="preserve">he PsychENCODE Knowledge Portal </w:t>
      </w:r>
      <w:r w:rsidRPr="0043466B">
        <w:rPr>
          <w:rFonts w:ascii="Times New Roman" w:eastAsia="Times New Roman" w:hAnsi="Times New Roman" w:cs="Times New Roman"/>
        </w:rPr>
        <w:t xml:space="preserve">(https://www.synapse.org/#!Synapse:syn4921369/wiki/390659 ). </w:t>
      </w:r>
      <w:r w:rsidR="00E47411">
        <w:rPr>
          <w:rFonts w:ascii="Times New Roman" w:eastAsia="Times New Roman" w:hAnsi="Times New Roman" w:cs="Times New Roman"/>
        </w:rPr>
        <w:t xml:space="preserve"> </w:t>
      </w:r>
    </w:p>
    <w:p w14:paraId="325BD240" w14:textId="77777777" w:rsidR="0077186D" w:rsidRDefault="0077186D">
      <w:pPr>
        <w:spacing w:before="0" w:line="240" w:lineRule="auto"/>
        <w:rPr>
          <w:rFonts w:ascii="Times New Roman" w:eastAsia="Times New Roman" w:hAnsi="Times New Roman" w:cs="Times New Roman"/>
        </w:rPr>
      </w:pPr>
    </w:p>
    <w:p w14:paraId="079DB626"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1</w:t>
      </w:r>
      <w:r>
        <w:rPr>
          <w:rFonts w:ascii="Times New Roman" w:eastAsia="Times New Roman" w:hAnsi="Times New Roman" w:cs="Times New Roman"/>
          <w:color w:val="000000"/>
        </w:rPr>
        <w:t xml:space="preserve"> - BrainGVEX</w:t>
      </w:r>
    </w:p>
    <w:p w14:paraId="48617B90"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RNA-seq: RNAseq data was generated from 427 postmortem prefrontal cortex from subjects with schizophrenia (n=95), bipolar disorder (n=73), and non-psychiatric controls (n=259), as part of the BrainGVEX study (Synapse accession doi:10.7303/syn4590909) within the PsychEncode Consortium (https://www.synapse.org/pec) (72). BrainGVEX study includes RNA samples collected as part of the “Array Collection”, “Consortium Collection”, “New Collection” and ”Extra Collection” from the Stanley Medical Research Institute (SMRI). Array collection and Consortium collection were from superior frontal gyrus (BA9) whereas those labelled EXTRA or NEW were from the middle frontal gyrus (BA46). Another 184 controls were obtained as fresh-frozen brain tissue from the Banner Sun Health Research Institute (BSHRI). All BSHRI samples were from frontal cortex. RNA were extracted from BSHRI samples by first homogenizing 20-50 mg of tissue in QIAzol (Qiagen) using the Lysin Matrix D and </w:t>
      </w:r>
      <w:r>
        <w:rPr>
          <w:rFonts w:ascii="Times New Roman" w:eastAsia="Times New Roman" w:hAnsi="Times New Roman" w:cs="Times New Roman"/>
          <w:color w:val="323232"/>
        </w:rPr>
        <w:t xml:space="preserve">FastPrep®-24 </w:t>
      </w:r>
      <w:r>
        <w:rPr>
          <w:rFonts w:ascii="Times New Roman" w:eastAsia="Times New Roman" w:hAnsi="Times New Roman" w:cs="Times New Roman"/>
          <w:color w:val="000000"/>
        </w:rPr>
        <w:t>system (MPBiomedicals). Total RNA were then isolated using the miRNeasy Kit (Qiagen) according to manufacturer’s instructions. RNA integrity was assessed with Agilent Technologies RNA 600 nano kit. Samples with RNA Integrity Number (RIN) lower than 5.5 were excluded from the study. RNA sequencing libraries were prepared using TruSeq Stranded Total RNA sample prep kit with RiboZero Gold HMR (Illumina). Libraries were multiplexed (3 per lane) for paired-end 100 bp sequencing on Illumina HiSeq2000 with read depth &gt;70 million reads on average.</w:t>
      </w:r>
    </w:p>
    <w:p w14:paraId="5ECE2026" w14:textId="77777777" w:rsidR="0077186D" w:rsidRDefault="0077186D">
      <w:pPr>
        <w:spacing w:before="0" w:line="240" w:lineRule="auto"/>
        <w:rPr>
          <w:rFonts w:ascii="Times New Roman" w:eastAsia="Times New Roman" w:hAnsi="Times New Roman" w:cs="Times New Roman"/>
          <w:color w:val="000000"/>
        </w:rPr>
      </w:pPr>
    </w:p>
    <w:p w14:paraId="24B42DAB" w14:textId="77777777" w:rsidR="0077186D" w:rsidRDefault="00E47411">
      <w:pPr>
        <w:spacing w:before="0" w:line="240" w:lineRule="auto"/>
        <w:rPr>
          <w:rFonts w:ascii="Times New Roman" w:eastAsia="Times New Roman" w:hAnsi="Times New Roman" w:cs="Times New Roman"/>
          <w:color w:val="212121"/>
        </w:rPr>
      </w:pPr>
      <w:r>
        <w:rPr>
          <w:rFonts w:ascii="Times New Roman" w:eastAsia="Times New Roman" w:hAnsi="Times New Roman" w:cs="Times New Roman"/>
          <w:color w:val="000000"/>
        </w:rPr>
        <w:t xml:space="preserve">Genotyping: DNA genotyping were done using two different platforms. 144 samples (SMRI Consortium and Array Collections) were genotyped using the Affymetrix GeneChip Mapping 5.0K Array. Genotypes were called with the BRLMM-p algorithm (Affymetrix) with all arrays simultaneously (Zhang et al., 2010). The rest of samples (SMRI New and Extra Collection, and BSHRI Collection) were genotyped with the Human PsychChip, which is a custom version of the Illumina Infinium CoreExome-24 v1.1 BeadChip (#WG-331-1111) supplemented with content derived from GWASs and DNA sequencing studies of multiple psychiatric disorders by the Psychiatric Genomics Consortium (PGC). </w:t>
      </w:r>
      <w:r>
        <w:rPr>
          <w:rFonts w:ascii="Times New Roman" w:eastAsia="Times New Roman" w:hAnsi="Times New Roman" w:cs="Times New Roman"/>
          <w:color w:val="212121"/>
        </w:rPr>
        <w:t xml:space="preserve">Genotypes were called using Illumina’s GenomeStudio software, Birdseed and Zcall, as described (Code found at: </w:t>
      </w:r>
      <w:hyperlink r:id="rId50">
        <w:r>
          <w:rPr>
            <w:rFonts w:ascii="Times New Roman" w:eastAsia="Times New Roman" w:hAnsi="Times New Roman" w:cs="Times New Roman"/>
            <w:color w:val="1155CC"/>
            <w:u w:val="single"/>
          </w:rPr>
          <w:t>https://github.com/Nealelab/ricopili/blob/master/rp_bin/mergecall_10</w:t>
        </w:r>
      </w:hyperlink>
      <w:r>
        <w:rPr>
          <w:rFonts w:ascii="Times New Roman" w:eastAsia="Times New Roman" w:hAnsi="Times New Roman" w:cs="Times New Roman"/>
          <w:color w:val="212121"/>
        </w:rPr>
        <w:t>) (Pedersen et al., 2018).</w:t>
      </w:r>
    </w:p>
    <w:p w14:paraId="2F48C71F" w14:textId="77777777" w:rsidR="0077186D" w:rsidRDefault="0077186D">
      <w:pPr>
        <w:spacing w:before="0" w:line="240" w:lineRule="auto"/>
        <w:rPr>
          <w:rFonts w:ascii="Times New Roman" w:eastAsia="Times New Roman" w:hAnsi="Times New Roman" w:cs="Times New Roman"/>
          <w:color w:val="212121"/>
        </w:rPr>
      </w:pPr>
    </w:p>
    <w:p w14:paraId="160BCD7A" w14:textId="77777777" w:rsidR="0077186D" w:rsidRDefault="00E47411">
      <w:pPr>
        <w:spacing w:before="0" w:line="240" w:lineRule="auto"/>
        <w:rPr>
          <w:rFonts w:ascii="Times New Roman" w:eastAsia="Times New Roman" w:hAnsi="Times New Roman" w:cs="Times New Roman"/>
          <w:color w:val="212121"/>
        </w:rPr>
      </w:pPr>
      <w:r>
        <w:rPr>
          <w:rFonts w:ascii="Times New Roman" w:eastAsia="Times New Roman" w:hAnsi="Times New Roman" w:cs="Times New Roman"/>
          <w:color w:val="212121"/>
        </w:rPr>
        <w:t>GenomeStudio and Birdseed were used separately to initially call variants in 288 individuals. Accepted variants had a call frequency greater than 97% and a Hardy-Weinberg Equilibrium (HWE) p-value &gt; 1 x 10</w:t>
      </w:r>
      <w:r>
        <w:rPr>
          <w:rFonts w:ascii="Times New Roman" w:eastAsia="Times New Roman" w:hAnsi="Times New Roman" w:cs="Times New Roman"/>
          <w:color w:val="212121"/>
          <w:vertAlign w:val="superscript"/>
        </w:rPr>
        <w:t>-6</w:t>
      </w:r>
      <w:r>
        <w:rPr>
          <w:rFonts w:ascii="Times New Roman" w:eastAsia="Times New Roman" w:hAnsi="Times New Roman" w:cs="Times New Roman"/>
          <w:color w:val="212121"/>
        </w:rPr>
        <w:t xml:space="preserve">. 24 of the 288 individuals were immediately excluded because they were missing calls for &gt;5% of genotyped SNPs, when either caller was used. Birdseed and GenomeStudio variant calls were then merged by consensus. If both programs returned a different result for a single variant, the final call for </w:t>
      </w:r>
      <w:r>
        <w:rPr>
          <w:rFonts w:ascii="Times New Roman" w:eastAsia="Times New Roman" w:hAnsi="Times New Roman" w:cs="Times New Roman"/>
          <w:color w:val="212121"/>
        </w:rPr>
        <w:lastRenderedPageBreak/>
        <w:t>that variant was set to “missing.” When a call was made with only one of the two programs, that successful call was deemed the consensus.</w:t>
      </w:r>
    </w:p>
    <w:p w14:paraId="5DD6734C" w14:textId="77777777" w:rsidR="0077186D" w:rsidRDefault="0077186D">
      <w:pPr>
        <w:spacing w:before="0" w:line="240" w:lineRule="auto"/>
        <w:rPr>
          <w:rFonts w:ascii="Times New Roman" w:eastAsia="Times New Roman" w:hAnsi="Times New Roman" w:cs="Times New Roman"/>
          <w:color w:val="212121"/>
        </w:rPr>
      </w:pPr>
    </w:p>
    <w:p w14:paraId="07120A5F" w14:textId="77777777" w:rsidR="0077186D" w:rsidRDefault="00E47411">
      <w:pPr>
        <w:spacing w:before="0" w:line="240" w:lineRule="auto"/>
        <w:rPr>
          <w:rFonts w:ascii="Times New Roman" w:eastAsia="Times New Roman" w:hAnsi="Times New Roman" w:cs="Times New Roman"/>
          <w:color w:val="212121"/>
        </w:rPr>
      </w:pPr>
      <w:r>
        <w:rPr>
          <w:rFonts w:ascii="Times New Roman" w:eastAsia="Times New Roman" w:hAnsi="Times New Roman" w:cs="Times New Roman"/>
          <w:color w:val="212121"/>
        </w:rPr>
        <w:t>The resulting merged consensus data was filtered again according to the same call frequency, sample missingness, MAF and HWE criteria described above. Finally, valid rare variant calls were refined using Zcall. Meaning, genotype calls for variants with MAF &lt; 0.01 in the merged and filtered dataset were replaced with zCall results when, in zCall, their HWE p-values &gt; 1 x 10</w:t>
      </w:r>
      <w:r>
        <w:rPr>
          <w:rFonts w:ascii="Times New Roman" w:eastAsia="Times New Roman" w:hAnsi="Times New Roman" w:cs="Times New Roman"/>
          <w:color w:val="212121"/>
          <w:vertAlign w:val="superscript"/>
        </w:rPr>
        <w:t>-6</w:t>
      </w:r>
      <w:r>
        <w:rPr>
          <w:rFonts w:ascii="Times New Roman" w:eastAsia="Times New Roman" w:hAnsi="Times New Roman" w:cs="Times New Roman"/>
          <w:color w:val="212121"/>
        </w:rPr>
        <w:t xml:space="preserve">, missingness rates were below 3% and MAF &lt; 0.05. Note that zCall only refines GenomeStudio calls, so zCall results are independent of Birdseed calls. Ultimately 577,643 variants were called, 242,272 being rare. </w:t>
      </w:r>
    </w:p>
    <w:p w14:paraId="5A24973B" w14:textId="77777777" w:rsidR="0077186D" w:rsidRDefault="0077186D">
      <w:pPr>
        <w:spacing w:before="0" w:line="240" w:lineRule="auto"/>
        <w:rPr>
          <w:rFonts w:ascii="Times New Roman" w:eastAsia="Times New Roman" w:hAnsi="Times New Roman" w:cs="Times New Roman"/>
          <w:color w:val="000000"/>
        </w:rPr>
      </w:pPr>
    </w:p>
    <w:p w14:paraId="48CA9F87"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2</w:t>
      </w:r>
      <w:r>
        <w:rPr>
          <w:rFonts w:ascii="Times New Roman" w:eastAsia="Times New Roman" w:hAnsi="Times New Roman" w:cs="Times New Roman"/>
          <w:color w:val="000000"/>
        </w:rPr>
        <w:t>- BrainSpan</w:t>
      </w:r>
    </w:p>
    <w:p w14:paraId="2056E9DE"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RNA-seq: RNA was extracted using RNeasy Plus Mini Kit (Qiagen) for mRNA. Either approximately 30 mg of pulverized tissue (12 PCW – 40 Y specimens) or entire amount of dissected brain piece (8 – 9 PCW, smaller than 30 mg) was processed. Tissue was pulverized with liquid nitrogen in a chilled mortar and pestle and transferred to a chilled safe-lock microcentrifuge tube (Eppendorf). Per tissue mass, equal mass of chilled stainless steel beads (Next Advance, cat# SSB14B) along with two volumes of lysis buffer were added. Tissue was homogenized for 1 min in Bullet Blender (Next Advance # SSB14B) at speed 6 and incubated at 37°C for 5 min. Lysis buffer up to 0.6 ml was again added, tissue homogenized for 1 min and incubated at 37°C for 1 min. Extraction was further carried out according to manufacturer’s protocol. Genomic DNA was removed by a proprietary column provided in RNeasy Plus Mini Kit (Qiagen) or by DNase treatment using TURBO DNA-free Kit (Ambion/ Life technologies). 260:A280 ratio and RNA Integrity Number (RIN) were determined for each sample with NanoDrop (Thermo Scientific) and Agilent 2100 Bioanalyzer system, respectively.</w:t>
      </w:r>
    </w:p>
    <w:p w14:paraId="4156ABBC" w14:textId="77777777" w:rsidR="0077186D" w:rsidRDefault="0077186D">
      <w:pPr>
        <w:spacing w:before="0" w:line="240" w:lineRule="auto"/>
        <w:rPr>
          <w:rFonts w:ascii="Times New Roman" w:eastAsia="Times New Roman" w:hAnsi="Times New Roman" w:cs="Times New Roman"/>
          <w:color w:val="000000"/>
        </w:rPr>
      </w:pPr>
    </w:p>
    <w:p w14:paraId="35072D14"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mRNA-sequencing (mRNA-seq) Sample preparation Kit (Illumina) was used to prepare cDNA libraries per manufacturer instructions with some modifications. Briefly, polyA RNA was purified from 1 to 5 µg of total RNA using Oligo (dT) beads. Quaint-IT RiboGreen RNA Assay Kit (Invitrogen) was used to quantitate purified mRNA with the NanoDrop 3300. Following mRNA quantitation, 2.5 µl spike-in master mixes, containing five different types of RNA molecules at varying amounts (2.5 × 10-7 to 2.5 × 10-14 mol), were added per 100 ng of mRNA. Spike-in RNAs were synthesized by the External RNA Control Consortium (ERCC) by in vitro transcription of de novo DNA sequences or DNA derived from B. subtilis or the deep-sea vent microbe M. jannaschii and were a generous gift of Dr. Mark Salit at The National Institute of Standards and Technology (NIST). Each sample was tagged by adding two spike-in RNAs unique to the region from which the sample was taken. Besides, three common spike-in RNAs with gradient concentrations were added to each sample, aiming at the assessment of sequencing quality. Spike-in sequences are available at http://archive.gersteinlab.org/proj/brainseq/spike_in/spike_in.fa. The mixture of mRNA and spike-in RNAs was subjected to fragmentation, reverse transcription, end repair, 3’ end adenylation, and adapter ligation to generate libraries of short cDNA molecules, followed by PCR amplification. The PCR enriched product was assessed for its size distribution and concentration using Bioanalyzer DNA 1000 Kit.</w:t>
      </w:r>
    </w:p>
    <w:p w14:paraId="6F5933AD" w14:textId="77777777" w:rsidR="0077186D" w:rsidRDefault="0077186D">
      <w:pPr>
        <w:spacing w:before="0" w:line="240" w:lineRule="auto"/>
        <w:rPr>
          <w:rFonts w:ascii="Times New Roman" w:eastAsia="Times New Roman" w:hAnsi="Times New Roman" w:cs="Times New Roman"/>
          <w:color w:val="000000"/>
        </w:rPr>
      </w:pPr>
    </w:p>
    <w:p w14:paraId="4C2064C4"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 Cell RNA-seq: </w:t>
      </w:r>
      <w:r>
        <w:rPr>
          <w:rFonts w:ascii="Times New Roman" w:eastAsia="Times New Roman" w:hAnsi="Times New Roman" w:cs="Times New Roman"/>
          <w:color w:val="000000"/>
          <w:highlight w:val="white"/>
        </w:rPr>
        <w:t xml:space="preserve">Neurotypical control tissue samples used in this study were obtained from various sources. Tissue was collected after obtaining parental or next of kin consent and with approval by the institutional review boards at the Yale University School of Medicine, and at each institution from which tissue specimens were obtained. Tissue was handled in accordance with ethical guidelines and regulations for the research use of human brain tissue set forth by the NIH and the WMA Declaration of Helsinki.  Fresh tissue samples were received in Hibernate E solution. Tissues were then dissected depending on their ages. Embryonic samples were dissected under microscope and the whole pallial wall was sampled. Samples from later stages were placed on ventral side up onto a chilled aluminum plate (1 cm thick) on ice. The brainstem and cerebellum were removed from the cerebrum by making a transverse cut at the junction between the diencephalon and midbrain. Next, the cerebrum was divided into left and right hemispheres by cutting along the midline using a Tissue-Tek Accu-Edge trimming blade, 260 mm. The regions of interest were dissected using a scalpel blade and immediately processed. The sampled area </w:t>
      </w:r>
      <w:r>
        <w:rPr>
          <w:rFonts w:ascii="Times New Roman" w:eastAsia="Times New Roman" w:hAnsi="Times New Roman" w:cs="Times New Roman"/>
          <w:color w:val="000000"/>
          <w:highlight w:val="white"/>
        </w:rPr>
        <w:lastRenderedPageBreak/>
        <w:t>corresponds to dorsolateral prefrontal cortex (DLPFC) and it was sampled from the middle third of the dorsolateral surface of the anterior third of the cerebral hemisphere. These specimens contained the marginal zone, cortical plate, and part of the underlying subplate. Dissected tissue was dissociated to cell suspension using Papain-Protease-DNase (PPD) and gentleMACS dissociator (Miltenyi Biotec). Cell suspension was then processed on Fluidigm C1 machine to capture single cells, according to manufacturer's protocol. RNA extraction from each single cell was carried out on Fluidigm C1 machine, according to manufacturer's protocol.</w:t>
      </w:r>
    </w:p>
    <w:p w14:paraId="11C682DB" w14:textId="77777777" w:rsidR="0077186D" w:rsidRDefault="0077186D">
      <w:pPr>
        <w:spacing w:before="0" w:line="240" w:lineRule="auto"/>
        <w:jc w:val="both"/>
        <w:rPr>
          <w:rFonts w:ascii="Times New Roman" w:eastAsia="Times New Roman" w:hAnsi="Times New Roman" w:cs="Times New Roman"/>
          <w:color w:val="000000"/>
        </w:rPr>
      </w:pPr>
    </w:p>
    <w:p w14:paraId="0796C243" w14:textId="77777777" w:rsidR="0077186D" w:rsidRDefault="00E47411">
      <w:pPr>
        <w:spacing w:before="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Genotype data was not used in this study due to the small adult sample size.</w:t>
      </w:r>
    </w:p>
    <w:p w14:paraId="3DA72861" w14:textId="77777777" w:rsidR="0077186D" w:rsidRDefault="0077186D">
      <w:pPr>
        <w:spacing w:before="0" w:line="240" w:lineRule="auto"/>
        <w:jc w:val="both"/>
        <w:rPr>
          <w:rFonts w:ascii="Times New Roman" w:eastAsia="Times New Roman" w:hAnsi="Times New Roman" w:cs="Times New Roman"/>
          <w:color w:val="000000"/>
        </w:rPr>
      </w:pPr>
    </w:p>
    <w:p w14:paraId="50C4F93D"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3</w:t>
      </w:r>
      <w:r>
        <w:rPr>
          <w:rFonts w:ascii="Times New Roman" w:eastAsia="Times New Roman" w:hAnsi="Times New Roman" w:cs="Times New Roman"/>
          <w:color w:val="000000"/>
        </w:rPr>
        <w:t xml:space="preserve"> - CommonMind</w:t>
      </w:r>
    </w:p>
    <w:p w14:paraId="2F9A777F"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Full details of the CommonMind study have been published </w:t>
      </w:r>
      <w:hyperlink r:id="rId51">
        <w:r>
          <w:rPr>
            <w:rFonts w:ascii="Times New Roman" w:eastAsia="Times New Roman" w:hAnsi="Times New Roman" w:cs="Times New Roman"/>
            <w:color w:val="000000"/>
          </w:rPr>
          <w:t>(</w:t>
        </w:r>
      </w:hyperlink>
      <w:hyperlink r:id="rId52">
        <w:r>
          <w:rPr>
            <w:rFonts w:ascii="Times New Roman" w:eastAsia="Times New Roman" w:hAnsi="Times New Roman" w:cs="Times New Roman"/>
            <w:i/>
            <w:color w:val="000000"/>
          </w:rPr>
          <w:t>19</w:t>
        </w:r>
      </w:hyperlink>
      <w:hyperlink r:id="rId53">
        <w:r>
          <w:rPr>
            <w:rFonts w:ascii="Times New Roman" w:eastAsia="Times New Roman" w:hAnsi="Times New Roman" w:cs="Times New Roman"/>
            <w:color w:val="000000"/>
          </w:rPr>
          <w:t>)</w:t>
        </w:r>
      </w:hyperlink>
      <w:r>
        <w:rPr>
          <w:rFonts w:ascii="Times New Roman" w:eastAsia="Times New Roman" w:hAnsi="Times New Roman" w:cs="Times New Roman"/>
          <w:color w:val="000000"/>
        </w:rPr>
        <w:t>. Data is available through the Sage Bionetworks Synapse system (</w:t>
      </w:r>
      <w:hyperlink r:id="rId54">
        <w:r>
          <w:rPr>
            <w:rFonts w:ascii="Times New Roman" w:eastAsia="Times New Roman" w:hAnsi="Times New Roman" w:cs="Times New Roman"/>
            <w:color w:val="1155CC"/>
            <w:u w:val="single"/>
          </w:rPr>
          <w:t>https://www.synapse.org/cmc</w:t>
        </w:r>
      </w:hyperlink>
      <w:r>
        <w:rPr>
          <w:rFonts w:ascii="Times New Roman" w:eastAsia="Times New Roman" w:hAnsi="Times New Roman" w:cs="Times New Roman"/>
          <w:color w:val="000000"/>
        </w:rPr>
        <w:t xml:space="preserve">; doi:10.7303/syn2759792). Samples were acquired through brain banks at three institutions:The Mount Sinai NIH Brain Bank and Tissue Repository, University of Pennsylvania Brain Bank of Psychiatric illnesses and Alzheimer’s Disease Core Center, and the University of Pittsburgh NIH NeuroBioBank Brain and Tissue Repository. Details about brain banks, inclusion/exclusion criteria, and sample collection and processing are described here: </w:t>
      </w:r>
      <w:hyperlink r:id="rId55" w:anchor="!Synapse:syn2759792/wiki/71104">
        <w:r>
          <w:rPr>
            <w:rFonts w:ascii="Times New Roman" w:eastAsia="Times New Roman" w:hAnsi="Times New Roman" w:cs="Times New Roman"/>
            <w:color w:val="1155CC"/>
            <w:u w:val="single"/>
          </w:rPr>
          <w:t>https://www.synapse.org/#!Synapse:syn2759792/wiki/71104</w:t>
        </w:r>
      </w:hyperlink>
    </w:p>
    <w:p w14:paraId="53E710E9" w14:textId="77777777" w:rsidR="0077186D" w:rsidRDefault="0077186D">
      <w:pPr>
        <w:spacing w:before="0" w:line="240" w:lineRule="auto"/>
        <w:rPr>
          <w:rFonts w:ascii="Times New Roman" w:eastAsia="Times New Roman" w:hAnsi="Times New Roman" w:cs="Times New Roman"/>
          <w:color w:val="000000"/>
        </w:rPr>
      </w:pPr>
    </w:p>
    <w:p w14:paraId="6280A950"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RNA-seq: RNA-seq data from 613 total human postmortem dorsolateral prefrontal cortex (DLPFC) brain samples were obtained from 603 subjects with schizophrenia (n=263), bipolar disorder (n=47), affective disorder (8), and neurotypical controls (n=285), where 10 neurotypical controls were sequenced as biological replicates</w:t>
      </w:r>
      <w:hyperlink r:id="rId56" w:anchor="!Synapse:syn2759792/wiki/194729">
        <w:r>
          <w:rPr>
            <w:rFonts w:ascii="Times New Roman" w:eastAsia="Times New Roman" w:hAnsi="Times New Roman" w:cs="Times New Roman"/>
            <w:color w:val="1155CC"/>
            <w:u w:val="single"/>
          </w:rPr>
          <w:t>)</w:t>
        </w:r>
      </w:hyperlink>
      <w:r>
        <w:rPr>
          <w:rFonts w:ascii="Times New Roman" w:eastAsia="Times New Roman" w:hAnsi="Times New Roman" w:cs="Times New Roman"/>
          <w:color w:val="000000"/>
        </w:rPr>
        <w:t>. Total RNA was extracted from 50 mg of homogenized DLPFC brain tissue using RNeasy kit. Samples with RIN &lt; 5.5 (n=51) were excluded. The remaining samples had a mean RIN of 7.7. RNAseq library preparation was performed using ribosomal RNA depletion, with the Ribozero Magnetic Gold Kit. Samples were barcoded, multiplexed (n=10/lane), and sequenced across two lanes as 100 bp paired end sequencing on the Illumina HiSeq 2500 with an average of 85 million reads. Data is provided for those samples that passed all of the following QC filters: samples were required to have had a minimum of 50 million total reads and less than 5% rRNA alignment.</w:t>
      </w:r>
    </w:p>
    <w:p w14:paraId="7CEC46C3" w14:textId="77777777" w:rsidR="0077186D" w:rsidRDefault="0077186D">
      <w:pPr>
        <w:spacing w:before="0" w:line="240" w:lineRule="auto"/>
        <w:rPr>
          <w:rFonts w:ascii="Times New Roman" w:eastAsia="Times New Roman" w:hAnsi="Times New Roman" w:cs="Times New Roman"/>
          <w:color w:val="000000"/>
        </w:rPr>
      </w:pPr>
    </w:p>
    <w:p w14:paraId="0F63ABD7" w14:textId="2AC0A160" w:rsidR="0077186D" w:rsidRDefault="006E2D31">
      <w:pPr>
        <w:spacing w:before="0" w:line="240" w:lineRule="auto"/>
        <w:jc w:val="both"/>
        <w:rPr>
          <w:rFonts w:ascii="Times New Roman" w:eastAsia="Times New Roman" w:hAnsi="Times New Roman" w:cs="Times New Roman"/>
          <w:color w:val="000000"/>
        </w:rPr>
      </w:pPr>
      <w:r w:rsidRPr="006E2D31">
        <w:rPr>
          <w:rFonts w:ascii="Times New Roman" w:eastAsia="Times New Roman" w:hAnsi="Times New Roman" w:cs="Times New Roman"/>
          <w:color w:val="000000"/>
        </w:rPr>
        <w:t>ChIP-seq: ChIP-seq data of H3K27ac and H3K4me3 of NeuN+ cells were generated on a subset of the CommonMind Samples in PsychENCODE Epidiff study. Full details of the data generation protocal could be found in one o</w:t>
      </w:r>
      <w:r>
        <w:rPr>
          <w:rFonts w:ascii="Times New Roman" w:eastAsia="Times New Roman" w:hAnsi="Times New Roman" w:cs="Times New Roman"/>
          <w:color w:val="000000"/>
        </w:rPr>
        <w:t>f the published methods paper (</w:t>
      </w:r>
      <w:r w:rsidRPr="006E2D31">
        <w:rPr>
          <w:rFonts w:ascii="Times New Roman" w:eastAsia="Times New Roman" w:hAnsi="Times New Roman" w:cs="Times New Roman"/>
          <w:color w:val="000000"/>
        </w:rPr>
        <w:t>Kundakovic M et al., 2017) We used H3K27ac from Dorsolateral Prefrontal Cortex of 117 neurotypical controls and 109 schizophrenia individuals.</w:t>
      </w:r>
    </w:p>
    <w:p w14:paraId="7DC41A76" w14:textId="77777777" w:rsidR="0077186D" w:rsidRDefault="0077186D">
      <w:pPr>
        <w:spacing w:before="0" w:line="240" w:lineRule="auto"/>
        <w:rPr>
          <w:rFonts w:ascii="Times New Roman" w:eastAsia="Times New Roman" w:hAnsi="Times New Roman" w:cs="Times New Roman"/>
          <w:color w:val="000000"/>
        </w:rPr>
      </w:pPr>
    </w:p>
    <w:p w14:paraId="67382C62"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Genotyping: DNA was isolated from approximately 10 mg dry homogenized tissue coming from the same dissected samples as the RNA isolation using the Qiagen DNeasy Blood and Tissue Kit according to manufacturer’s protocol. Genotyping was performed using the Illumina Infinium HumanOmniExpressExome platform (Catalog #: WG-351-2301). All data were checked for discordance between nominal and genetically-inferred sex using Plink software to calculate the mean homozygosity rate across X-chromosome markers and to evaluate the presence or absence of Y-chromosome markers. In addition, pairwise comparison of samples across all genotypes was done to identify potentially duplicate samples (genotypes &gt; 99% concordant) or related individuals using Plink.</w:t>
      </w:r>
    </w:p>
    <w:p w14:paraId="710B8DD4" w14:textId="77777777" w:rsidR="0077186D" w:rsidRDefault="0077186D">
      <w:pPr>
        <w:spacing w:before="0" w:line="240" w:lineRule="auto"/>
        <w:rPr>
          <w:rFonts w:ascii="Times New Roman" w:eastAsia="Times New Roman" w:hAnsi="Times New Roman" w:cs="Times New Roman"/>
          <w:color w:val="000000"/>
        </w:rPr>
      </w:pPr>
    </w:p>
    <w:p w14:paraId="634D033C"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4</w:t>
      </w:r>
      <w:r>
        <w:rPr>
          <w:rFonts w:ascii="Times New Roman" w:eastAsia="Times New Roman" w:hAnsi="Times New Roman" w:cs="Times New Roman"/>
          <w:color w:val="000000"/>
        </w:rPr>
        <w:t xml:space="preserve"> - Yale-ASD</w:t>
      </w:r>
    </w:p>
    <w:p w14:paraId="1C821381"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RNA-seq: Total RNA was extracted using mirVana kit (Ambion) with some modifications to the manufacturer’s protocol. Approximately 60 mg of tissue was pulverized with liquid nitrogen in a prechilled mortar and pestle and transferred to a chilled safe-lock microcentrifuge tube (Eppendorf). Per tissue mass, equal mass of chilled stainless steel beads (Next Advance, catalog # SSB14B) along with one volume of lysis/binding buffer were added. Tissue was homogenized for 1 min in Bullet Blender (Next Advance) and incubated at 37°C for 1 min. Another nine volumes of the lysis/binding buffer were added, homogenized for 1 min, and incubated at 37°C for 2 min. One-tenth volume of miRNA Homogenate Additive was added and extraction was carried out according to the manufacturer’s protocol. RNA was </w:t>
      </w:r>
      <w:r>
        <w:rPr>
          <w:rFonts w:ascii="Times New Roman" w:eastAsia="Times New Roman" w:hAnsi="Times New Roman" w:cs="Times New Roman"/>
          <w:color w:val="000000"/>
        </w:rPr>
        <w:lastRenderedPageBreak/>
        <w:t>treated with DNase using TURBO DNA-free Kit (Ambion/ Life Technologies) and RNA integrity was measured using Agilent 2200 TapeStation System. Barcoded libraries for RNA-seq were prepared with 5ng of RNA using TruSeq Stranded Total RNA with Ribo-Zero Gold kit (Illumina) per manufacturer’s protocol. Paired-end sequencing (100bp x 2) was performed on HiSeq 2000 sequencers (Illumina) at Yale Center for Genome Analysis.</w:t>
      </w:r>
    </w:p>
    <w:p w14:paraId="4532F542" w14:textId="77777777" w:rsidR="0077186D" w:rsidRDefault="0077186D">
      <w:pPr>
        <w:spacing w:before="0" w:line="240" w:lineRule="auto"/>
        <w:ind w:firstLine="720"/>
        <w:rPr>
          <w:rFonts w:ascii="Times New Roman" w:eastAsia="Times New Roman" w:hAnsi="Times New Roman" w:cs="Times New Roman"/>
          <w:color w:val="000000"/>
        </w:rPr>
      </w:pPr>
    </w:p>
    <w:p w14:paraId="4EF7C40F"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Genotype data is not available yet for this study.</w:t>
      </w:r>
    </w:p>
    <w:p w14:paraId="1229608C" w14:textId="77777777" w:rsidR="0077186D" w:rsidRDefault="0077186D">
      <w:pPr>
        <w:spacing w:before="0" w:line="240" w:lineRule="auto"/>
        <w:rPr>
          <w:rFonts w:ascii="Times New Roman" w:eastAsia="Times New Roman" w:hAnsi="Times New Roman" w:cs="Times New Roman"/>
          <w:color w:val="000000"/>
        </w:rPr>
      </w:pPr>
    </w:p>
    <w:p w14:paraId="5869A051"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5</w:t>
      </w:r>
      <w:r>
        <w:rPr>
          <w:rFonts w:ascii="Times New Roman" w:eastAsia="Times New Roman" w:hAnsi="Times New Roman" w:cs="Times New Roman"/>
          <w:color w:val="000000"/>
        </w:rPr>
        <w:t xml:space="preserve"> - UCLA-ASD</w:t>
      </w:r>
    </w:p>
    <w:p w14:paraId="67382BE0"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Full details of the UCLA-ASD study have been published (</w:t>
      </w:r>
      <w:r>
        <w:rPr>
          <w:rFonts w:ascii="Times New Roman" w:eastAsia="Times New Roman" w:hAnsi="Times New Roman" w:cs="Times New Roman"/>
        </w:rPr>
        <w:t>Parikshak, et al., 2016).</w:t>
      </w:r>
    </w:p>
    <w:p w14:paraId="70F81227" w14:textId="77777777" w:rsidR="0077186D" w:rsidRDefault="0077186D">
      <w:pPr>
        <w:spacing w:before="0" w:line="240" w:lineRule="auto"/>
        <w:rPr>
          <w:rFonts w:ascii="Times New Roman" w:eastAsia="Times New Roman" w:hAnsi="Times New Roman" w:cs="Times New Roman"/>
          <w:color w:val="000000"/>
        </w:rPr>
      </w:pPr>
    </w:p>
    <w:p w14:paraId="77DD63F1"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RNA-seq: RNA-seq data for replication was generated from 251 postmortem cortex brain samples from subjects with ASD and non-psychiatric controls, across frontal cortex (BA9/46), temporal cortex (BA41/42/22), and cerebellum.</w:t>
      </w:r>
    </w:p>
    <w:p w14:paraId="03500579" w14:textId="77777777" w:rsidR="0077186D" w:rsidRDefault="0077186D">
      <w:pPr>
        <w:spacing w:before="0" w:line="240" w:lineRule="auto"/>
        <w:rPr>
          <w:rFonts w:ascii="Times New Roman" w:eastAsia="Times New Roman" w:hAnsi="Times New Roman" w:cs="Times New Roman"/>
          <w:color w:val="000000"/>
        </w:rPr>
      </w:pPr>
    </w:p>
    <w:p w14:paraId="2FEE9C3E"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Brain samples were obtained from the Harvard Brain Bank as part of the Autism Tissue Project (ATP). An ASD diagnosis was confirmed by the Autism Diagnostic Interview-Revised (ADIR) in 48 of the subjects. In the remaining two subjects, diagnosis was supported by clinical history. Frozen brain regions were dissected on dry ice in a dehydrated dissection chamber to reduce degradation effects from sample thawing or humidity. Approximately 50-100mg of tissue across the cortical region of interest was isolated from each sample using the miRNeasy kit with no modifications (Qiagen). For each RNA sample, RNA quality was quantified using the RNA Integrity Number (RIN) on an Agilent Bioanalyzer. Strand-specific, rRNA-depleted RNAseq libraries were prepared using TruSeq Stranded Total RNA sample prep kit with RiboZero Gold (Illumnia) kits. Libraries were randomly pooled to multiplex 24 samples per lane using Illumina TruSeq barcodes. Each lane was sequenced five times on an Illumina HiSeq 2500 instrument using high output mode with standard chemistry and protocols for 50 bp paired-end reads to achieve a target depth of 70 million reads. </w:t>
      </w:r>
    </w:p>
    <w:p w14:paraId="6FECD396" w14:textId="77777777" w:rsidR="0077186D" w:rsidRDefault="0077186D">
      <w:pPr>
        <w:spacing w:before="0" w:line="240" w:lineRule="auto"/>
        <w:rPr>
          <w:rFonts w:ascii="Times New Roman" w:eastAsia="Times New Roman" w:hAnsi="Times New Roman" w:cs="Times New Roman"/>
          <w:color w:val="000000"/>
        </w:rPr>
      </w:pPr>
    </w:p>
    <w:p w14:paraId="6B7E02E6" w14:textId="77777777" w:rsidR="0077186D" w:rsidRDefault="00E47411">
      <w:pPr>
        <w:spacing w:before="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ChIP-seq:</w:t>
      </w:r>
      <w:r>
        <w:rPr>
          <w:rFonts w:ascii="Times New Roman" w:eastAsia="Times New Roman" w:hAnsi="Times New Roman" w:cs="Times New Roman"/>
          <w:b/>
          <w:color w:val="000000"/>
          <w:highlight w:val="white"/>
        </w:rPr>
        <w:t xml:space="preserve"> </w:t>
      </w:r>
      <w:r>
        <w:rPr>
          <w:rFonts w:ascii="Times New Roman" w:eastAsia="Times New Roman" w:hAnsi="Times New Roman" w:cs="Times New Roman"/>
          <w:color w:val="000000"/>
          <w:highlight w:val="white"/>
        </w:rPr>
        <w:t xml:space="preserve">For each ChIP-seq experiment approximatively 100mg of frozen brain tissue per sample was aliquoted and thawed on ice in 1ml PBS buffer. Tissue was then homogenized using a manual glass douncer with 7-15 slow strokes on ice. The cell suspension was filtered with a 40uM cell strainer (Falcon) by spinning at 2000rpm for 1 minute at 4C in a swing bucket centrifuge (Eppendorf Centrifuge 5810R). Pellets were then washed twice with cold PBS, crosslinked with 1% formaldehyde for 15 minutes at room temperature and excess formaldehyde quenched by addition of glycine (0.625M). Cells were lysed with FA and nuclei were collected and re-suspended in 300 μl SDS lysis buffer (1% SDS, 1% Triton X 100, 2 mM EDTA, 50 mM Hepes-KOH [pH 7.5], 0.1% Na dodecyl-sulfate, Roche 1X Complete protease inhibitor). Nuclei were lysed for 15 minutes, after which sonication was used to fragment chromatin to an average size of 200–500 bp (Bioruptor Next gen, Diagenode). Protein-DNA complexes were immuno-precipitated using 3 μg of H3K27acetyl antibody of the same lot for all ChIP experiments (catalogue number 39133; Actif motif) coupled to 50μl protein G Dynal beads (Invitrogen) overnight. The beads were washed and protein-DNA complexes were eluted with 150 μl of elution buffer (1% SDS, 10 mM EDTA, 50 mM Tris.HCl [pH 8]), followed by protease treatment and de-crosslinking at 65°C overnight. After phenol/chloroform extraction, DNA was purified by ethanol precipitation. Library preparation was performed as in (Quail et al., 2008). After 15 cycles of PCR using indexing primers, libraries were size selected for 300-500 bp on low melting agarose gel and 4 libraries were pooled and sequenced in one lane of 2 x 100bp using the same Illumina HiSeq 2000 with V3 reagents. </w:t>
      </w:r>
    </w:p>
    <w:p w14:paraId="5C42107D" w14:textId="77777777" w:rsidR="0077186D" w:rsidRDefault="0077186D">
      <w:pPr>
        <w:spacing w:before="0" w:line="240" w:lineRule="auto"/>
        <w:ind w:firstLine="720"/>
        <w:rPr>
          <w:rFonts w:ascii="Times New Roman" w:eastAsia="Times New Roman" w:hAnsi="Times New Roman" w:cs="Times New Roman"/>
          <w:color w:val="000000"/>
        </w:rPr>
      </w:pPr>
    </w:p>
    <w:p w14:paraId="6D7F6AA4"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Genotyping: Genotyping was performed using Illumina Omni 2.5 arrays.</w:t>
      </w:r>
    </w:p>
    <w:p w14:paraId="4C2B109C" w14:textId="77777777" w:rsidR="0077186D" w:rsidRDefault="0077186D">
      <w:pPr>
        <w:spacing w:before="0" w:line="240" w:lineRule="auto"/>
        <w:rPr>
          <w:rFonts w:ascii="Times New Roman" w:eastAsia="Times New Roman" w:hAnsi="Times New Roman" w:cs="Times New Roman"/>
          <w:color w:val="000000"/>
        </w:rPr>
      </w:pPr>
    </w:p>
    <w:p w14:paraId="2B291467"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6</w:t>
      </w:r>
      <w:r>
        <w:rPr>
          <w:rFonts w:ascii="Times New Roman" w:eastAsia="Times New Roman" w:hAnsi="Times New Roman" w:cs="Times New Roman"/>
          <w:color w:val="000000"/>
        </w:rPr>
        <w:t xml:space="preserve"> - BipSeq</w:t>
      </w:r>
    </w:p>
    <w:p w14:paraId="62008430"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RNAseq: same as below </w:t>
      </w:r>
      <w:r>
        <w:rPr>
          <w:rFonts w:ascii="Times New Roman" w:eastAsia="Times New Roman" w:hAnsi="Times New Roman" w:cs="Times New Roman"/>
          <w:b/>
          <w:color w:val="000000"/>
        </w:rPr>
        <w:t>Study 8</w:t>
      </w:r>
    </w:p>
    <w:p w14:paraId="48DC1E4C"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Genotyping: same as below </w:t>
      </w:r>
      <w:r>
        <w:rPr>
          <w:rFonts w:ascii="Times New Roman" w:eastAsia="Times New Roman" w:hAnsi="Times New Roman" w:cs="Times New Roman"/>
          <w:b/>
          <w:color w:val="000000"/>
        </w:rPr>
        <w:t>Study 8</w:t>
      </w:r>
    </w:p>
    <w:p w14:paraId="3F8322ED" w14:textId="77777777" w:rsidR="0077186D" w:rsidRDefault="0077186D">
      <w:pPr>
        <w:spacing w:before="0" w:line="240" w:lineRule="auto"/>
        <w:rPr>
          <w:rFonts w:ascii="Times New Roman" w:eastAsia="Times New Roman" w:hAnsi="Times New Roman" w:cs="Times New Roman"/>
          <w:color w:val="000000"/>
        </w:rPr>
      </w:pPr>
    </w:p>
    <w:p w14:paraId="56B2600A" w14:textId="77777777" w:rsidR="005A0CED" w:rsidRDefault="005A0CED">
      <w:pPr>
        <w:spacing w:before="0" w:line="240" w:lineRule="auto"/>
        <w:rPr>
          <w:rFonts w:ascii="Times New Roman" w:eastAsia="Times New Roman" w:hAnsi="Times New Roman" w:cs="Times New Roman"/>
          <w:color w:val="000000"/>
        </w:rPr>
      </w:pPr>
    </w:p>
    <w:p w14:paraId="24DFA55B"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7</w:t>
      </w:r>
      <w:r>
        <w:rPr>
          <w:rFonts w:ascii="Times New Roman" w:eastAsia="Times New Roman" w:hAnsi="Times New Roman" w:cs="Times New Roman"/>
          <w:color w:val="000000"/>
        </w:rPr>
        <w:t xml:space="preserve"> - CMC_HBCC</w:t>
      </w:r>
    </w:p>
    <w:p w14:paraId="32D763EF"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Brain specimens for the CMC_HBCC study were obtained from the t</w:t>
      </w:r>
      <w:hyperlink r:id="rId57">
        <w:r>
          <w:rPr>
            <w:rFonts w:ascii="Times New Roman" w:eastAsia="Times New Roman" w:hAnsi="Times New Roman" w:cs="Times New Roman"/>
            <w:color w:val="1155CC"/>
            <w:u w:val="single"/>
          </w:rPr>
          <w:t>he NIMH Human Brain Collection Core</w:t>
        </w:r>
      </w:hyperlink>
      <w:r>
        <w:rPr>
          <w:rFonts w:ascii="Times New Roman" w:eastAsia="Times New Roman" w:hAnsi="Times New Roman" w:cs="Times New Roman"/>
          <w:color w:val="000000"/>
        </w:rPr>
        <w:t xml:space="preserve"> (HBCC) (</w:t>
      </w:r>
      <w:hyperlink r:id="rId58">
        <w:r>
          <w:rPr>
            <w:rFonts w:ascii="Times New Roman" w:eastAsia="Times New Roman" w:hAnsi="Times New Roman" w:cs="Times New Roman"/>
            <w:color w:val="1155CC"/>
            <w:u w:val="single"/>
          </w:rPr>
          <w:t>https://www.nimh.nih.gov/labs-at-nimh/research-areas/research-support-services/hbcc/human-brain-collection-core-hbcc.shtml</w:t>
        </w:r>
      </w:hyperlink>
      <w:r>
        <w:rPr>
          <w:rFonts w:ascii="Times New Roman" w:eastAsia="Times New Roman" w:hAnsi="Times New Roman" w:cs="Times New Roman"/>
          <w:color w:val="000000"/>
        </w:rPr>
        <w:t xml:space="preserve">) under protocols approved by the CNS IRB (NCT00001260), with the permission of the next-of-kin through the Offices of the Chief Medical Examiners in the District of Columbia, Northern Virginia and Central Virginia. All specimens were characterized neuropathologically, clinically and toxicologically. A clinical diagnosis was obtained through family interviews and review of medical records by two psychiatrists based on DSMIV criteria. Non-psychiatric controls were defined as having no history of a psychiatric condition or substance use disorder. </w:t>
      </w:r>
    </w:p>
    <w:p w14:paraId="0C21936E" w14:textId="77777777" w:rsidR="0077186D" w:rsidRDefault="0077186D">
      <w:pPr>
        <w:spacing w:before="0" w:line="240" w:lineRule="auto"/>
        <w:rPr>
          <w:rFonts w:ascii="Times New Roman" w:eastAsia="Times New Roman" w:hAnsi="Times New Roman" w:cs="Times New Roman"/>
          <w:color w:val="000000"/>
        </w:rPr>
      </w:pPr>
    </w:p>
    <w:p w14:paraId="7F21A0FF"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RNAseq: Samples were dissected at the NIMH Human Brain Collection Core and shipped to Ichan School of Medicine - Mt Sinai (ISMMS) for sample preparation and RNA-sequencing. Samples for the study were dissected from either the left or right hemisphere of fresh frozen coronal slabs cut at autopsy from the dorsolateral prefrontal cortex. Total RNA from 468 HBCC samples was isolated from approximately 100 mg homogenized tissue from each sample by TRIzol/chloroform extraction and purification with the Qiagen RNeasy kit (Cat#74106) according to manufacturer’s protocol. Samples were processed in randomized batches of 12. The order of extraction was assigned randomly with respect to diagnosis and all other sample characteristics. The mean total RNA yield was 24.2 ug. The RNA Integrity Number (RIN) was determined by fractionating RNA samples on the 4200 Agilent TapeStation System. 69 samples with RIN &lt;5.5 were excluded from the study. An additional 12 samples were removed post sequencing due to evidence of sample swap or contamination, resulting in a final dataset of 387 samples with a mean RIN of 7.5 and a mean ratio of 260/280 of 2.0. (Bipolar Disorder n=70, Schizophrenia n=97, neurotypical controls n=220) RNA sequencing raw and quantified expression data is provided for 387 samples consisting of data from 387 unique individuals. Data was generated, QCed, processed and quantified as follows: All samples submitted to the New York Genome Center for RNAseq were prepared for sequencing in randomized batches of 94. The sequencing libraries were prepared using the KAPA Stranded RNAseq Kit with RiboErase (KAPA Biosystems). rRNA was depleted from 1ug of RNA using the KAPA RiboErase protocol that is integrated into the KAPA Stranded RNAseq Kit. The insert size and DNA concentration of the sequencing library was determined on Fragment Analyzer Automated CE System (Advanced Analytical) and Quant-iT PicoGreen (ThermoFisher) respectively. A pool of 10 barcoded libraries were layered on a random selection of two of the eight lanes of the Illumina flow cell at appropriate concentration and bridge amplified to ~ 250 million raw clusters. One-hundred base pair paired end reads were obtained on a HiSeq 2500. </w:t>
      </w:r>
    </w:p>
    <w:p w14:paraId="482A6620" w14:textId="77777777" w:rsidR="0077186D" w:rsidRDefault="0077186D">
      <w:pPr>
        <w:spacing w:before="0" w:line="240" w:lineRule="auto"/>
        <w:rPr>
          <w:rFonts w:ascii="Times New Roman" w:eastAsia="Times New Roman" w:hAnsi="Times New Roman" w:cs="Times New Roman"/>
          <w:color w:val="000000"/>
        </w:rPr>
      </w:pPr>
    </w:p>
    <w:p w14:paraId="1D9CAD79"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Genotyping: Genotyping was done on the Illumina_1M, Illumina_h650, and Illumina_Omni5 platform. </w:t>
      </w:r>
    </w:p>
    <w:p w14:paraId="1EB7B840" w14:textId="77777777" w:rsidR="0077186D" w:rsidRDefault="0077186D">
      <w:pPr>
        <w:spacing w:before="0" w:line="240" w:lineRule="auto"/>
        <w:rPr>
          <w:rFonts w:ascii="Times New Roman" w:eastAsia="Times New Roman" w:hAnsi="Times New Roman" w:cs="Times New Roman"/>
          <w:color w:val="000000"/>
        </w:rPr>
      </w:pPr>
    </w:p>
    <w:p w14:paraId="0924390F"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Study 8</w:t>
      </w:r>
      <w:r>
        <w:rPr>
          <w:rFonts w:ascii="Times New Roman" w:eastAsia="Times New Roman" w:hAnsi="Times New Roman" w:cs="Times New Roman"/>
          <w:color w:val="000000"/>
        </w:rPr>
        <w:t xml:space="preserve"> - LIBD_szControl + BipSeq</w:t>
      </w:r>
    </w:p>
    <w:p w14:paraId="4DADA4B4"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RNAseq: Post-mortem tissue homogenates of dorsolateral prefrontal cortex grey matter (DLPFC) approximating BA46/9 in postnatal samples and the corresponding region of PFC in fetal samples were obtained from all subjects. Total RNA was extracted from ~100 mg of tissue using the RNeasy kit (Qiagen) according to the manufacturer’s protocol. The poly-A containing RNA molecules were purified from 1 µg DNAse treated total RNA and sequencing libraries were constructed using the Illumina TruSeq© RNA Sample Preparation v2 kit. Sequencing indices/barcodes were inserted into Illumina adapters allowing samples to be multiplexed in across lanes in each flow cell. These products were then purified and enriched with PCR to create the final cDNA library for high throughput sequencing using an Illumina HiSeq 2000 with paired end 2x100bp reads. More details are available in: </w:t>
      </w:r>
      <w:hyperlink r:id="rId59">
        <w:r>
          <w:rPr>
            <w:rFonts w:ascii="Times New Roman" w:eastAsia="Times New Roman" w:hAnsi="Times New Roman" w:cs="Times New Roman"/>
            <w:color w:val="000000"/>
            <w:u w:val="single"/>
          </w:rPr>
          <w:t>https://www.biorxiv.org/content/early/2017/11/22/124321</w:t>
        </w:r>
      </w:hyperlink>
      <w:r>
        <w:rPr>
          <w:rFonts w:ascii="Times New Roman" w:eastAsia="Times New Roman" w:hAnsi="Times New Roman" w:cs="Times New Roman"/>
          <w:color w:val="000000"/>
        </w:rPr>
        <w:t xml:space="preserve"> </w:t>
      </w:r>
    </w:p>
    <w:p w14:paraId="19946655"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D2695A8"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Genotyping: SNP genotyping with HumanHap650Y_V3, Human 1M-Duo_V3, and Omni5 BeadChips (Illumina, San Diego, CA) was carried out according to the manufacturer’s instructions with DNA </w:t>
      </w:r>
      <w:r>
        <w:rPr>
          <w:rFonts w:ascii="Times New Roman" w:eastAsia="Times New Roman" w:hAnsi="Times New Roman" w:cs="Times New Roman"/>
          <w:color w:val="000000"/>
        </w:rPr>
        <w:lastRenderedPageBreak/>
        <w:t>extracted from cerebellar tissue. Genotype data were processed and normalized with the crlmm R/Bioconductor package separately by platform.</w:t>
      </w:r>
    </w:p>
    <w:p w14:paraId="7C483282" w14:textId="77777777" w:rsidR="0077186D" w:rsidRDefault="0077186D">
      <w:pPr>
        <w:spacing w:before="0" w:line="240" w:lineRule="auto"/>
        <w:rPr>
          <w:rFonts w:ascii="Times New Roman" w:eastAsia="Times New Roman" w:hAnsi="Times New Roman" w:cs="Times New Roman"/>
          <w:color w:val="000000"/>
        </w:rPr>
      </w:pPr>
    </w:p>
    <w:p w14:paraId="78C69564"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There is an overlap in the donors and samples used for CMC_HBCC and LIBD_scControl and BipSeq came from, because they originate from the same brain bank (the NIMH human brain collection core). There is therefore a set of biological replicates from the same brain region where the samples have been processed separately. The same individual ID has been used on all 3 studies. The CMC data also has a set of 10 biological replicates (all controls). The individual IDs are the same (starting with CMC_..). We included all samples (including replicates) and accounted for them using random effect mixed model.</w:t>
      </w:r>
    </w:p>
    <w:p w14:paraId="755E1A61" w14:textId="77777777" w:rsidR="0077186D" w:rsidRDefault="0077186D">
      <w:pPr>
        <w:spacing w:before="0" w:line="240" w:lineRule="auto"/>
        <w:ind w:firstLine="720"/>
        <w:rPr>
          <w:rFonts w:ascii="Times New Roman" w:eastAsia="Times New Roman" w:hAnsi="Times New Roman" w:cs="Times New Roman"/>
          <w:color w:val="000000"/>
        </w:rPr>
      </w:pPr>
    </w:p>
    <w:p w14:paraId="36270196"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 initial quality control step was taken in which all datasets were first pre-processed to remove outliers using a hierarchical clustering based global outlier detection. Samples from UCLA were subdivided into three different brain regions (vermis, Brodmann area 9, and Brodmann area 41).</w:t>
      </w:r>
    </w:p>
    <w:p w14:paraId="1174A532" w14:textId="77777777" w:rsidR="0077186D" w:rsidRDefault="0077186D">
      <w:pPr>
        <w:spacing w:before="0" w:line="240" w:lineRule="auto"/>
        <w:rPr>
          <w:rFonts w:ascii="Times New Roman" w:eastAsia="Times New Roman" w:hAnsi="Times New Roman" w:cs="Times New Roman"/>
          <w:color w:val="000000"/>
        </w:rPr>
      </w:pPr>
    </w:p>
    <w:p w14:paraId="42F23080" w14:textId="77777777" w:rsidR="0077186D" w:rsidRDefault="00E47411">
      <w:pP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gene expression data from these 9 centers were merged into one gene expression matrix, and subsequently normalized using the protocol detailed by GTEx (GTEx Consortium, 2017).</w:t>
      </w:r>
    </w:p>
    <w:p w14:paraId="603B8753" w14:textId="77777777" w:rsidR="0077186D" w:rsidRDefault="0077186D">
      <w:pPr>
        <w:spacing w:before="0" w:line="240" w:lineRule="auto"/>
        <w:rPr>
          <w:rFonts w:ascii="Times New Roman" w:eastAsia="Times New Roman" w:hAnsi="Times New Roman" w:cs="Times New Roman"/>
        </w:rPr>
      </w:pPr>
    </w:p>
    <w:p w14:paraId="66C35969" w14:textId="77777777" w:rsidR="0077186D" w:rsidRDefault="0077186D">
      <w:pPr>
        <w:spacing w:before="0" w:line="240" w:lineRule="auto"/>
        <w:rPr>
          <w:rFonts w:ascii="Times New Roman" w:eastAsia="Times New Roman" w:hAnsi="Times New Roman" w:cs="Times New Roman"/>
        </w:rPr>
      </w:pPr>
    </w:p>
    <w:p w14:paraId="2E217F8A" w14:textId="77777777" w:rsidR="00D800F0" w:rsidRDefault="00D800F0">
      <w:pPr>
        <w:spacing w:before="0" w:line="240" w:lineRule="auto"/>
        <w:rPr>
          <w:rFonts w:ascii="Times New Roman" w:eastAsia="Times New Roman" w:hAnsi="Times New Roman" w:cs="Times New Roman"/>
        </w:rPr>
      </w:pPr>
    </w:p>
    <w:p w14:paraId="5626A22B" w14:textId="77777777" w:rsidR="00D800F0" w:rsidRDefault="00D800F0">
      <w:pPr>
        <w:spacing w:before="0" w:line="240" w:lineRule="auto"/>
        <w:rPr>
          <w:rFonts w:ascii="Times New Roman" w:eastAsia="Times New Roman" w:hAnsi="Times New Roman" w:cs="Times New Roman"/>
        </w:rPr>
      </w:pPr>
    </w:p>
    <w:p w14:paraId="23282354" w14:textId="77777777" w:rsidR="00D800F0" w:rsidRDefault="00D800F0">
      <w:pPr>
        <w:spacing w:before="0" w:line="240" w:lineRule="auto"/>
        <w:rPr>
          <w:rFonts w:ascii="Times New Roman" w:eastAsia="Times New Roman" w:hAnsi="Times New Roman" w:cs="Times New Roman"/>
        </w:rPr>
      </w:pPr>
    </w:p>
    <w:p w14:paraId="4CDECABB" w14:textId="77777777" w:rsidR="007822DE" w:rsidRDefault="007822DE">
      <w:pPr>
        <w:pStyle w:val="Heading1"/>
        <w:spacing w:before="200" w:after="280" w:line="273" w:lineRule="auto"/>
        <w:rPr>
          <w:sz w:val="44"/>
          <w:szCs w:val="44"/>
        </w:rPr>
      </w:pPr>
      <w:bookmarkStart w:id="58" w:name="_gcgze02sejsn" w:colFirst="0" w:colLast="0"/>
      <w:bookmarkEnd w:id="58"/>
    </w:p>
    <w:p w14:paraId="1A143676" w14:textId="77777777" w:rsidR="007822DE" w:rsidRDefault="007822DE">
      <w:pPr>
        <w:pStyle w:val="Heading1"/>
        <w:spacing w:before="200" w:after="280" w:line="273" w:lineRule="auto"/>
        <w:rPr>
          <w:sz w:val="44"/>
          <w:szCs w:val="44"/>
        </w:rPr>
      </w:pPr>
    </w:p>
    <w:p w14:paraId="147A0E22" w14:textId="77777777" w:rsidR="007822DE" w:rsidRDefault="007822DE">
      <w:pPr>
        <w:pStyle w:val="Heading1"/>
        <w:spacing w:before="200" w:after="280" w:line="273" w:lineRule="auto"/>
        <w:rPr>
          <w:sz w:val="44"/>
          <w:szCs w:val="44"/>
        </w:rPr>
      </w:pPr>
    </w:p>
    <w:p w14:paraId="297CE9D9" w14:textId="77777777" w:rsidR="007822DE" w:rsidRDefault="007822DE">
      <w:pPr>
        <w:pStyle w:val="Heading1"/>
        <w:spacing w:before="200" w:after="280" w:line="273" w:lineRule="auto"/>
        <w:rPr>
          <w:sz w:val="44"/>
          <w:szCs w:val="44"/>
        </w:rPr>
      </w:pPr>
    </w:p>
    <w:p w14:paraId="3823E5DA" w14:textId="77777777" w:rsidR="007822DE" w:rsidRDefault="007822DE">
      <w:pPr>
        <w:pStyle w:val="Heading1"/>
        <w:spacing w:before="200" w:after="280" w:line="273" w:lineRule="auto"/>
        <w:rPr>
          <w:sz w:val="44"/>
          <w:szCs w:val="44"/>
        </w:rPr>
      </w:pPr>
    </w:p>
    <w:p w14:paraId="5435A2A1" w14:textId="77777777" w:rsidR="007822DE" w:rsidRDefault="007822DE">
      <w:pPr>
        <w:pStyle w:val="Heading1"/>
        <w:spacing w:before="200" w:after="280" w:line="273" w:lineRule="auto"/>
        <w:rPr>
          <w:sz w:val="44"/>
          <w:szCs w:val="44"/>
        </w:rPr>
      </w:pPr>
    </w:p>
    <w:p w14:paraId="28ACCA70" w14:textId="77777777" w:rsidR="007822DE" w:rsidRDefault="007822DE">
      <w:pPr>
        <w:pStyle w:val="Heading1"/>
        <w:spacing w:before="200" w:after="280" w:line="273" w:lineRule="auto"/>
        <w:rPr>
          <w:sz w:val="44"/>
          <w:szCs w:val="44"/>
        </w:rPr>
      </w:pPr>
    </w:p>
    <w:p w14:paraId="07DEFD43" w14:textId="77777777" w:rsidR="007822DE" w:rsidRDefault="007822DE">
      <w:pPr>
        <w:pStyle w:val="Heading1"/>
        <w:spacing w:before="200" w:after="280" w:line="273" w:lineRule="auto"/>
        <w:rPr>
          <w:sz w:val="44"/>
          <w:szCs w:val="44"/>
        </w:rPr>
      </w:pPr>
    </w:p>
    <w:p w14:paraId="10A6AD43" w14:textId="77777777" w:rsidR="007822DE" w:rsidRDefault="007822DE">
      <w:pPr>
        <w:pStyle w:val="Heading1"/>
        <w:spacing w:before="200" w:after="280" w:line="273" w:lineRule="auto"/>
        <w:rPr>
          <w:sz w:val="44"/>
          <w:szCs w:val="44"/>
        </w:rPr>
      </w:pPr>
    </w:p>
    <w:p w14:paraId="6F49FE50" w14:textId="77777777" w:rsidR="0077186D" w:rsidRPr="007C5C6F" w:rsidRDefault="00E47411">
      <w:pPr>
        <w:pStyle w:val="Heading1"/>
        <w:spacing w:before="200" w:after="280" w:line="273" w:lineRule="auto"/>
        <w:rPr>
          <w:rFonts w:ascii="Helvetica" w:hAnsi="Helvetica"/>
          <w:sz w:val="44"/>
          <w:szCs w:val="44"/>
        </w:rPr>
      </w:pPr>
      <w:r w:rsidRPr="007C5C6F">
        <w:rPr>
          <w:rFonts w:ascii="Helvetica" w:hAnsi="Helvetica"/>
          <w:sz w:val="44"/>
          <w:szCs w:val="44"/>
        </w:rPr>
        <w:lastRenderedPageBreak/>
        <w:t>S10. References in supplement</w:t>
      </w:r>
    </w:p>
    <w:p w14:paraId="04AE35DB"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Darmanis S, Sloan SA, Zhang Y, Enge M, Caneda C, Shuer LM, Gephart MG, Barres BA, Quake SR. A survey of human brain transcriptome diversity at the single cell level. Proceedings of the National Academy of Sciences. 2015 Jun 9;112(23):7285-90.</w:t>
      </w:r>
    </w:p>
    <w:p w14:paraId="2A54D087" w14:textId="77777777" w:rsidR="0077186D" w:rsidRDefault="00E47411">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Das S, Forer L, Schönherr S, Sidore C, Locke AE, Kwong A, Vrieze S, Chew EY, Levy S, McGue M, Schlessinger D, Stambolian D, Loh PR, Iacono WG, Swaroop A, Scott LJ, Cucca F, Kronenberg F, Boehnke M, Abecasis GR, Fuchsberger C. Next-generation genotype imputation service and methods. </w:t>
      </w:r>
      <w:r>
        <w:rPr>
          <w:rFonts w:ascii="Times New Roman" w:eastAsia="Times New Roman" w:hAnsi="Times New Roman" w:cs="Times New Roman"/>
          <w:i/>
          <w:color w:val="333333"/>
          <w:sz w:val="18"/>
          <w:szCs w:val="18"/>
        </w:rPr>
        <w:t>Nature Genetics</w:t>
      </w:r>
      <w:r>
        <w:rPr>
          <w:rFonts w:ascii="Times New Roman" w:eastAsia="Times New Roman" w:hAnsi="Times New Roman" w:cs="Times New Roman"/>
          <w:color w:val="333333"/>
          <w:sz w:val="18"/>
          <w:szCs w:val="18"/>
        </w:rPr>
        <w:t xml:space="preserve"> 2016</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333333"/>
          <w:sz w:val="18"/>
          <w:szCs w:val="18"/>
        </w:rPr>
        <w:t xml:space="preserve">48):1284–1287 </w:t>
      </w:r>
    </w:p>
    <w:p w14:paraId="12D086D7"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Delaneau O, Ongen H, Brown AA, Fort A, Panousis NI, Dermitzakis ET. A complete tool set for molecular QTL discovery and analysis. Nature communications. 2017 May 18;8:15452.</w:t>
      </w:r>
    </w:p>
    <w:p w14:paraId="64D197A2"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Demontis, D., R. K. Walters, J. Martin, M. Mattheisen, T. D. Als, E. Agerbo, R. Belliveau, J. Bybjerg-Grauholm, M. Bækved-Hansen, F. Cerrato, K. Chambert, C. Churchhouse, A. Dumont, N. Eriksson, M. Gandal, J. Goldstein, J. Grove, C. S. Hansen, M. Hauberg, M. Hollegaard, D. P. Howrigan, H. Huang, J. Maller, A. R. Martin, J. Moran, J. Pallesen, D. S. Palmer, C. B. Pedersen, M. G. Pedersen, T. Poterba, J. B. Poulsen, S. Ripke, E. B. Robinson, F. K. Satterstrom, C. Stevens, P. Turley, H. Won, O. A. Andreassen, C. Burton, D. Boomsma, B. Cormand, S. Dalsgaard, B. Franke, J. Gelernter, D. Geschwind, H. Hakonarson, J. Haavik, H. Kranzler, J. Kuntsi, K. Langley, K.-P. Lesch, C. Middeldorp, A. Reif, L. A. Rohde, P. Roussos, R. Schachar, P. Sklar, E. Sonuga-Barke, P. F. Sullivan, A. Thapar, J. Tung, I. Waldman, M. Nordentoft, D. M. Hougaard, T. Werge, O. Mors, P. B. Mortensen, M. J. Daly, S. V. Faraone, A. D. Børglum and B. M. Neale (2017). "Discovery Of The First Genome-Wide Significant Risk Loci For ADHD." bioRxiv.</w:t>
      </w:r>
    </w:p>
    <w:p w14:paraId="57B2FE29"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Falconer, D.S. and MacKay T.F.C. (1996) Introduction to Quantitative Genetics, Ed 4. Longmans Green, Harlow, Essex, UK.</w:t>
      </w:r>
    </w:p>
    <w:p w14:paraId="08CD62B5"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Finucane, H. K., B. Bulik-Sullivan, A. Gusev, G. Trynka, Y. Reshef, P. R. Loh, V. Anttila, H. Xu, C. Zang, K. Farh, S. Ripke, F. R. Day, C. ReproGen, C. Schizophrenia Working Group of the Psychiatric Genomics, R. Consortium, S. Purcell, E. Stahl, S. Lindstrom, J. R. Perry, Y. Okada, S. Raychaudhuri, M. J. Daly, N. Patterson, B. M. Neale and A. L. Price (2015). "Partitioning heritability by functional annotation using genome-wide association summary statistics." Nat Genet 47(11): 1228-1235.</w:t>
      </w:r>
    </w:p>
    <w:p w14:paraId="4A507E3D"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Fromer M, Roussos P, Sieberts SK, Johnson JS, Kavanagh DH, Perumal TM, Ruderfer DM, Oh EC, Topol A, Shah HR, Klei LL. Gene expression elucidates functional impact of polygenic risk for schizophrenia. Nature neuroscience. 2016 Nov;19(11):1442.</w:t>
      </w:r>
    </w:p>
    <w:p w14:paraId="0D07C4C0"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Gandal, M.J. et al. Dysregulation of cortical splicing, isoform and noncoding gene regulatory networks in ASD, schizophrenia, and bipolar disorder. </w:t>
      </w:r>
      <w:r>
        <w:rPr>
          <w:rFonts w:ascii="Times New Roman" w:eastAsia="Times New Roman" w:hAnsi="Times New Roman" w:cs="Times New Roman"/>
          <w:i/>
          <w:sz w:val="18"/>
          <w:szCs w:val="18"/>
        </w:rPr>
        <w:t>(Submitted)</w:t>
      </w:r>
      <w:r>
        <w:rPr>
          <w:rFonts w:ascii="Times New Roman" w:eastAsia="Times New Roman" w:hAnsi="Times New Roman" w:cs="Times New Roman"/>
          <w:sz w:val="18"/>
          <w:szCs w:val="18"/>
        </w:rPr>
        <w:t>.</w:t>
      </w:r>
    </w:p>
    <w:p w14:paraId="7E13C460"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Giambartolomei C, Vukcevic D, Schadt EE, Franke L, Hingorani AD, Wallace C, Plagnol V. Bayesian test for colocalisation between pairs of genetic association studies using summary statistics. PLoS genetics. 2014 May 15;10(5):e1004383.</w:t>
      </w:r>
    </w:p>
    <w:p w14:paraId="576193C8"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color w:val="2A2A2A"/>
          <w:sz w:val="18"/>
          <w:szCs w:val="18"/>
          <w:highlight w:val="white"/>
        </w:rPr>
        <w:t xml:space="preserve">Grant C.E., Bailey T.L., Noble W.S. FIMO: scanning for occurrences of a given motif (2011). </w:t>
      </w:r>
      <w:r>
        <w:rPr>
          <w:rFonts w:ascii="Times New Roman" w:eastAsia="Times New Roman" w:hAnsi="Times New Roman" w:cs="Times New Roman"/>
          <w:i/>
          <w:color w:val="2A2A2A"/>
          <w:sz w:val="18"/>
          <w:szCs w:val="18"/>
          <w:highlight w:val="white"/>
        </w:rPr>
        <w:t>Bioinformatics</w:t>
      </w:r>
      <w:r>
        <w:rPr>
          <w:rFonts w:ascii="Times New Roman" w:eastAsia="Times New Roman" w:hAnsi="Times New Roman" w:cs="Times New Roman"/>
          <w:color w:val="2A2A2A"/>
          <w:sz w:val="18"/>
          <w:szCs w:val="18"/>
          <w:highlight w:val="white"/>
        </w:rPr>
        <w:t xml:space="preserve"> 27 (7): 1017–1018.</w:t>
      </w:r>
    </w:p>
    <w:p w14:paraId="556F31B4"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Grove, J., S. Ripke, T. D. Als, M. Mattheisen, R. Walters, H. Won, J. Pallesen, E. Agerbo, O. A. Andreassen, R. Anney, R. Belliveau, F. Bettella, J. D. Buxbaum, J. Bybjerg-Grauholm, M. Bækved-Hansen, F. Cerrato, K. Chambert, J. H. Christensen, C. Churchhouse, K. Dellenvall, D. Demontis, S. De Rubeis, B. Devlin, S. Djurovic, A. Dumont, J. Goldstein, C. S. Hansen, M. E. Hauberg, M. V. Hollegaard, S. Hope, D. P. Howrigan, H. Huang, C. Hultman, L. Klei, J. Maller, J. Martin, A. R. Martin, J. Moran, M. Nyegaard, T. Nærland, D. S. Palmer, A. Palotie, C. B. Pedersen, M. G. Pedersen, T. Poterba, J. B. Poulsen, B. St Pourcain, P. Qvist, K. Rehnström, A. Reichenberg, J. Reichert, E. B. Robinson, K. Roeder, P. Roussos, E. Saemundsen, S. Sandin, F. K. Satterstrom, G. D. Smith, H. Stefansson, K. Stefansson, C. Steinberg, C. Stevens, P. F. Sullivan, P. Turley, G. B. Walters, X. Xu, D. Geschwind, M. Nordentoft, D. M. Hougaard, T. Werge, O. Mors, P. B. Mortensen, B. M. Neale, M. J. Daly, A. D. Børglum and a. R. Team (2017). "Common risk variants identified in autism spectrum disorder." bioRxiv.</w:t>
      </w:r>
    </w:p>
    <w:p w14:paraId="25D29C43"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GTEx Consortium. Genetic effects on gene expression across human tissues. Nature. 2017 Oct;550(7675):204.</w:t>
      </w:r>
    </w:p>
    <w:p w14:paraId="1BC16FF6"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Hill WG, Mackay TF. DS Falconer and Introduction to quantitative genetics. Genetics. 2004 Aug 1;167(4):1529-36.</w:t>
      </w:r>
    </w:p>
    <w:p w14:paraId="66F0FDFE"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Hinton GE. A practical guide to training restricted Boltzmann machines. In Neural networks: Tricks of the trade 2012 (pp. 599-619). Springer, Berlin, Heidelberg.</w:t>
      </w:r>
    </w:p>
    <w:p w14:paraId="464CDA01"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Howard, D. M., M. J. Adams, M. Shirali, T.-K. Clarke, R. E. Marioni, G. Davies, J. R. I. Coleman, C. Alloza, X. Shen, M. C. Barbu, E. M. Wigmore, S. Hagenaars, C. M. Lewis, D. J. Smith, P. F. Sullivan, C. S. Haley, G. Breen, I. J. Deary and A. M. McIntosh (2017). "Genome-wide association study of depression phenotypes in UK Biobank (n = 322,580) identifies the enrichment of variants in excitatory synaptic pathways." bioRxiv.</w:t>
      </w:r>
    </w:p>
    <w:p w14:paraId="0D544550"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International Schizophrenia Consortium. Common polygenic variation contributes to risk of schizophrenia and bipolar disorder. Nature. 2009 Aug;460(7256):748.</w:t>
      </w:r>
    </w:p>
    <w:p w14:paraId="74F3C595"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Jaffe AE, Gao Y, Deep-Soboslay A, Tao R, Hyde TM, Weinberger DR, Kleinman JE. Mapping DNA methylation across development, genotype and schizophrenia in the human frontal cortex. Nature neuroscience. 2016 Jan;19(1):40.</w:t>
      </w:r>
    </w:p>
    <w:p w14:paraId="46EFD5D2"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Johnstone IM, Lu AY. On consistency and sparsity for principal components analysis in high dimensions. Journal of the American Statistical Association. 2009 Jun 1;104(486):682-93.</w:t>
      </w:r>
    </w:p>
    <w:p w14:paraId="79EABA51"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Kang HJ, Kawasawa YI, Cheng F, Zhu Y, Xu X, Li M, Sousa AM, Pletikos M, Meyer KA, Sedmak G, Guennel T. Spatio-temporal transcriptome of the human brain. Nature. 2011 Oct;478(7370):483.</w:t>
      </w:r>
    </w:p>
    <w:p w14:paraId="3CFABE3F"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Koller, D. and Friedmann, N.. Probabilistic Graphical Models, 2009.</w:t>
      </w:r>
    </w:p>
    <w:p w14:paraId="7A61446F" w14:textId="27F0B876"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Kundaje A, Meuleman W, Ernst J, Bilenky M, Yen A, Heravi-Moussavi A, Kheradpour P, Zhang Z, Wang J, Ziller MJ, Amin V. Integrative analysis of 111 reference human epigenomes. Nature. 2015 Feb;518(7539):317.</w:t>
      </w:r>
    </w:p>
    <w:p w14:paraId="58E1613B" w14:textId="26F146A6" w:rsidR="00105561" w:rsidRDefault="00105561">
      <w:pPr>
        <w:rPr>
          <w:rFonts w:ascii="Times New Roman" w:eastAsia="Times New Roman" w:hAnsi="Times New Roman" w:cs="Times New Roman"/>
          <w:sz w:val="18"/>
          <w:szCs w:val="18"/>
        </w:rPr>
      </w:pPr>
      <w:r w:rsidRPr="00105561">
        <w:rPr>
          <w:rFonts w:ascii="Times New Roman" w:eastAsia="Times New Roman" w:hAnsi="Times New Roman" w:cs="Times New Roman"/>
          <w:sz w:val="18"/>
          <w:szCs w:val="18"/>
        </w:rPr>
        <w:t>Kundakovic M, Jiang Y, Kavanagh DH, Dincer A, Brown L, Pothula V, Zharovsky E, Park R, Jacobov R, Magro I, Kassim B, Wiseman J, Dang K, Sieberts SK, Roussos P, Fromer M, Harris B, Lipska BK, Peters MA, Sklar P, Akbarian S. Practical Guidelines for High-Resolution Epigenomic Profiling of Nucleosomal Histones in Postmortem Human Brain Tissue. Biol Psychiatry. 2017;81(2):162-70. doi: 10.1016/j.biopsych.2016.03.1048.</w:t>
      </w:r>
    </w:p>
    <w:p w14:paraId="008B5675"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Lake BB, Ai R, Kaeser GE, Salathia NS, Yung YC, Liu R, Wildberg A, Gao D, Fung HL, Chen S, Vijayaraghavan R. Neuronal subtypes and diversity revealed by single-nucleus RNA sequencing of the human brain. Science. 2016 Jun 24;352(6293):1586-90.</w:t>
      </w:r>
    </w:p>
    <w:p w14:paraId="7C806AFE"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Lambert, J. C., C. A. Ibrahim-Verbaas, D. Harold, A. C. Naj, R. Sims, C. Bellenguez, A. L. DeStafano, J. C. Bis, G. W. Beecham, B. Grenier-Boley, G. Russo, T. A. Thorton-Wells, N. Jones, A. V. Smith, V. Chouraki, C. Thomas, M. A. Ikram, D. Zelenika, B. N. Vardarajan, Y. Kamatani, C. F. Lin, A. Gerrish, H. Schmidt, B. Kunkle, M. L. Dunstan, A. Ruiz, M. T. Bihoreau, S. H. Choi, C. Reitz, F. Pasquier, C. Cruchaga, D. Craig, N. Amin, C. Berr, O. L. Lopez, P. L. De Jager, V. Deramecourt, J. A. Johnston, D. Evans, S. Lovestone, L. Letenneur, F. J. Moron, D. C. Rubinsztein, G. Eiriksdottir, K. Sleegers, A. M. Goate, N. Fievet, M. W. Huentelman, M. Gill, K. Brown, M. I. Kamboh, L. Keller, P. Barberger-Gateau, B. McGuiness, E. B. Larson, R. Green, A. J. Myers, C. Dufouil, S. Todd, D. Wallon, S. Love, E. Rogaeva, J. Gallacher, P. St George-Hyslop, J. Clarimon, A. Lleo, A. Bayer, D. W. Tsuang, L. Yu, M. Tsolaki, P. Bossu, G. Spalletta, P. Proitsi, J. Collinge, S. Sorbi, F. Sanchez-Garcia, N. C. Fox, J. Hardy, M. C. Deniz Naranjo, P. Bosco, R. Clarke, C. Brayne, D. Galimberti, M. Mancuso, F. Matthews, I. European Alzheimer's Disease, Genetic, D. Environmental Risk in Alzheimer's, C. Alzheimer's Disease Genetic, H. Cohorts for, E. Aging Research in Genomic, S. Moebus, P. Mecocci, M. Del Zompo, W. Maier, H. Hampel, A. Pilotto, M. Bullido, F. Panza, P. Caffarra, B. Nacmias, J. R. Gilbert, M. Mayhaus, L. Lannefelt, H. Hakonarson, S. Pichler, M. M. Carrasquillo, M. Ingelsson, D. Beekly, V. Alvarez, F. Zou, O. Valladares, S. G. Younkin, E. Coto, K. L. Hamilton-Nelson, W. Gu, C. Razquin, P. Pastor, I. Mateo, M. J. Owen, K. M. Faber, P. V. Jonsson, O. Combarros, M. C. O'Donovan, L. B. Cantwell, H. Soininen, D. Blacker, S. Mead, T. H. Mosley, Jr., D. A. Bennett, T. B. Harris, L. Fratiglioni, C. Holmes, R. F. de Bruijn, P. Passmore, T. J. Montine, K. Bettens, J. I. Rotter, A. Brice, K. Morgan, T. M. Foroud, W. A. Kukull, D. Hannequin, J. F. Powell, M. A. Nalls, K. Ritchie, K. L. Lunetta, J. S. Kauwe, E. Boerwinkle, M. Riemenschneider, M. Boada, M. Hiltuenen, E. R. Martin, R. Schmidt, D. Rujescu, L. </w:t>
      </w:r>
      <w:r>
        <w:rPr>
          <w:rFonts w:ascii="Times New Roman" w:eastAsia="Times New Roman" w:hAnsi="Times New Roman" w:cs="Times New Roman"/>
          <w:sz w:val="18"/>
          <w:szCs w:val="18"/>
        </w:rPr>
        <w:lastRenderedPageBreak/>
        <w:t xml:space="preserve">S. Wang, J. F. Dartigues, R. Mayeux, C. Tzourio, A. Hofman, M. M. Nothen, C. Graff, B. M. Psaty, L. Jones, J. L. Haines, P. A. Holmans, M. Lathrop, M. A. Pericak-Vance, L. J. Launer, L. A. Farrer, C. M. van Duijn, C. Van Broeckhoven, V. Moskvina, S. Seshadri, J. Williams, G. D. Schellenberg and P. Amouyel (2013). "Meta-analysis of 74,046 individuals identifies 11 new susceptibility loci for Alzheimer's disease." </w:t>
      </w:r>
      <w:r>
        <w:rPr>
          <w:rFonts w:ascii="Times New Roman" w:eastAsia="Times New Roman" w:hAnsi="Times New Roman" w:cs="Times New Roman"/>
          <w:sz w:val="18"/>
          <w:szCs w:val="18"/>
          <w:u w:val="single"/>
        </w:rPr>
        <w:t>Nat Genet</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45</w:t>
      </w:r>
      <w:r>
        <w:rPr>
          <w:rFonts w:ascii="Times New Roman" w:eastAsia="Times New Roman" w:hAnsi="Times New Roman" w:cs="Times New Roman"/>
          <w:sz w:val="18"/>
          <w:szCs w:val="18"/>
        </w:rPr>
        <w:t>(12): 1452-1458.</w:t>
      </w:r>
    </w:p>
    <w:p w14:paraId="65957DB8"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Langfelder P, Zhang B, Horvath S. Defining clusters from a hierarchical cluster tree: the Dynamic Tree Cut package for R. Bioinformatics. 2007 Nov 16;24(5):719-20.</w:t>
      </w:r>
    </w:p>
    <w:p w14:paraId="3304F35B"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Li, M. et al., Integrative Functional Genomic Analysis of Human Brain Development and Neuropsychiatric Risk. </w:t>
      </w:r>
      <w:r>
        <w:rPr>
          <w:rFonts w:ascii="Times New Roman" w:eastAsia="Times New Roman" w:hAnsi="Times New Roman" w:cs="Times New Roman"/>
          <w:i/>
          <w:sz w:val="18"/>
          <w:szCs w:val="18"/>
        </w:rPr>
        <w:t>(Submitted)</w:t>
      </w:r>
      <w:r>
        <w:rPr>
          <w:rFonts w:ascii="Times New Roman" w:eastAsia="Times New Roman" w:hAnsi="Times New Roman" w:cs="Times New Roman"/>
          <w:sz w:val="18"/>
          <w:szCs w:val="18"/>
        </w:rPr>
        <w:t>.</w:t>
      </w:r>
    </w:p>
    <w:p w14:paraId="5FF8B908"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Li H, Courtois ET, Sengupta D, Tan Y, Chen KH, Goh JJ, Kong SL, Chua C, Hon LK, Tan WS, Wong M. Reference component analysis of single-cell transcriptomes elucidates cellular heterogeneity in human colorectal tumors. Nature genetics. 2017 May;49(5):708.</w:t>
      </w:r>
    </w:p>
    <w:p w14:paraId="63DF52FA"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Liu, J. Z., S. van Sommeren, H. Huang, S. C. Ng, R. Alberts, A. Takahashi, S. Ripke, J. C. Lee, L. Jostins, T. Shah, S. Abedian, J. H. Cheon, J. Cho, N. E. Dayani, L. Franke, Y. Fuyuno, A. Hart, R. C. Juyal, G. Juyal, W. H. Kim, A. P. Morris, H. Poustchi, W. G. Newman, V. Midha, T. R. Orchard, H. Vahedi, A. Sood, J. Y. Sung, R. Malekzadeh, H. J. Westra, K. Yamazaki, S. K. Yang, C. International Multiple Sclerosis Genetics, I. B. D. G. C. International, J. C. Barrett, B. Z. Alizadeh, M. Parkes, T. Bk, M. J. Daly, M. Kubo, C. A. Anderson and R. K. Weersma (2015). "Association analyses identify 38 susceptibility loci for inflammatory bowel disease and highlight shared genetic risk across populations." Nat Genet 47(9): 979-986.</w:t>
      </w:r>
    </w:p>
    <w:p w14:paraId="097F3051"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Maaten LV, Hinton G. Visualizing data using t-SNE. Journal of machine learning research. 2008;9(Nov):2579-605.</w:t>
      </w:r>
    </w:p>
    <w:p w14:paraId="6F6D51B0"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Marshall, CR., et al. "Contribution of copy number variants to schizophrenia from a genome-wide study of 41,321 subjects." Nature genetics 49.1 (2017): 27.</w:t>
      </w:r>
    </w:p>
    <w:p w14:paraId="4FE3CAF7"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McCarthy DJ, Campbell KR, Lun AT, Wills QF. Scater: pre-processing, quality control, normalization and visualization of single-cell RNA-seq data in R. Bioinformatics. 2017 Jan 14;33(8):1179-86.</w:t>
      </w:r>
    </w:p>
    <w:p w14:paraId="70EE53A6"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McLean CY, Bristor D, Hiller M, Clarke SL, Schaar BT, Lowe CB, Wenger AM, Bejerano G. GREAT improves functional interpretation of cis-regulatory regions. Nature biotechnology. 2010 May;28(5):495.</w:t>
      </w:r>
    </w:p>
    <w:p w14:paraId="020BF30E"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Mnih V, Larochelle H, Hinton GE. Conditional restricted boltzmann machines for structured output prediction. arXiv preprint arXiv:1202.3748. 2012 Feb 14.</w:t>
      </w:r>
    </w:p>
    <w:p w14:paraId="1F781B5B"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Morris, A. P., B. F. Voight, T. M. Teslovich, T. Ferreira, A. V. Segre, V. Steinthorsdottir, R. J. Strawbridge, H. Khan, H. Grallert, A. Mahajan, I. Prokopenko, H. M. Kang, C. Dina, T. Esko, R. M. Fraser, S. Kanoni, A. Kumar, V. Lagou, C. Langenberg, J. Luan, C. M. Lindgren, M. Muller-Nurasyid, S. Pechlivanis, N. W. Rayner, L. J. Scott, S. Wiltshire, L. Yengo, L. Kinnunen, E. J. Rossin, S. Raychaudhuri, A. D. Johnson, A. S. Dimas, R. J. Loos, S. Vedantam, H. Chen, J. C. Florez, C. Fox, C. T. Liu, D. Rybin, D. J. Couper, W. H. Kao, M. Li, M. C. Cornelis, P. Kraft, Q. Sun, R. M. van Dam, H. M. Stringham, P. S. Chines, K. Fischer, P. Fontanillas, O. L. Holmen, S. E. Hunt, A. U. Jackson, A. Kong, R. Lawrence, J. Meyer, J. R. Perry, C. G. Platou, S. Potter, E. Rehnberg, N. Robertson, S. Sivapalaratnam, A. Stancakova, K. Stirrups, G. Thorleifsson, E. Tikkanen, A. R. Wood, P. Almgren, M. Atalay, R. Benediktsson, L. L. Bonnycastle, N. Burtt, J. Carey, G. Charpentier, A. T. Crenshaw, A. S. Doney, M. Dorkhan, S. Edkins, V. Emilsson, E. Eury, T. Forsen, K. Gertow, B. Gigante, G. B. Grant, C. J. Groves, C. Guiducci, C. Herder, A. B. Hreidarsson, J. Hui, A. James, A. Jonsson, W. Rathmann, N. Klopp, J. Kravic, K. Krjutskov, C. Langford, K. Leander, E. Lindholm, S. Lobbens, S. Mannisto, G. Mirza, T. W. Muhleisen, B. Musk, M. Parkin, L. Rallidis, J. Saramies, B. Sennblad, S. Shah, G. Sigurethsson, A. Silveira, G. Steinbach, B. Thorand, J. Trakalo, F. Veglia, R. Wennauer, W. Winckler, D. Zabaneh, H. Campbell, C. van Duijn, A. G. Uitterlinden, A. Hofman, E. Sijbrands, G. R. Abecasis, K. R. Owen, E. Zeggini, M. D. Trip, N. G. Forouhi, A. C. Syvanen, J. G. Eriksson, L. Peltonen, M. M. Nothen, B. Balkau, C. N. Palmer, V. Lyssenko, T. Tuomi, B. Isomaa, D. J. Hunter, L. Qi, C. Wellcome Trust Case Control, G. Meta-Analyses of, I. Insulin-related traits Consortium, A. T. C. Genetic Investigation of, C. Asian Genetic Epidemiology Network-Type 2 Diabetes, C. South Asian Type 2 Diabetes, A. R. Shuldiner, M. Roden, I. Barroso, T. Wilsgaard, J. Beilby, K. Hovingh, J. F. Price, J. F. Wilson, R. Rauramaa, T. A. Lakka, L. Lind, G. Dedoussis, I. Njolstad, N. L. Pedersen, K. T. Khaw, N. J. Wareham, S. M. Keinanen-Kiukaanniemi, T. E. </w:t>
      </w:r>
      <w:r>
        <w:rPr>
          <w:rFonts w:ascii="Times New Roman" w:eastAsia="Times New Roman" w:hAnsi="Times New Roman" w:cs="Times New Roman"/>
          <w:sz w:val="18"/>
          <w:szCs w:val="18"/>
        </w:rPr>
        <w:lastRenderedPageBreak/>
        <w:t>Saaristo, E. Korpi-Hyovalti, J. Saltevo, M. Laakso, J. Kuusisto, A. Metspalu, F. S. Collins, K. L. Mohlke, R. N. Bergman, J. Tuomilehto, B. O. Boehm, C. Gieger, K. Hveem, S. Cauchi, P. Froguel, D. Baldassarre, E. Tremoli, S. E. Humphries, D. Saleheen, J. Danesh, E. Ingelsson, S. Ripatti, V. Salomaa, R. Erbel, K. H. Jockel, S. Moebus, A. Peters, T. Illig, U. de Faire, A. Hamsten, A. D. Morris, P. J. Donnelly, T. M. Frayling, A. T. Hattersley, E. Boerwinkle, O. Melander, S. Kathiresan, P. M. Nilsson, P. Deloukas, U. Thorsteinsdottir, L. C. Groop, K. Stefansson, F. Hu, J. S. Pankow, J. Dupuis, J. B. Meigs, D. Altshuler, M. Boehnke, M. I. McCarthy, D. I. G. Replication and C. Meta-analysis (2012). "Large-scale association analysis provides insights into the genetic architecture and pathophysiology of type 2 diabetes." Nat Genet 44(9): 981-990.</w:t>
      </w:r>
    </w:p>
    <w:p w14:paraId="5DBE3F89"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Newman AM, Liu CL, Green MR, Gentles AJ, Feng W, Xu Y, Hoang CD, Diehn M, Alizadeh AA. Robust enumeration of cell subsets from tissue expression profiles. Nature methods. 2015 May;12(5):453.</w:t>
      </w:r>
    </w:p>
    <w:p w14:paraId="66985491"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Ng B, White CC, Klein HU, Sieberts SK, McCabe C, Patrick E, Xu J, Yu L, Gaiteri C, Bennett DA, Mostafavi S, De Jager PL. An xQTL map integrates the genetic architecture of the human brain's transcriptome and epigenome. Nat Neurosci. 2017;20(10):1418-26.</w:t>
      </w:r>
    </w:p>
    <w:p w14:paraId="7CF12ACB"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Okbay, A., J. P. Beauchamp, M. A. Fontana, J. J. Lee, T. H. Pers, C. A. Rietveld, P. Turley, G. B. Chen, V. Emilsson, S. F. Meddens, S. Oskarsson, J. K. Pickrell, K. Thom, P. Timshel, R. de Vlaming, A. Abdellaoui, T. S. Ahluwalia, J. Bacelis, C. Baumbach, G. Bjornsdottir, J. H. Brandsma, M. Pina Concas, J. Derringer, N. A. Furlotte, T. E. Galesloot, G. Girotto, R. Gupta, L. M. Hall, S. E. Harris, E. Hofer, M. Horikoshi, J. E. Huffman, K. Kaasik, I. P. Kalafati, R. Karlsson, A. Kong, J. Lahti, S. J. van der Lee, C. deLeeuw, P. A. Lind, K. O. Lindgren, T. Liu, M. Mangino, J. Marten, E. Mihailov, M. B. Miller, P. J. van der Most, C. Oldmeadow, A. Payton, N. Pervjakova, W. J. Peyrot, Y. Qian, O. Raitakari, R. Rueedi, E. Salvi, B. Schmidt, K. E. Schraut, J. Shi, A. V. Smith, R. A. Poot, B. St Pourcain, A. Teumer, G. Thorleifsson, N. Verweij, D. Vuckovic, J. Wellmann, H. J. Westra, J. Yang, W. Zhao, Z. Zhu, B. Z. Alizadeh, N. Amin, A. Bakshi, S. E. Baumeister, G. Biino, K. Bonnelykke, P. A. Boyle, H. Campbell, F. P. Cappuccio, G. Davies, J. E. De Neve, P. Deloukas, I. Demuth, J. Ding, P. Eibich, L. Eisele, N. Eklund, D. M. Evans, J. D. Faul, M. F. Feitosa, A. J. Forstner, I. Gandin, B. Gunnarsson, B. V. Halldorsson, T. B. Harris, A. C. Heath, L. J. Hocking, E. G. Holliday, G. Homuth, M. A. Horan, J. J. Hottenga, P. L. de Jager, P. K. Joshi, A. Jugessur, M. A. Kaakinen, M. Kahonen, S. Kanoni, L. Keltigangas-Jarvinen, L. A. Kiemeney, I. Kolcic, S. Koskinen, A. T. Kraja, M. Kroh, Z. Kutalik, A. Latvala, L. J. Launer, M. P. Lebreton, D. F. Levinson, P. Lichtenstein, P. Lichtner, D. C. Liewald, S. LifeLines Cohort, A. Loukola, P. A. Madden, R. Magi, T. Maki-Opas, R. E. Marioni, P. Marques-Vidal, G. A. Meddens, G. McMahon, C. Meisinger, T. Meitinger, Y. Milaneschi, L. Milani, G. W. Montgomery, R. Myhre, C. P. Nelson, D. R. Nyholt, W. E. Ollier, A. Palotie, L. Paternoster, N. L. Pedersen, K. E. Petrovic, D. J. Porteous, K. Raikkonen, S. M. Ring, A. Robino, O. Rostapshova, I. Rudan, A. Rustichini, V. Salomaa, A. R. Sanders, A. P. Sarin, H. Schmidt, R. J. Scott, B. H. Smith, J. A. Smith, J. A. Staessen, E. Steinhagen-Thiessen, K. Strauch, A. Terracciano, M. D. Tobin, S. Ulivi, S. Vaccargiu, L. Quaye, F. J. van Rooij, C. Venturini, A. A. Vinkhuyzen, U. Volker, H. Volzke, J. M. Vonk, D. Vozzi, J. Waage, E. B. Ware, G. Willemsen, J. R. Attia, D. A. Bennett, K. Berger, L. Bertram, H. Bisgaard, D. I. Boomsma, I. B. Borecki, U. Bultmann, C. F. Chabris, F. Cucca, D. Cusi, I. J. Deary, G. V. Dedoussis, C. M. van Duijn, J. G. Eriksson, B. Franke, L. Franke, P. Gasparini, P. V. Gejman, C. Gieger, H. J. Grabe, J. Gratten, P. J. Groenen, V. Gudnason, P. van der Harst, C. Hayward, D. A. Hinds, W. Hoffmann, E. Hypponen, W. G. Iacono, B. Jacobsson, M. R. Jarvelin, K. H. Jockel, J. Kaprio, S. L. Kardia, T. Lehtimaki, S. F. Lehrer, P. K. Magnusson, N. G. Martin, M. McGue, A. Metspalu, N. Pendleton, B. W. Penninx, M. Perola, N. Pirastu, M. Pirastu, O. Polasek, D. Posthuma, C. Power, M. A. Province, N. J. Samani, D. Schlessinger, R. Schmidt, T. I. Sorensen, T. D. Spector, K. Stefansson, U. Thorsteinsdottir, A. R. Thurik, N. J. Timpson, H. Tiemeier, J. Y. Tung, A. G. Uitterlinden, V. Vitart, P. Vollenweider, D. R. Weir, J. F. Wilson, A. F. Wright, D. C. Conley, R. F. Krueger, G. Davey Smith, A. Hofman, D. I. Laibson, S. E. Medland, M. N. Meyer, J. Yang, M. Johannesson, P. M. Visscher, T. Esko, P. D. Koellinger, D. Cesarini and D. J. Benjamin (2016). "Genome-wide association study identifies 74 loci associated with educational attainment." Nature 533(7604): 539-542.</w:t>
      </w:r>
    </w:p>
    <w:p w14:paraId="4B03B212"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Oldham MC, Konopka G, Iwamoto K, Langfelder P, Kato T, Horvath S, Geschwind DH. Functional organization of the transcriptome in human brain. Nature neuroscience. 2008 Nov;11(11):1271.</w:t>
      </w:r>
    </w:p>
    <w:p w14:paraId="67D32DFC" w14:textId="77777777" w:rsidR="0077186D" w:rsidRDefault="00E47411">
      <w:r>
        <w:rPr>
          <w:rFonts w:ascii="Times New Roman" w:eastAsia="Times New Roman" w:hAnsi="Times New Roman" w:cs="Times New Roman"/>
          <w:sz w:val="18"/>
          <w:szCs w:val="18"/>
        </w:rPr>
        <w:t>Parikshak NN, Swarup V, Belgard TG, Irimia M, Ramaswami G, Gandal MJ, Hartl C, Leppa V, Ubieta LT, Huang J, Lowe JK, Blencowe BJ, Horvath S, Geschwind DH. Genome-wide changes in lncRNA, splicing, and regional gene expression patterns in autism, Nature. 2016 Dec 15;540(7633):423-427.</w:t>
      </w:r>
    </w:p>
    <w:p w14:paraId="2B980765"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Pardiñas AF, Holmans P, Pocklington AJ, Escott-Price V, Ripke S, Carrera N, Legge SE, Bishop S, Cameron D, Hamshere ML, Han J. Common schizophrenia alleles are enriched in mutation-intolerant genes and in regions under strong background selection. Nature genetics. 2018 Feb 26:1.</w:t>
      </w:r>
    </w:p>
    <w:p w14:paraId="02608849"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Pedersen CB, Bybjerg-Grauholm J, Pedersen MG, Grove J, Agerbo E, Baekvad-Hansen M, Poulsen JB, Hansen CS, McGrath JJ, Als TD, Goldstein JI. The iPSYCH2012 case–cohort sample: new directions for unravelling genetic and environmental architectures of severe mental disorders. Molecular psychiatry. 2018 Jan;23(1):6.</w:t>
      </w:r>
    </w:p>
    <w:p w14:paraId="4C58FCC9"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Pedersen BS, Quinlan AR. Who’s Who? Detecting and resolving sample anomalies in human DNA sequencing studies with peddy. The American Journal of Human Genetics. 2017 Mar 2;100(3):406-13.</w:t>
      </w:r>
    </w:p>
    <w:p w14:paraId="0CE68191" w14:textId="77777777" w:rsidR="0077186D" w:rsidRDefault="00E47411">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Purcell S, Neale B, Todd-Brown K, Thomas L, Ferreira MAR, Bender D, Maller J, Sklar P, de Bakker PIW, Daly MJ &amp; Sham PC. PLINK: a toolset for whole-genome association and population-base linkage analysis. American Journal of Human Genetics, 2007;81.</w:t>
      </w:r>
    </w:p>
    <w:p w14:paraId="02055A4B"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Quail MA, Kozarewa I, Smith F, Scally A, Stephens PJ, Durbin R, Swerdlow H, Turner DJ. A large genome center's improvements to the Illumina sequencing system. Nat Methods. 2008;5(12):1005-10.</w:t>
      </w:r>
    </w:p>
    <w:p w14:paraId="22658EB8"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Rao, S. S., M. H. Huntley, N. C. Durand, E. K. Stamenova, I. D. Bochkov, J. T. Robinson, A. L. Sanborn, I. Machol, A. D. Omer, E. S. Lander and E. L. Aiden (2014). "A 3D Map of the Human Genome at Kilobase Resolution Reveals Principles of Chromatin Looping." Cell 159(7): 1665-1680.</w:t>
      </w:r>
    </w:p>
    <w:p w14:paraId="2D20E76A"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Ruderfer, D. M., A. H. Fanous, S. Ripke, A. McQuillin, R. L. Amdur, C. Schizophrenia Working Group of the Psychiatric Genomics, C. Bipolar Disorder Working Group of the Psychiatric Genomics, C. Cross-Disorder Working Group of the Psychiatric Genomics, P. V. Gejman, M. C. O'Donovan, O. A. Andreassen, S. Djurovic, C. M. Hultman, J. R. Kelsoe, S. Jamain, M. Landen, M. Leboyer, V. Nimgaonkar, J. Nurnberger, J. W. Smoller, N. Craddock, A. Corvin, P. F. Sullivan, P. Holmans, P. Sklar and K. S. Kendler (2014). "Polygenic dissection of diagnosis and clinical dimensions of bipolar disorder and schizophrenia." Mol Psychiatry 19(9): 1017-1024.</w:t>
      </w:r>
    </w:p>
    <w:p w14:paraId="625A8B52"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Salakhutdinov, R. and Hinton, G. Deep Boltzmann Machines. AISTATS, 2009.</w:t>
      </w:r>
    </w:p>
    <w:p w14:paraId="469FC35F"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Schunkert, H., I. R. Konig, S. Kathiresan, M. P. Reilly, T. L. Assimes, H. Holm, M. Preuss, A. F. Stewart, M. Barbalic, C. Gieger, D. Absher, Z. Aherrahrou, H. Allayee, D. Altshuler, S. S. Anand, K. Andersen, J. L. Anderson, D. Ardissino, S. G. Ball, A. J. Balmforth, T. A. Barnes, D. M. Becker, L. C. Becker, K. Berger, J. C. Bis, S. M. Boekholdt, E. Boerwinkle, P. S. Braund, M. J. Brown, M. S. Burnett, I. Buysschaert, Cardiogenics, J. F. Carlquist, L. Chen, S. Cichon, V. Codd, R. W. Davies, G. Dedoussis, A. Dehghan, S. Demissie, J. M. Devaney, P. Diemert, R. Do, A. Doering, S. Eifert, N. E. Mokhtari, S. G. Ellis, R. Elosua, J. C. Engert, S. E. Epstein, U. de Faire, M. Fischer, A. R. Folsom, J. Freyer, B. Gigante, D. Girelli, S. Gretarsdottir, V. Gudnason, J. R. Gulcher, E. Halperin, N. Hammond, S. L. Hazen, A. Hofman, B. D. Horne, T. Illig, C. Iribarren, G. T. Jones, J. W. Jukema, M. A. Kaiser, L. M. Kaplan, J. J. Kastelein, K. T. Khaw, J. W. Knowles, G. Kolovou, A. Kong, R. Laaksonen, D. Lambrechts, K. Leander, G. Lettre, M. Li, W. Lieb, C. Loley, A. J. Lotery, P. M. Mannucci, S. Maouche, N. Martinelli, P. P. McKeown, C. Meisinger, T. Meitinger, O. Melander, P. A. Merlini, V. Mooser, T. Morgan, T. W. Muhleisen, J. B. Muhlestein, T. Munzel, K. Musunuru, J. Nahrstaedt, C. P. Nelson, M. M. Nothen, O. Olivieri, R. S. Patel, C. C. Patterson, A. Peters, F. Peyvandi, L. Qu, A. A. Quyyumi, D. J. Rader, L. S. Rallidis, C. Rice, F. R. Rosendaal, D. Rubin, V. Salomaa, M. L. Sampietro, M. S. Sandhu, E. Schadt, A. Schafer, A. Schillert, S. Schreiber, J. Schrezenmeir, S. M. Schwartz, D. S. Siscovick, M. Sivananthan, S. Sivapalaratnam, A. Smith, T. B. Smith, J. D. Snoep, N. Soranzo, J. A. Spertus, K. Stark, K. Stirrups, M. Stoll, W. H. Tang, S. Tennstedt, G. Thorgeirsson, G. Thorleifsson, M. Tomaszewski, A. G. Uitterlinden, A. M. van Rij, B. F. Voight, N. J. Wareham, G. A. Wells, H. E. Wichmann, P. S. Wild, C. Willenborg, J. C. Witteman, B. J. Wright, S. Ye, T. Zeller, A. Ziegler, F. Cambien, A. H. Goodall, L. A. Cupples, T. Quertermous, W. Marz, C. Hengstenberg, S. Blankenberg, W. H. Ouwehand, A. S. Hall, P. Deloukas, J. R. Thompson, K. Stefansson, R. Roberts, U. Thorsteinsdottir, C. J. O'Donnell, R. McPherson, J. Erdmann, C. A. Consortium and N. J. Samani (2011). "Large-scale association analysis identifies 13 new susceptibility loci for coronary artery disease." Nat Genet 43(4): 333-338.</w:t>
      </w:r>
    </w:p>
    <w:p w14:paraId="7A16F3A4"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Shrikumar A, Greenside P, Kundaje A. Learning important features through propagating activation differences. arXiv preprint arXiv:1704.02685. 2017 Apr 10.</w:t>
      </w:r>
    </w:p>
    <w:p w14:paraId="5D8DDC81"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Simonyan K, Vedaldi A, Zisserman A. Deep inside convolutional networks: Visualising image classification models and saliency maps. arXiv preprint arXiv:1312.6034. 2013 Dec 20.</w:t>
      </w:r>
    </w:p>
    <w:p w14:paraId="26511981"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Singh T, Kurki MI, Curtis D, Purcell SM, Crooks L, McRae J, Suvisaari J, Chheda H, Blackwood D, Breen G, Pietiläinen O. Rare loss-of-function variants in SETD1A are associated with schizophrenia and developmental disorders. Nature neuroscience. 2016 Apr;19(4):571.</w:t>
      </w:r>
    </w:p>
    <w:p w14:paraId="104C3F23"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Sniekers, S., S. Stringer, K. Watanabe, P. R. Jansen, J. R. I. Coleman, E. Krapohl, E. Taskesen, A. R. Hammerschlag, A. Okbay, D. Zabaneh, N. Amin, G. Breen, D. Cesarini, C. F. Chabris, W. G. Iacono, M. A. Ikram, M. Johannesson, P. Koellinger, J. J. Lee, P. K. E. Magnusson, M. McGue, M. B. Miller, W. E. R. Ollier, A. Payton, N. Pendleton, R. Plomin, C. A. Rietveld, H. Tiemeier, C. M. van Duijn and D. Posthuma (2017). "Genome-wide association meta-analysis of 78,308 individuals identifies new loci and genes influencing human intelligence." Nat Genet 49(7): 1107-1112.</w:t>
      </w:r>
    </w:p>
    <w:p w14:paraId="581EC9F3"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Storey JD, Tibshirani R. Statistical significance for genomewide studies. Proc Natl Acad Sci U S A. 2003;100(16):9440-5. </w:t>
      </w:r>
    </w:p>
    <w:p w14:paraId="30365DDF"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van Dijk D, Nainys J, Sharma R, Kathail P, Carr AJ, Moon KR, Mazutis L, Wolf G, Krishnaswamy S, Pe'er D. MAGIC: A diffusion-based imputation method reveals gene-gene interactions in single-cell RNA-sequencing data. BioRxiv. 2017 Jan 1:111591.</w:t>
      </w:r>
    </w:p>
    <w:p w14:paraId="30BC11C0" w14:textId="77777777" w:rsidR="0077186D" w:rsidRDefault="00E4741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Weirauch M.T., Yang A., Albu M., Cote A.G., Montenegro-Montero A., Drewe P., Najafabadi H.S., Lambert S.A., Mann I., Cook K., Zheng H,. Goity A., van Bakel H., Lozano J.C., Galli M., Lewsey M.G., Huang E., Mukherjee T., Chen X., Reece-Hoyes J.S., Govindarajan S., Shaulsky G., Walhout A.J., Bouget F.Y., Ratsch G., Larrondo L.F., Ecker J.R., Hughes T.R. (2014) Determination and inference of eukaryotic transcription factor sequence specificity. </w:t>
      </w:r>
      <w:r>
        <w:rPr>
          <w:rFonts w:ascii="Times New Roman" w:eastAsia="Times New Roman" w:hAnsi="Times New Roman" w:cs="Times New Roman"/>
          <w:i/>
          <w:color w:val="000000"/>
          <w:sz w:val="18"/>
          <w:szCs w:val="18"/>
        </w:rPr>
        <w:t>Cell</w:t>
      </w:r>
      <w:r>
        <w:rPr>
          <w:rFonts w:ascii="Times New Roman" w:eastAsia="Times New Roman" w:hAnsi="Times New Roman" w:cs="Times New Roman"/>
          <w:color w:val="000000"/>
          <w:sz w:val="18"/>
          <w:szCs w:val="18"/>
        </w:rPr>
        <w:t xml:space="preserve"> 158(6): 1431-1443. doi: 10.1016/j.cell.2014.08.009.</w:t>
      </w:r>
    </w:p>
    <w:p w14:paraId="3A01AF25"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Won, H., L. de la Torre-Ubieta, J. L. Stein, N. N. Parikshak, J. Huang, C. K. Opland, M. J. Gandal, G. J. Sutton, F. Hormozdiari, D. Lu, C. Lee, E. Eskin, I. Voineagu, J. Ernst and D. H. Geschwind (2016). "Chromosome conformation elucidates regulatory relationships in developing human brain." Nature 538(7626): 523-527.</w:t>
      </w:r>
    </w:p>
    <w:p w14:paraId="6DA8E15A"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Yang J, Lee SH, Goddard ME, Visscher PM. GCTA: a tool for genome-wide complex trait analysis. The American Journal of Human Genetics. 2011 Jan 7;88(1):76-82.</w:t>
      </w:r>
    </w:p>
    <w:p w14:paraId="02DA1B68"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Yu G, Wang LG, Han Y, He QY. clusterProfiler: an R package for comparing biological themes among gene clusters. Omics: a journal of integrative biology. 2012 May 1;16(5):284-7.</w:t>
      </w:r>
    </w:p>
    <w:p w14:paraId="045A12DE"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Zhang B, Horvath S. A general framework for weighted gene co-expression network analysis. Statistical applications in genetics and molecular biology. 2005 Aug 12;4(1).</w:t>
      </w:r>
    </w:p>
    <w:p w14:paraId="0E9276F7" w14:textId="77777777" w:rsidR="0077186D" w:rsidRDefault="00E47411">
      <w:pPr>
        <w:rPr>
          <w:rFonts w:ascii="Times New Roman" w:eastAsia="Times New Roman" w:hAnsi="Times New Roman" w:cs="Times New Roman"/>
          <w:sz w:val="18"/>
          <w:szCs w:val="18"/>
        </w:rPr>
      </w:pPr>
      <w:r>
        <w:rPr>
          <w:rFonts w:ascii="Times New Roman" w:eastAsia="Times New Roman" w:hAnsi="Times New Roman" w:cs="Times New Roman"/>
          <w:sz w:val="18"/>
          <w:szCs w:val="18"/>
        </w:rPr>
        <w:t>Zhang D, Cheng L, Badner JA, Chen C, Chen Q, Luo W, Craig DW, Redman M, Gershon ES, Liu C. Genetic control of individual differences in gene-specific methylation in human brain. The American Journal of Human Genetics. 2010 Mar 12;86(3):411-9.</w:t>
      </w:r>
    </w:p>
    <w:p w14:paraId="23EAA190" w14:textId="77777777" w:rsidR="0077186D" w:rsidRDefault="0077186D">
      <w:pPr>
        <w:rPr>
          <w:rFonts w:ascii="Times New Roman" w:eastAsia="Times New Roman" w:hAnsi="Times New Roman" w:cs="Times New Roman"/>
          <w:sz w:val="20"/>
          <w:szCs w:val="20"/>
        </w:rPr>
      </w:pPr>
    </w:p>
    <w:sectPr w:rsidR="0077186D">
      <w:headerReference w:type="default" r:id="rId60"/>
      <w:footerReference w:type="default" r:id="rId61"/>
      <w:headerReference w:type="first" r:id="rId62"/>
      <w:footerReference w:type="first" r:id="rId63"/>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410C1" w14:textId="77777777" w:rsidR="003C62F0" w:rsidRDefault="003C62F0">
      <w:pPr>
        <w:spacing w:before="0" w:line="240" w:lineRule="auto"/>
      </w:pPr>
      <w:r>
        <w:separator/>
      </w:r>
    </w:p>
  </w:endnote>
  <w:endnote w:type="continuationSeparator" w:id="0">
    <w:p w14:paraId="0C4724FF" w14:textId="77777777" w:rsidR="003C62F0" w:rsidRDefault="003C62F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ima Nova">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FCC" w14:textId="77777777" w:rsidR="00B31588" w:rsidRDefault="00B31588">
    <w:pPr>
      <w:jc w:val="right"/>
    </w:pPr>
    <w:r>
      <w:fldChar w:fldCharType="begin"/>
    </w:r>
    <w:r>
      <w:instrText>PAGE</w:instrText>
    </w:r>
    <w:r>
      <w:fldChar w:fldCharType="separate"/>
    </w:r>
    <w:r w:rsidR="00550919">
      <w:rPr>
        <w:noProof/>
      </w:rPr>
      <w:t>47</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16624" w14:textId="77777777" w:rsidR="00B31588" w:rsidRDefault="00B3158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BAFF4" w14:textId="77777777" w:rsidR="003C62F0" w:rsidRDefault="003C62F0">
      <w:pPr>
        <w:spacing w:before="0" w:line="240" w:lineRule="auto"/>
      </w:pPr>
      <w:r>
        <w:separator/>
      </w:r>
    </w:p>
  </w:footnote>
  <w:footnote w:type="continuationSeparator" w:id="0">
    <w:p w14:paraId="34EB38EF" w14:textId="77777777" w:rsidR="003C62F0" w:rsidRDefault="003C62F0">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2D1E" w14:textId="77777777" w:rsidR="00B31588" w:rsidRDefault="00B31588">
    <w:pPr>
      <w:spacing w:before="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559F4" w14:textId="77777777" w:rsidR="00B31588" w:rsidRDefault="00B3158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7186D"/>
    <w:rsid w:val="00001804"/>
    <w:rsid w:val="00003E93"/>
    <w:rsid w:val="00013E90"/>
    <w:rsid w:val="00027842"/>
    <w:rsid w:val="0004201E"/>
    <w:rsid w:val="0005591E"/>
    <w:rsid w:val="00100FEF"/>
    <w:rsid w:val="00105561"/>
    <w:rsid w:val="00127EDA"/>
    <w:rsid w:val="0014324A"/>
    <w:rsid w:val="00162B22"/>
    <w:rsid w:val="0017055A"/>
    <w:rsid w:val="00194D8E"/>
    <w:rsid w:val="001F2A3F"/>
    <w:rsid w:val="001F3783"/>
    <w:rsid w:val="00206B4E"/>
    <w:rsid w:val="002527EC"/>
    <w:rsid w:val="002A27DF"/>
    <w:rsid w:val="002B4917"/>
    <w:rsid w:val="002C1902"/>
    <w:rsid w:val="003639C1"/>
    <w:rsid w:val="00377A6F"/>
    <w:rsid w:val="00393425"/>
    <w:rsid w:val="003C62F0"/>
    <w:rsid w:val="0043466B"/>
    <w:rsid w:val="004A02E4"/>
    <w:rsid w:val="005203C5"/>
    <w:rsid w:val="00527832"/>
    <w:rsid w:val="00550919"/>
    <w:rsid w:val="00581C33"/>
    <w:rsid w:val="005953B0"/>
    <w:rsid w:val="005A0CED"/>
    <w:rsid w:val="005B73C9"/>
    <w:rsid w:val="005D59D9"/>
    <w:rsid w:val="005F0FAF"/>
    <w:rsid w:val="0060253D"/>
    <w:rsid w:val="00604D3E"/>
    <w:rsid w:val="00605DD0"/>
    <w:rsid w:val="00616620"/>
    <w:rsid w:val="0066703D"/>
    <w:rsid w:val="006E2D31"/>
    <w:rsid w:val="007632D7"/>
    <w:rsid w:val="0077186D"/>
    <w:rsid w:val="007822DE"/>
    <w:rsid w:val="007C5C6F"/>
    <w:rsid w:val="007D574E"/>
    <w:rsid w:val="007E32A3"/>
    <w:rsid w:val="007F0348"/>
    <w:rsid w:val="007F7FE0"/>
    <w:rsid w:val="0080538F"/>
    <w:rsid w:val="00840524"/>
    <w:rsid w:val="0084400B"/>
    <w:rsid w:val="0088759B"/>
    <w:rsid w:val="008F5328"/>
    <w:rsid w:val="00992D32"/>
    <w:rsid w:val="009A3ECD"/>
    <w:rsid w:val="009F0A7A"/>
    <w:rsid w:val="00A2563A"/>
    <w:rsid w:val="00A6796A"/>
    <w:rsid w:val="00AF6892"/>
    <w:rsid w:val="00B2578D"/>
    <w:rsid w:val="00B31588"/>
    <w:rsid w:val="00B5356E"/>
    <w:rsid w:val="00B6058E"/>
    <w:rsid w:val="00B94194"/>
    <w:rsid w:val="00CA5148"/>
    <w:rsid w:val="00CB6EBD"/>
    <w:rsid w:val="00D51A3C"/>
    <w:rsid w:val="00D800F0"/>
    <w:rsid w:val="00DF5A79"/>
    <w:rsid w:val="00E23F3A"/>
    <w:rsid w:val="00E40E8C"/>
    <w:rsid w:val="00E47411"/>
    <w:rsid w:val="00F478CD"/>
    <w:rsid w:val="00FA4A92"/>
    <w:rsid w:val="00FC4E97"/>
    <w:rsid w:val="00FC5A63"/>
    <w:rsid w:val="00FD5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590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roxima Nova" w:eastAsia="Proxima Nova" w:hAnsi="Proxima Nova" w:cs="Proxima Nova"/>
        <w:color w:val="353744"/>
        <w:sz w:val="22"/>
        <w:szCs w:val="22"/>
        <w:lang w:val="en" w:eastAsia="en-US" w:bidi="ar-SA"/>
      </w:rPr>
    </w:rPrDefault>
    <w:pPrDefault>
      <w:pPr>
        <w:pBdr>
          <w:top w:val="nil"/>
          <w:left w:val="nil"/>
          <w:bottom w:val="nil"/>
          <w:right w:val="nil"/>
          <w:between w:val="nil"/>
        </w:pBdr>
        <w:spacing w:before="200" w:line="312"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line="240" w:lineRule="auto"/>
      <w:outlineLvl w:val="0"/>
    </w:pPr>
    <w:rPr>
      <w:b/>
      <w:sz w:val="28"/>
      <w:szCs w:val="28"/>
    </w:rPr>
  </w:style>
  <w:style w:type="paragraph" w:styleId="Heading2">
    <w:name w:val="heading 2"/>
    <w:basedOn w:val="Normal"/>
    <w:next w:val="Normal"/>
    <w:pPr>
      <w:spacing w:before="320" w:line="240" w:lineRule="auto"/>
      <w:outlineLvl w:val="1"/>
    </w:pPr>
    <w:rPr>
      <w:b/>
      <w:color w:val="000000"/>
      <w:sz w:val="24"/>
      <w:szCs w:val="24"/>
    </w:rPr>
  </w:style>
  <w:style w:type="paragraph" w:styleId="Heading3">
    <w:name w:val="heading 3"/>
    <w:basedOn w:val="Normal"/>
    <w:next w:val="Normal"/>
    <w:pPr>
      <w:spacing w:line="240" w:lineRule="auto"/>
      <w:outlineLvl w:val="2"/>
    </w:pPr>
    <w:rPr>
      <w:sz w:val="26"/>
      <w:szCs w:val="26"/>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sz w:val="72"/>
      <w:szCs w:val="72"/>
    </w:rPr>
  </w:style>
  <w:style w:type="paragraph" w:styleId="Subtitle">
    <w:name w:val="Subtitle"/>
    <w:basedOn w:val="Normal"/>
    <w:next w:val="Normal"/>
    <w:pPr>
      <w:spacing w:before="0" w:line="240" w:lineRule="auto"/>
    </w:pPr>
    <w:rPr>
      <w:color w:val="666666"/>
      <w:sz w:val="26"/>
      <w:szCs w:val="26"/>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character" w:customStyle="1" w:styleId="CommentTextChar">
    <w:name w:val="Comment Text Char"/>
    <w:basedOn w:val="DefaultParagraphFont"/>
    <w:link w:val="CommentText"/>
    <w:uiPriority w:val="99"/>
    <w:semiHidden/>
    <w:rsid w:val="00527832"/>
    <w:rPr>
      <w:sz w:val="24"/>
      <w:szCs w:val="24"/>
    </w:rPr>
  </w:style>
  <w:style w:type="paragraph" w:styleId="CommentText">
    <w:name w:val="annotation text"/>
    <w:basedOn w:val="Normal"/>
    <w:link w:val="CommentTextChar"/>
    <w:uiPriority w:val="99"/>
    <w:semiHidden/>
    <w:unhideWhenUsed/>
    <w:rsid w:val="00527832"/>
    <w:pPr>
      <w:spacing w:line="240" w:lineRule="auto"/>
    </w:pPr>
    <w:rPr>
      <w:sz w:val="24"/>
      <w:szCs w:val="24"/>
    </w:rPr>
  </w:style>
  <w:style w:type="character" w:customStyle="1" w:styleId="BalloonTextChar">
    <w:name w:val="Balloon Text Char"/>
    <w:basedOn w:val="DefaultParagraphFont"/>
    <w:link w:val="BalloonText"/>
    <w:uiPriority w:val="99"/>
    <w:semiHidden/>
    <w:rsid w:val="00527832"/>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527832"/>
    <w:pPr>
      <w:spacing w:before="0" w:line="240" w:lineRule="auto"/>
    </w:pPr>
    <w:rPr>
      <w:rFonts w:ascii="Times New Roman" w:hAnsi="Times New Roman" w:cs="Times New Roman"/>
      <w:sz w:val="18"/>
      <w:szCs w:val="18"/>
    </w:rPr>
  </w:style>
  <w:style w:type="character" w:customStyle="1" w:styleId="DocumentMapChar">
    <w:name w:val="Document Map Char"/>
    <w:basedOn w:val="DefaultParagraphFont"/>
    <w:link w:val="DocumentMap"/>
    <w:uiPriority w:val="99"/>
    <w:semiHidden/>
    <w:rsid w:val="00527832"/>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527832"/>
    <w:pPr>
      <w:spacing w:before="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emf"/><Relationship Id="rId17" Type="http://schemas.openxmlformats.org/officeDocument/2006/relationships/image" Target="media/image12.png"/><Relationship Id="rId18" Type="http://schemas.openxmlformats.org/officeDocument/2006/relationships/image" Target="media/image13.emf"/><Relationship Id="rId19" Type="http://schemas.openxmlformats.org/officeDocument/2006/relationships/image" Target="media/image14.emf"/><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s://msvpn.mssm.edu/f5-w-68747470733a2f2f6769746875622e636f6d$$/Nealelab/ricopili/blob/master/rp_bin/mergecall_10" TargetMode="External"/><Relationship Id="rId51" Type="http://schemas.openxmlformats.org/officeDocument/2006/relationships/hyperlink" Target="https://paperpile.com/c/KM4a4R/kbUP" TargetMode="External"/><Relationship Id="rId52" Type="http://schemas.openxmlformats.org/officeDocument/2006/relationships/hyperlink" Target="https://paperpile.com/c/KM4a4R/kbUP" TargetMode="External"/><Relationship Id="rId53" Type="http://schemas.openxmlformats.org/officeDocument/2006/relationships/hyperlink" Target="https://paperpile.com/c/KM4a4R/kbUP" TargetMode="External"/><Relationship Id="rId54" Type="http://schemas.openxmlformats.org/officeDocument/2006/relationships/hyperlink" Target="https://www.synapse.org/cmc" TargetMode="External"/><Relationship Id="rId55" Type="http://schemas.openxmlformats.org/officeDocument/2006/relationships/hyperlink" Target="https://www.synapse.org/" TargetMode="External"/><Relationship Id="rId56" Type="http://schemas.openxmlformats.org/officeDocument/2006/relationships/hyperlink" Target="https://www.synapse.org/" TargetMode="External"/><Relationship Id="rId57" Type="http://schemas.openxmlformats.org/officeDocument/2006/relationships/hyperlink" Target="https://urldefense.proofpoint.com/v2/url?u=http-3A__www.nimh.nih.gov_labs-2Dat-2Dnimh_research-2Dareas_research-2Dsupport-2Dservices_hbcc_human-2Dbrain-2Dcollection-2Dcore-2Dhbcc.shtml&amp;d=DwMFaQ&amp;c=UXmaowRpu5bLSLEQRunJ2z-YIUZuUoa9Rw_x449Hd_Y&amp;r=etk7kn5ibkEhI6JzJ3HU6tik8_zG9wFGsklcxToyh2Q&amp;m=ZiqmSj-qUpeDDB8Pp7rQK3Ok7A-gved3JJU76_mhKKE&amp;s=kOKIFnmbyS5bO0OFoCIGFk7TxGnibOqbB3_UUVBA2UM&amp;e=" TargetMode="External"/><Relationship Id="rId58" Type="http://schemas.openxmlformats.org/officeDocument/2006/relationships/hyperlink" Target="https://www.nimh.nih.gov/labs-at-nimh/research-areas/research-support-services/hbcc/human-brain-collection-core-hbcc.shtml" TargetMode="External"/><Relationship Id="rId59" Type="http://schemas.openxmlformats.org/officeDocument/2006/relationships/hyperlink" Target="https://www.biorxiv.org/content/early/2017/11/22/124321" TargetMode="External"/><Relationship Id="rId40" Type="http://schemas.openxmlformats.org/officeDocument/2006/relationships/image" Target="media/image29.png"/><Relationship Id="rId41" Type="http://schemas.openxmlformats.org/officeDocument/2006/relationships/hyperlink" Target="https://github.com/bulik/ldsc/wiki/Partitioned-Heritability" TargetMode="External"/><Relationship Id="rId42" Type="http://schemas.openxmlformats.org/officeDocument/2006/relationships/hyperlink" Target="https://github.com/bulik/ldsc/wiki/Partitioned-Heritability" TargetMode="External"/><Relationship Id="rId43" Type="http://schemas.openxmlformats.org/officeDocument/2006/relationships/image" Target="media/image30.emf"/><Relationship Id="rId44" Type="http://schemas.openxmlformats.org/officeDocument/2006/relationships/image" Target="media/image31.emf"/><Relationship Id="rId45" Type="http://schemas.openxmlformats.org/officeDocument/2006/relationships/image" Target="media/image32.emf"/><Relationship Id="rId46" Type="http://schemas.openxmlformats.org/officeDocument/2006/relationships/image" Target="media/image33.emf"/><Relationship Id="rId47" Type="http://schemas.openxmlformats.org/officeDocument/2006/relationships/image" Target="media/image34.emf"/><Relationship Id="rId48" Type="http://schemas.openxmlformats.org/officeDocument/2006/relationships/image" Target="media/image35.emf"/><Relationship Id="rId49" Type="http://schemas.openxmlformats.org/officeDocument/2006/relationships/image" Target="media/image36.em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emf"/><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emf"/><Relationship Id="rId33" Type="http://schemas.openxmlformats.org/officeDocument/2006/relationships/hyperlink" Target="https://bitbucket.org/mirnylab/hiclib)" TargetMode="External"/><Relationship Id="rId34" Type="http://schemas.openxmlformats.org/officeDocument/2006/relationships/hyperlink" Target="http://chromosome.sdsc.edu/mouse/hi-c/download.html" TargetMode="External"/><Relationship Id="rId35" Type="http://schemas.openxmlformats.org/officeDocument/2006/relationships/image" Target="media/image25.emf"/><Relationship Id="rId36" Type="http://schemas.openxmlformats.org/officeDocument/2006/relationships/image" Target="media/image26.jpeg"/><Relationship Id="rId37" Type="http://schemas.openxmlformats.org/officeDocument/2006/relationships/hyperlink" Target="http://www.genmapp.org/go_elite/" TargetMode="External"/><Relationship Id="rId38" Type="http://schemas.openxmlformats.org/officeDocument/2006/relationships/image" Target="media/image27.jpeg"/><Relationship Id="rId39" Type="http://schemas.openxmlformats.org/officeDocument/2006/relationships/image" Target="media/image28.emf"/><Relationship Id="rId20" Type="http://schemas.openxmlformats.org/officeDocument/2006/relationships/hyperlink" Target="https://github.com/weng-lab/psychip_snakemake" TargetMode="External"/><Relationship Id="rId21" Type="http://schemas.openxmlformats.org/officeDocument/2006/relationships/hyperlink" Target="https://goo.gl/KqHjKH" TargetMode="External"/><Relationship Id="rId22" Type="http://schemas.openxmlformats.org/officeDocument/2006/relationships/image" Target="media/image15.png"/><Relationship Id="rId23" Type="http://schemas.openxmlformats.org/officeDocument/2006/relationships/hyperlink" Target="https://goo.gl/KqHjKH" TargetMode="External"/><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png"/><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header" Target="header2.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65</Pages>
  <Words>26178</Words>
  <Characters>149219</Characters>
  <Application>Microsoft Macintosh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29</cp:revision>
  <dcterms:created xsi:type="dcterms:W3CDTF">2018-04-10T01:28:00Z</dcterms:created>
  <dcterms:modified xsi:type="dcterms:W3CDTF">2018-04-10T22:41:00Z</dcterms:modified>
</cp:coreProperties>
</file>