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40"/>
          <w:szCs w:val="40"/>
        </w:rPr>
      </w:pPr>
      <w:r w:rsidDel="00000000" w:rsidR="00000000" w:rsidRPr="00000000">
        <w:rPr>
          <w:b w:val="1"/>
          <w:sz w:val="40"/>
          <w:szCs w:val="40"/>
          <w:rtl w:val="0"/>
        </w:rPr>
        <w:t xml:space="preserve">Comprehensive functional genomic resource and integrative model for the adult brain (4481 + fig captions ~1400)</w:t>
      </w:r>
    </w:p>
    <w:p w:rsidR="00000000" w:rsidDel="00000000" w:rsidP="00000000" w:rsidRDefault="00000000" w:rsidRPr="00000000" w14:paraId="0000000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contextualSpacing w:val="0"/>
        <w:rPr>
          <w:b w:val="1"/>
          <w:color w:val="0000ff"/>
          <w:sz w:val="34"/>
          <w:szCs w:val="34"/>
        </w:rPr>
      </w:pPr>
      <w:r w:rsidDel="00000000" w:rsidR="00000000" w:rsidRPr="00000000">
        <w:rPr>
          <w:b w:val="1"/>
          <w:sz w:val="34"/>
          <w:szCs w:val="34"/>
          <w:rtl w:val="0"/>
        </w:rPr>
        <w:t xml:space="preserve">Abstract</w:t>
      </w:r>
      <w:r w:rsidDel="00000000" w:rsidR="00000000" w:rsidRPr="00000000">
        <w:rPr>
          <w:b w:val="1"/>
          <w:sz w:val="34"/>
          <w:szCs w:val="34"/>
          <w:rtl w:val="0"/>
        </w:rPr>
        <w:t xml:space="preserve"> (225) </w:t>
      </w:r>
      <w:r w:rsidDel="00000000" w:rsidR="00000000" w:rsidRPr="00000000">
        <w:rPr>
          <w:b w:val="1"/>
          <w:color w:val="0000ff"/>
          <w:sz w:val="34"/>
          <w:szCs w:val="34"/>
          <w:rtl w:val="0"/>
        </w:rPr>
        <w:t xml:space="preserve">(Ready for MG)</w:t>
      </w:r>
    </w:p>
    <w:p w:rsidR="00000000" w:rsidDel="00000000" w:rsidP="00000000" w:rsidRDefault="00000000" w:rsidRPr="00000000" w14:paraId="00000003">
      <w:pPr>
        <w:contextualSpacing w:val="0"/>
        <w:rPr/>
      </w:pPr>
      <w:r w:rsidDel="00000000" w:rsidR="00000000" w:rsidRPr="00000000">
        <w:rPr>
          <w:rtl w:val="0"/>
        </w:rPr>
        <w:t xml:space="preserve">Understanding how genomic variants relate to brain disorders remains challenging. To address this, the PsychENCODE consortium has generated functional genomic datasets on 1866 brains, including transcriptome, chromatin, and single-cell data. By uniformly processing and consistently analyzing these, we developed a comprehensive resource for the adult brain. In particular, we deconvolved the bulk tissue expression using single-cell data, finding that changing proportions of basic cell types explain &gt;85% the across-population variation observ</w:t>
      </w:r>
      <w:r w:rsidDel="00000000" w:rsidR="00000000" w:rsidRPr="00000000">
        <w:rPr>
          <w:rtl w:val="0"/>
        </w:rPr>
        <w:t xml:space="preserve">ed. M</w:t>
      </w:r>
      <w:r w:rsidDel="00000000" w:rsidR="00000000" w:rsidRPr="00000000">
        <w:rPr>
          <w:rtl w:val="0"/>
        </w:rPr>
        <w:t xml:space="preserve">oreover, we used the chromatin and Hi-C data from reference brain samples to find ~79,000 active enhancers in the prefrontal cortex and link them to genes and transcription factors in a regulatory network. We identified ~2.5M eQTLs and many additional QTLs associated with chromatin, splicing and cell-type changes. In addition, we leveraged our QTLs, Hi-C data and regulatory network to find 112 additional genes associated with GWAS variants with psychiatric disorders. Finally, we developed a deep-learning model encapsulating the regulatory network to connect genotypes and phenotypes, achieving almost 5-fold improvement in disease-trait prediction above a conventional  additive genetic model. This model enables highlighting key genes and functional modules and imputing missing transcriptome and epigenome from genotype data only.</w:t>
      </w:r>
    </w:p>
    <w:p w:rsidR="00000000" w:rsidDel="00000000" w:rsidP="00000000" w:rsidRDefault="00000000" w:rsidRPr="00000000" w14:paraId="00000004">
      <w:pPr>
        <w:contextualSpacing w:val="0"/>
        <w:rPr>
          <w:b w:val="1"/>
          <w:sz w:val="34"/>
          <w:szCs w:val="34"/>
        </w:rPr>
      </w:pPr>
      <w:r w:rsidDel="00000000" w:rsidR="00000000" w:rsidRPr="00000000">
        <w:rPr>
          <w:b w:val="1"/>
          <w:sz w:val="34"/>
          <w:szCs w:val="34"/>
          <w:rtl w:val="0"/>
        </w:rPr>
        <w:t xml:space="preserve"> </w:t>
      </w:r>
    </w:p>
    <w:p w:rsidR="00000000" w:rsidDel="00000000" w:rsidP="00000000" w:rsidRDefault="00000000" w:rsidRPr="00000000" w14:paraId="00000005">
      <w:pPr>
        <w:contextualSpacing w:val="0"/>
        <w:rPr>
          <w:b w:val="1"/>
          <w:sz w:val="34"/>
          <w:szCs w:val="34"/>
        </w:rPr>
      </w:pPr>
      <w:r w:rsidDel="00000000" w:rsidR="00000000" w:rsidRPr="00000000">
        <w:rPr>
          <w:b w:val="1"/>
          <w:sz w:val="34"/>
          <w:szCs w:val="34"/>
          <w:rtl w:val="0"/>
        </w:rPr>
        <w:t xml:space="preserve">Introduction</w:t>
      </w:r>
      <w:r w:rsidDel="00000000" w:rsidR="00000000" w:rsidRPr="00000000">
        <w:rPr>
          <w:b w:val="1"/>
          <w:sz w:val="34"/>
          <w:szCs w:val="34"/>
          <w:rtl w:val="0"/>
        </w:rPr>
        <w:t xml:space="preserve"> (460)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Disorders of the brain affect nearly </w:t>
      </w:r>
      <w:r w:rsidDel="00000000" w:rsidR="00000000" w:rsidRPr="00000000">
        <w:rPr>
          <w:rtl w:val="0"/>
        </w:rPr>
        <w:t xml:space="preserve">one</w:t>
      </w:r>
      <w:r w:rsidDel="00000000" w:rsidR="00000000" w:rsidRPr="00000000">
        <w:rPr>
          <w:rtl w:val="0"/>
        </w:rPr>
        <w:t xml:space="preserve"> fifth of the world’s population \cite{19507169}. Decades of research has led to little progress in our fundamental understanding of the molecular causes of psychiatric disorders. This contrasts with cardiac disease, for which lifestyle and pharmacological modification of environmental risk factors has had profound effects on morbidity, or cancer, which is now understood to be a direct disorder of the genome \cite{9603539, 24071849, 16461820, 19360079}. </w:t>
      </w:r>
      <w:r w:rsidDel="00000000" w:rsidR="00000000" w:rsidRPr="00000000">
        <w:rPr>
          <w:rtl w:val="0"/>
        </w:rPr>
        <w:t xml:space="preserve">Alt</w:t>
      </w:r>
      <w:r w:rsidDel="00000000" w:rsidR="00000000" w:rsidRPr="00000000">
        <w:rPr>
          <w:rtl w:val="0"/>
        </w:rPr>
        <w:t xml:space="preserve">hough </w:t>
      </w:r>
      <w:r w:rsidDel="00000000" w:rsidR="00000000" w:rsidRPr="00000000">
        <w:rPr>
          <w:rtl w:val="0"/>
        </w:rPr>
        <w:t xml:space="preserve">genome-wide association studies (</w:t>
      </w:r>
      <w:r w:rsidDel="00000000" w:rsidR="00000000" w:rsidRPr="00000000">
        <w:rPr>
          <w:rtl w:val="0"/>
        </w:rPr>
        <w:t xml:space="preserve">GWAS</w:t>
      </w:r>
      <w:r w:rsidDel="00000000" w:rsidR="00000000" w:rsidRPr="00000000">
        <w:rPr>
          <w:rtl w:val="0"/>
        </w:rPr>
        <w:t xml:space="preserve">) </w:t>
      </w:r>
      <w:r w:rsidDel="00000000" w:rsidR="00000000" w:rsidRPr="00000000">
        <w:rPr>
          <w:rtl w:val="0"/>
        </w:rPr>
        <w:t xml:space="preserve">have identified many genomic variants associated with psychiatric disease risk, for the vast majority we have little understanding of the molecular mechanisms affecting the brain \cite{19339359}.</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To this end, a number of studies have begun to elucidate the molecular steps on the path from genomic alteration to risk. For instance, the Psychiatric Genomics Consortium (PGC) has recently identified </w:t>
      </w:r>
      <w:r w:rsidDel="00000000" w:rsidR="00000000" w:rsidRPr="00000000">
        <w:rPr>
          <w:rtl w:val="0"/>
        </w:rPr>
        <w:t xml:space="preserve">1</w:t>
      </w:r>
      <w:r w:rsidDel="00000000" w:rsidR="00000000" w:rsidRPr="00000000">
        <w:rPr>
          <w:rtl w:val="0"/>
        </w:rPr>
        <w:t xml:space="preserve">42 GWAS loci associated with schizophrenia \cite{26404826}. Many of these lie in non-coding regions \cite{26404826}, suggestive of roles in gene regulation. Other consortia have annotated non-coding regions using expression quantitative-trait loci (eQTLs) from the Genotype-Tissue Expression (GTEx) project and enhancers from the ENCODE and Epigenomics Roadmap projects. However, none of these projects have specifically tailored their efforts toward the brain. The initial work focusing on identifying brain-specific genomic elements has provided greater insight into brain-specific functional genomics \cite{27668389, 22031444}, but could be enhanced with larger sample sizes from both healthy and diseased samples. Moreover, many new assays for functional elements have been recently developed, such as Hi-C and single-cell sequencing, which have yet to be fully integrated with brain genomics data, at scale \cite{27760116,27339989, 26060301}.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Hence, the PsychE</w:t>
      </w:r>
      <w:r w:rsidDel="00000000" w:rsidR="00000000" w:rsidRPr="00000000">
        <w:rPr>
          <w:rtl w:val="0"/>
        </w:rPr>
        <w:t xml:space="preserve">NCODE Consortium has generated a large-scale dataset for providing insights into the adult human brain and psychiatric disorders, including data derived through genotyping, bulk and single-cell RNA-seq, ChIP-seq, ATAC-seq, and Hi-C using brains from 1866 individuals \cite{26605881}.  All raw and uniformly processed data at both tissue and single-cell level have been placed into a central, publically available resource for brain functional genomics, that also integrates relevant re-processed data from other related projects, including ENCODE, CommonMind (CMC), GTEx, Epigenomics Roadmap, with nearly ~12,000 data samples in total. By leveraging this resource, we were able to identify functional elements and QTLs specific to the adult brain, including novel psychiatric GWAS and gene linkages. Moreover, we combined these elements to build an integrated deep-learning model. This tool can utilize the richly structured data of th</w:t>
      </w:r>
      <w:r w:rsidDel="00000000" w:rsidR="00000000" w:rsidRPr="00000000">
        <w:rPr>
          <w:rtl w:val="0"/>
        </w:rPr>
        <w:t xml:space="preserve">e resource to identify interactions between genotype and molecular phenotypes at multiple layers, as well as predict high-level traits. </w:t>
      </w:r>
    </w:p>
    <w:p w:rsidR="00000000" w:rsidDel="00000000" w:rsidP="00000000" w:rsidRDefault="00000000" w:rsidRPr="00000000" w14:paraId="0000000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contextualSpacing w:val="0"/>
        <w:rPr>
          <w:b w:val="1"/>
          <w:sz w:val="34"/>
          <w:szCs w:val="34"/>
        </w:rPr>
      </w:pPr>
      <w:commentRangeStart w:id="0"/>
      <w:r w:rsidDel="00000000" w:rsidR="00000000" w:rsidRPr="00000000">
        <w:rPr>
          <w:b w:val="1"/>
          <w:sz w:val="34"/>
          <w:szCs w:val="34"/>
          <w:u w:val="single"/>
          <w:rtl w:val="0"/>
        </w:rPr>
        <w:t xml:space="preserve">R</w:t>
      </w:r>
      <w:r w:rsidDel="00000000" w:rsidR="00000000" w:rsidRPr="00000000">
        <w:rPr>
          <w:b w:val="1"/>
          <w:sz w:val="34"/>
          <w:szCs w:val="34"/>
          <w:u w:val="single"/>
          <w:rtl w:val="0"/>
        </w:rPr>
        <w:t xml:space="preserve">esource construction</w:t>
      </w:r>
      <w:commentRangeEnd w:id="0"/>
      <w:r w:rsidDel="00000000" w:rsidR="00000000" w:rsidRPr="00000000">
        <w:commentReference w:id="0"/>
      </w:r>
      <w:r w:rsidDel="00000000" w:rsidR="00000000" w:rsidRPr="00000000">
        <w:rPr>
          <w:b w:val="1"/>
          <w:sz w:val="34"/>
          <w:szCs w:val="34"/>
          <w:rtl w:val="0"/>
        </w:rPr>
        <w:t xml:space="preserve"> (196)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We designed the resource Adult.PsychENCODE.org to provide coherent structure to a large amount of data on brain functional genomics \cite{Supplement}. Broadly, it organizes data hierarchically, with a large base of raw data files (many of which have restricted access, such as individual genotyping and raw next-generation sequencing of transcriptomics and epigenomics), a middle layer of uniformly processed and easily shareable results (such as open-chromatin regions and gene-expression quantifications), and a compact cap that consists of an integrative model based on imputed regulatory networks and QTLs. As shown in Fig. 1, to build the base layer we included all the adult data from PsychENCODE (~5,500 datasets derived from 1,866 individual brains) and merged these with relevant data from ENCODE, CMC, GTEx, Roadmap, and recent single-cell </w:t>
      </w:r>
      <w:r w:rsidDel="00000000" w:rsidR="00000000" w:rsidRPr="00000000">
        <w:rPr>
          <w:rtl w:val="0"/>
        </w:rPr>
        <w:t xml:space="preserve">studies</w:t>
      </w:r>
      <w:r w:rsidDel="00000000" w:rsidR="00000000" w:rsidRPr="00000000">
        <w:rPr>
          <w:rtl w:val="0"/>
        </w:rPr>
        <w:t xml:space="preserve"> (~5,000 additional datasets) \cite{27339989, 26060301} . These data cover a representation of phenotypes and psychiatric disorders (schizophrenia, bipolar, autism). Furthermore, the PsychENCODE project developed a specific "reference brain" projec</w:t>
      </w:r>
      <w:r w:rsidDel="00000000" w:rsidR="00000000" w:rsidRPr="00000000">
        <w:rPr>
          <w:rtl w:val="0"/>
        </w:rPr>
        <w:t xml:space="preserve">t on adult prefrontal cortex (PFC) utiliz</w:t>
      </w:r>
      <w:r w:rsidDel="00000000" w:rsidR="00000000" w:rsidRPr="00000000">
        <w:rPr>
          <w:rtl w:val="0"/>
        </w:rPr>
        <w:t xml:space="preserve">ing many matched assays on the same set of brain tissues, which we used (below) to develop an anchoring annotation \cite{Supplement}.</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spacing w:after="80" w:lineRule="auto"/>
        <w:contextualSpacing w:val="0"/>
        <w:rPr>
          <w:b w:val="1"/>
          <w:sz w:val="34"/>
          <w:szCs w:val="34"/>
        </w:rPr>
      </w:pPr>
      <w:r w:rsidDel="00000000" w:rsidR="00000000" w:rsidRPr="00000000">
        <w:rPr>
          <w:b w:val="1"/>
          <w:sz w:val="34"/>
          <w:szCs w:val="34"/>
          <w:u w:val="single"/>
          <w:rtl w:val="0"/>
        </w:rPr>
        <w:t xml:space="preserve">Transcriptome analysis</w:t>
      </w:r>
      <w:r w:rsidDel="00000000" w:rsidR="00000000" w:rsidRPr="00000000">
        <w:rPr>
          <w:b w:val="1"/>
          <w:sz w:val="34"/>
          <w:szCs w:val="34"/>
          <w:rtl w:val="0"/>
        </w:rPr>
        <w:t xml:space="preserve">: Bulk &amp; single-cell (660)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To identify the genomic elements exhibiting transcriptional activities specific to the adult brain, we used the ENCODE pipeline to uniformly process RNA-seq data of all available samples from PsychENCODE, GTEx and Roadmap. Using these data, we identified a wide variety of interpretable brain functional elements, such as non-coding regions of transcription, and sets of differentially expressed and co-expressed genes as part of resource -  e.g., </w:t>
      </w:r>
      <w:r w:rsidDel="00000000" w:rsidR="00000000" w:rsidRPr="00000000">
        <w:rPr>
          <w:rtl w:val="0"/>
        </w:rPr>
        <w:t xml:space="preserve">12,080 genes were transcribed in the brains of 95% of the individuals surveyed</w:t>
      </w:r>
      <w:r w:rsidDel="00000000" w:rsidR="00000000" w:rsidRPr="00000000">
        <w:rPr>
          <w:rtl w:val="0"/>
        </w:rPr>
        <w:t xml:space="preserve"> and over 16,000 protein-coding and 9,000 non-coding genes were detected in total \cite{cap1, Supplement}.</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Brain tissues are composed of a variety of cell types, including neuronal and non-neuronal cells. Previous studies have suggested that gene-expression changes at the tissue level may be associated with changing proportions of basic cell types \cite{21614001, 29439242,18849986, 27409810}. However, studies have not systematically revealed how different cell types can quantitatively contribute to population-level expression variation. Here, we addressed whether expression changes over our cohort of 1,866 adults were driven by expression changes in a particular cell type or whether they resulted from changing proportions of various cell types.</w:t>
      </w:r>
    </w:p>
    <w:p w:rsidR="00000000" w:rsidDel="00000000" w:rsidP="00000000" w:rsidRDefault="00000000" w:rsidRPr="00000000" w14:paraId="0000001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contextualSpacing w:val="0"/>
        <w:rPr/>
      </w:pPr>
      <w:r w:rsidDel="00000000" w:rsidR="00000000" w:rsidRPr="00000000">
        <w:rPr>
          <w:rtl w:val="0"/>
        </w:rPr>
        <w:t xml:space="preserve">We used two complementary strategies. First, we used the standard pipeline to uniformly process single-cell RNA-seq data in PsychENCODE, in conjunction with a number of other single-cell studies on the brain, in order to assemble a list of brain cell types for the project. This includes previously identified neuronal types, major non-neuronal types, and a number of additional cell types involved in brain development \cite{Supplement}. The results constitute a matrix (C) of expression signatures, mostly concordant with what has been published (</w:t>
      </w:r>
      <w:r w:rsidDel="00000000" w:rsidR="00000000" w:rsidRPr="00000000">
        <w:rPr>
          <w:rtl w:val="0"/>
        </w:rPr>
        <w:t xml:space="preserve">Fig</w:t>
      </w:r>
      <w:r w:rsidDel="00000000" w:rsidR="00000000" w:rsidRPr="00000000">
        <w:rPr>
          <w:rtl w:val="0"/>
        </w:rPr>
        <w:t xml:space="preserve">. S5 and Discussion). A number of genes had expression levels varying more substantially across these cell types than they did across individuals in a population (e.g., the dopamine receptor DRD3, Fig. 2A). </w:t>
      </w:r>
      <w:r w:rsidDel="00000000" w:rsidR="00000000" w:rsidRPr="00000000">
        <w:rPr>
          <w:rtl w:val="0"/>
        </w:rPr>
        <w:t xml:space="preserve">This implies that </w:t>
      </w:r>
      <w:r w:rsidDel="00000000" w:rsidR="00000000" w:rsidRPr="00000000">
        <w:rPr>
          <w:rtl w:val="0"/>
        </w:rPr>
        <w:t xml:space="preserve">the changes in bulk expression can readily result from cell fraction variations.</w:t>
      </w:r>
    </w:p>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contextualSpacing w:val="0"/>
        <w:rPr/>
      </w:pPr>
      <w:r w:rsidDel="00000000" w:rsidR="00000000" w:rsidRPr="00000000">
        <w:rPr>
          <w:rtl w:val="0"/>
        </w:rPr>
        <w:t xml:space="preserve">To explore this further, we used a second strategy: an unsupervised analysis to identify the primary components of bulk expression variation as they relate to cell types. We decomposed the bulk gene-expression matrix (B) from our resource using non-negative matrix factorization (NMF), </w:t>
      </w:r>
      <w:r w:rsidDel="00000000" w:rsidR="00000000" w:rsidRPr="00000000">
        <w:rPr>
          <w:rtl w:val="0"/>
        </w:rPr>
        <w:t xml:space="preserve">B</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VH</w:t>
      </w:r>
      <w:r w:rsidDel="00000000" w:rsidR="00000000" w:rsidRPr="00000000">
        <w:rPr>
          <w:rtl w:val="0"/>
        </w:rPr>
        <w:t xml:space="preserve">, and then determined whether the top components capturing the majority of covariance (NMF-TCs, columns of matrix V) were consistent with the single-cell signatures (Fig. 2B and C, see \cite{Supplement}).</w:t>
      </w:r>
      <w:r w:rsidDel="00000000" w:rsidR="00000000" w:rsidRPr="00000000">
        <w:rPr>
          <w:color w:val="0000ff"/>
          <w:rtl w:val="0"/>
        </w:rPr>
        <w:t xml:space="preserve"> </w:t>
      </w:r>
      <w:r w:rsidDel="00000000" w:rsidR="00000000" w:rsidRPr="00000000">
        <w:rPr>
          <w:rtl w:val="0"/>
        </w:rPr>
        <w:t xml:space="preserve">W</w:t>
      </w:r>
      <w:r w:rsidDel="00000000" w:rsidR="00000000" w:rsidRPr="00000000">
        <w:rPr>
          <w:rtl w:val="0"/>
        </w:rPr>
        <w:t xml:space="preserve">e found that a number of NMF-TCs highly correlated with neuronal, non-neuronal, and development-related cell types, demonstrating </w:t>
      </w:r>
      <w:r w:rsidDel="00000000" w:rsidR="00000000" w:rsidRPr="00000000">
        <w:rPr>
          <w:rtl w:val="0"/>
        </w:rPr>
        <w:t xml:space="preserve">that </w:t>
      </w:r>
      <w:r w:rsidDel="00000000" w:rsidR="00000000" w:rsidRPr="00000000">
        <w:rPr>
          <w:rtl w:val="0"/>
        </w:rPr>
        <w:t xml:space="preserve">an unsupervised analysis derived solely from bulk data roughly matches the single-cell signatures partially corroborating them.</w:t>
      </w:r>
    </w:p>
    <w:p w:rsidR="00000000" w:rsidDel="00000000" w:rsidP="00000000" w:rsidRDefault="00000000" w:rsidRPr="00000000" w14:paraId="00000017">
      <w:pPr>
        <w:contextualSpacing w:val="0"/>
        <w:rPr/>
      </w:pPr>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t xml:space="preserve">We then tried to understand how variation in proportions of cell types contributes to variation in bulk expression. In particular, we de-convolved the expression matrix of tissue (B) using the single-cell signatures (C) to estimate the cell-fractions W, solving the equation </w:t>
      </w:r>
      <w:r w:rsidDel="00000000" w:rsidR="00000000" w:rsidRPr="00000000">
        <w:rPr>
          <w:rtl w:val="0"/>
        </w:rPr>
        <w:t xml:space="preserve">B</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CW</w:t>
      </w:r>
      <w:r w:rsidDel="00000000" w:rsidR="00000000" w:rsidRPr="00000000">
        <w:rPr>
          <w:rtl w:val="0"/>
        </w:rPr>
        <w:t xml:space="preserve"> \cite{Supplement} (Fig. 2B). As validation, our estimated fractions of NEU+/- cells matched the experimentally determined fractions from the reference brain samples (Median error = 0.04, Fig. S6) and compared our results with previous deconvolution methods \cite{Supplement}. Overall, we found that single-cell expression signatures could explain much of the population-level expression variation (Fig. 2D, i.e., across tissue samples from different individuals 1-||B-CW||</w:t>
      </w:r>
      <w:r w:rsidDel="00000000" w:rsidR="00000000" w:rsidRPr="00000000">
        <w:rPr>
          <w:vertAlign w:val="superscript"/>
          <w:rtl w:val="0"/>
        </w:rPr>
        <w:t xml:space="preserve">2</w:t>
      </w:r>
      <w:r w:rsidDel="00000000" w:rsidR="00000000" w:rsidRPr="00000000">
        <w:rPr>
          <w:rtl w:val="0"/>
        </w:rPr>
        <w:t xml:space="preserve">/||B||</w:t>
      </w:r>
      <w:r w:rsidDel="00000000" w:rsidR="00000000" w:rsidRPr="00000000">
        <w:rPr>
          <w:vertAlign w:val="superscript"/>
          <w:rtl w:val="0"/>
        </w:rPr>
        <w:t xml:space="preserve">2</w:t>
      </w:r>
      <w:r w:rsidDel="00000000" w:rsidR="00000000" w:rsidRPr="00000000">
        <w:rPr>
          <w:rtl w:val="0"/>
        </w:rPr>
        <w:t xml:space="preserve">&gt;85%</w:t>
      </w:r>
      <w:r w:rsidDel="00000000" w:rsidR="00000000" w:rsidRPr="00000000">
        <w:rPr>
          <w:rtl w:val="0"/>
        </w:rPr>
        <w:t xml:space="preserve">) \cite{Supplement}.</w:t>
      </w: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Finally, we found that cell-fraction changes were associated with different observed phenotypes and disorders (Fig. 2E, SXXX). For example, particular excitatory and inhibitory neurons exhibited different fractions between male and female samples (i.e., Ex3 and In8). The fraction of Ex3 was also reduced in autism spectrum disorder (p=0.0077), where non-neuronal cells (e.g., oligodendrocytes) were represented in greater abundance. Another interesting association was with age. In particular, the fractions of neuronal types Ex3 and Ex4 significantly increased with age; by contrast, some non-neuronal types (e.g. oligodendrocytes) decreased. These changes are potentially associated with differentially expressed genes. For example, a gene involved in the early growth response was down-regulated in older groups, whereas ceruloplasmin was down-regulated in the middle-aged (Fig. 2F).</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spacing w:after="80" w:lineRule="auto"/>
        <w:contextualSpacing w:val="0"/>
        <w:rPr>
          <w:b w:val="1"/>
          <w:sz w:val="34"/>
          <w:szCs w:val="34"/>
        </w:rPr>
      </w:pPr>
      <w:commentRangeStart w:id="1"/>
      <w:r w:rsidDel="00000000" w:rsidR="00000000" w:rsidRPr="00000000">
        <w:rPr>
          <w:b w:val="1"/>
          <w:sz w:val="34"/>
          <w:szCs w:val="34"/>
          <w:u w:val="single"/>
          <w:rtl w:val="0"/>
        </w:rPr>
        <w:t xml:space="preserve">Enhancers</w:t>
      </w:r>
      <w:commentRangeEnd w:id="1"/>
      <w:r w:rsidDel="00000000" w:rsidR="00000000" w:rsidRPr="00000000">
        <w:commentReference w:id="1"/>
      </w:r>
      <w:r w:rsidDel="00000000" w:rsidR="00000000" w:rsidRPr="00000000">
        <w:rPr>
          <w:b w:val="1"/>
          <w:sz w:val="34"/>
          <w:szCs w:val="34"/>
          <w:rtl w:val="0"/>
        </w:rPr>
        <w:t xml:space="preserve"> (440)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Using an approach consistent with ENCODE, w</w:t>
      </w:r>
      <w:r w:rsidDel="00000000" w:rsidR="00000000" w:rsidRPr="00000000">
        <w:rPr>
          <w:rtl w:val="0"/>
        </w:rPr>
        <w:t xml:space="preserve">e used chromatin modification signals to identify enhancers active in the brain \cite{Supplement}. We based this on the reference brain (see above), supplemented by the DNase and ChIP-seq data of the same brain region from Roadmap Epigenomics. Overall, we annotated a reference set of 79,056 enhancers active in PFC, enriched in H3K27ac and depleted in H3K4me3 </w:t>
      </w:r>
      <w:r w:rsidDel="00000000" w:rsidR="00000000" w:rsidRPr="00000000">
        <w:rPr>
          <w:rtl w:val="0"/>
        </w:rPr>
        <w:t xml:space="preserve">(Fig. 3A).</w:t>
      </w:r>
    </w:p>
    <w:p w:rsidR="00000000" w:rsidDel="00000000" w:rsidP="00000000" w:rsidRDefault="00000000" w:rsidRPr="00000000" w14:paraId="0000001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contextualSpacing w:val="0"/>
        <w:rPr/>
      </w:pPr>
      <w:r w:rsidDel="00000000" w:rsidR="00000000" w:rsidRPr="00000000">
        <w:rPr>
          <w:rtl w:val="0"/>
        </w:rPr>
        <w:t xml:space="preserve">Assessing the variability of enhancers </w:t>
      </w:r>
      <w:r w:rsidDel="00000000" w:rsidR="00000000" w:rsidRPr="00000000">
        <w:rPr>
          <w:rtl w:val="0"/>
        </w:rPr>
        <w:t xml:space="preserve">across individuals and tissues </w:t>
      </w:r>
      <w:r w:rsidDel="00000000" w:rsidR="00000000" w:rsidRPr="00000000">
        <w:rPr>
          <w:rtl w:val="0"/>
        </w:rPr>
        <w:t xml:space="preserve">is more difficult than performing the analogous comparison for gene expression. Not only does the chromatin signal change across the population, but the boundaries of enhancers grow and shrink, sometimes disappearing altogether (Fig. 3A). To investigate chromatin variability across the population, we uniformly processed the H3K27ac data from PFC, temporal cortex (TC), and cerebellum (</w:t>
      </w:r>
      <w:r w:rsidDel="00000000" w:rsidR="00000000" w:rsidRPr="00000000">
        <w:rPr>
          <w:rtl w:val="0"/>
        </w:rPr>
        <w:t xml:space="preserve">CB</w:t>
      </w:r>
      <w:r w:rsidDel="00000000" w:rsidR="00000000" w:rsidRPr="00000000">
        <w:rPr>
          <w:rtl w:val="0"/>
        </w:rPr>
        <w:t xml:space="preserve">C) on a cohort of 50 individuals \cite{Supplement}. Aggregating</w:t>
      </w:r>
      <w:r w:rsidDel="00000000" w:rsidR="00000000" w:rsidRPr="00000000">
        <w:rPr>
          <w:rtl w:val="0"/>
        </w:rPr>
        <w:t xml:space="preserve"> ChIP-seq data a</w:t>
      </w:r>
      <w:r w:rsidDel="00000000" w:rsidR="00000000" w:rsidRPr="00000000">
        <w:rPr>
          <w:rtl w:val="0"/>
        </w:rPr>
        <w:t xml:space="preserve">cross the cohort resulted in a total of 37,761 H3K27ac "</w:t>
      </w:r>
      <w:r w:rsidDel="00000000" w:rsidR="00000000" w:rsidRPr="00000000">
        <w:rPr>
          <w:rtl w:val="0"/>
        </w:rPr>
        <w:t xml:space="preserve">peaks</w:t>
      </w:r>
      <w:r w:rsidDel="00000000" w:rsidR="00000000" w:rsidRPr="00000000">
        <w:rPr>
          <w:rtl w:val="0"/>
        </w:rPr>
        <w:t xml:space="preserve">" (enriched regions) in PFC, 42,683 in TC, and 26,631 in CB --</w:t>
      </w:r>
      <w:r w:rsidDel="00000000" w:rsidR="00000000" w:rsidRPr="00000000">
        <w:rPr>
          <w:rtl w:val="0"/>
        </w:rPr>
        <w:t xml:space="preserve"> each of them present in more than half of </w:t>
      </w:r>
      <w:r w:rsidDel="00000000" w:rsidR="00000000" w:rsidRPr="00000000">
        <w:rPr>
          <w:rtl w:val="0"/>
        </w:rPr>
        <w:t xml:space="preserve">the population. Comparing aggregate sets for these three brain regions, the PFC was more similar to TC than CB (~90% vs 34% overlap in H3K27ac peaks), consistent with previous reports \cite{27863250}.</w:t>
      </w:r>
    </w:p>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contextualSpacing w:val="0"/>
        <w:rPr/>
      </w:pPr>
      <w:r w:rsidDel="00000000" w:rsidR="00000000" w:rsidRPr="00000000">
        <w:rPr>
          <w:rtl w:val="0"/>
        </w:rPr>
        <w:t xml:space="preserve">W</w:t>
      </w:r>
      <w:r w:rsidDel="00000000" w:rsidR="00000000" w:rsidRPr="00000000">
        <w:rPr>
          <w:rtl w:val="0"/>
        </w:rPr>
        <w:t xml:space="preserve">e also examined the overlap of the reference brain enhancers with H3K27ac in each of the individuals. As expected, not every active enhancer in the reference annotation </w:t>
      </w:r>
      <w:r w:rsidDel="00000000" w:rsidR="00000000" w:rsidRPr="00000000">
        <w:rPr>
          <w:rtl w:val="0"/>
        </w:rPr>
        <w:t xml:space="preserve">was</w:t>
      </w:r>
      <w:r w:rsidDel="00000000" w:rsidR="00000000" w:rsidRPr="00000000">
        <w:rPr>
          <w:rtl w:val="0"/>
        </w:rPr>
        <w:t xml:space="preserve"> active in every individual in the cohort. </w:t>
      </w:r>
      <w:r w:rsidDel="00000000" w:rsidR="00000000" w:rsidRPr="00000000">
        <w:rPr>
          <w:rtl w:val="0"/>
        </w:rPr>
        <w:t xml:space="preserve">In fact, on average ~70% ± 15% (~54,000) of the enhancers in the reference brain </w:t>
      </w:r>
      <w:r w:rsidDel="00000000" w:rsidR="00000000" w:rsidRPr="00000000">
        <w:rPr>
          <w:rtl w:val="0"/>
        </w:rPr>
        <w:t xml:space="preserve">were</w:t>
      </w:r>
      <w:r w:rsidDel="00000000" w:rsidR="00000000" w:rsidRPr="00000000">
        <w:rPr>
          <w:rtl w:val="0"/>
        </w:rPr>
        <w:t xml:space="preserve"> active in </w:t>
      </w:r>
      <w:r w:rsidDel="00000000" w:rsidR="00000000" w:rsidRPr="00000000">
        <w:rPr>
          <w:rtl w:val="0"/>
        </w:rPr>
        <w:t xml:space="preserve">another</w:t>
      </w:r>
      <w:r w:rsidDel="00000000" w:rsidR="00000000" w:rsidRPr="00000000">
        <w:rPr>
          <w:rtl w:val="0"/>
        </w:rPr>
        <w:t xml:space="preserve"> individual in the cohort (Fig. 3B)</w:t>
      </w:r>
      <w:r w:rsidDel="00000000" w:rsidR="00000000" w:rsidRPr="00000000">
        <w:rPr>
          <w:rtl w:val="0"/>
        </w:rPr>
        <w:t xml:space="preserve">. </w:t>
      </w:r>
      <w:r w:rsidDel="00000000" w:rsidR="00000000" w:rsidRPr="00000000">
        <w:rPr>
          <w:rtl w:val="0"/>
        </w:rPr>
        <w:t xml:space="preserve">As expected, only a </w:t>
      </w:r>
      <w:commentRangeStart w:id="2"/>
      <w:r w:rsidDel="00000000" w:rsidR="00000000" w:rsidRPr="00000000">
        <w:rPr>
          <w:rtl w:val="0"/>
        </w:rPr>
        <w:t xml:space="preserve">core set of reference enhancers</w:t>
      </w:r>
      <w:commentRangeEnd w:id="2"/>
      <w:r w:rsidDel="00000000" w:rsidR="00000000" w:rsidRPr="00000000">
        <w:commentReference w:id="2"/>
      </w:r>
      <w:r w:rsidDel="00000000" w:rsidR="00000000" w:rsidRPr="00000000">
        <w:rPr>
          <w:rtl w:val="0"/>
        </w:rPr>
        <w:t xml:space="preserve"> </w:t>
      </w:r>
      <w:r w:rsidDel="00000000" w:rsidR="00000000" w:rsidRPr="00000000">
        <w:rPr>
          <w:rtl w:val="0"/>
        </w:rPr>
        <w:t xml:space="preserve">was</w:t>
      </w:r>
      <w:r w:rsidDel="00000000" w:rsidR="00000000" w:rsidRPr="00000000">
        <w:rPr>
          <w:rtl w:val="0"/>
        </w:rPr>
        <w:t xml:space="preserve"> ubiquitously active in every person, with a larger fraction (~</w:t>
      </w:r>
      <w:r w:rsidDel="00000000" w:rsidR="00000000" w:rsidRPr="00000000">
        <w:rPr>
          <w:rtl w:val="0"/>
        </w:rPr>
        <w:t xml:space="preserve">68</w:t>
      </w:r>
      <w:r w:rsidDel="00000000" w:rsidR="00000000" w:rsidRPr="00000000">
        <w:rPr>
          <w:rtl w:val="0"/>
        </w:rPr>
        <w:t xml:space="preserve">%) </w:t>
      </w:r>
      <w:r w:rsidDel="00000000" w:rsidR="00000000" w:rsidRPr="00000000">
        <w:rPr>
          <w:rtl w:val="0"/>
        </w:rPr>
        <w:t xml:space="preserve">being </w:t>
      </w:r>
      <w:r w:rsidDel="00000000" w:rsidR="00000000" w:rsidRPr="00000000">
        <w:rPr>
          <w:rtl w:val="0"/>
        </w:rPr>
        <w:t xml:space="preserve">active in more than half of the population. To estimate the total number of enhancers in PFC, we calculated the cumulative number of active regions across the cohort (Fig. </w:t>
      </w:r>
      <w:commentRangeStart w:id="3"/>
      <w:r w:rsidDel="00000000" w:rsidR="00000000" w:rsidRPr="00000000">
        <w:rPr>
          <w:highlight w:val="yellow"/>
          <w:rtl w:val="0"/>
        </w:rPr>
        <w:t xml:space="preserve">SX</w:t>
      </w:r>
      <w:commentRangeEnd w:id="3"/>
      <w:r w:rsidDel="00000000" w:rsidR="00000000" w:rsidRPr="00000000">
        <w:commentReference w:id="3"/>
      </w:r>
      <w:r w:rsidDel="00000000" w:rsidR="00000000" w:rsidRPr="00000000">
        <w:rPr>
          <w:rtl w:val="0"/>
        </w:rPr>
        <w:t xml:space="preserve">). This number increase</w:t>
      </w:r>
      <w:r w:rsidDel="00000000" w:rsidR="00000000" w:rsidRPr="00000000">
        <w:rPr>
          <w:rtl w:val="0"/>
        </w:rPr>
        <w:t xml:space="preserve">d</w:t>
      </w:r>
      <w:r w:rsidDel="00000000" w:rsidR="00000000" w:rsidRPr="00000000">
        <w:rPr>
          <w:rtl w:val="0"/>
        </w:rPr>
        <w:t xml:space="preserve"> dramatically for the first 20 individuals sampled, but saturated at the 30th. Thus, w</w:t>
      </w:r>
      <w:r w:rsidDel="00000000" w:rsidR="00000000" w:rsidRPr="00000000">
        <w:rPr>
          <w:rtl w:val="0"/>
        </w:rPr>
        <w:t xml:space="preserve">e hypothesize that pooling the identified </w:t>
      </w:r>
      <w:r w:rsidDel="00000000" w:rsidR="00000000" w:rsidRPr="00000000">
        <w:rPr>
          <w:rtl w:val="0"/>
        </w:rPr>
        <w:t xml:space="preserve">PFC</w:t>
      </w:r>
      <w:r w:rsidDel="00000000" w:rsidR="00000000" w:rsidRPr="00000000">
        <w:rPr>
          <w:rtl w:val="0"/>
        </w:rPr>
        <w:t xml:space="preserve"> enhancers from 30 individuals is sufficient to cover nearly all potential enhancers in</w:t>
      </w:r>
      <w:r w:rsidDel="00000000" w:rsidR="00000000" w:rsidRPr="00000000">
        <w:rPr>
          <w:rtl w:val="0"/>
        </w:rPr>
        <w:t xml:space="preserve"> </w:t>
      </w:r>
      <w:r w:rsidDel="00000000" w:rsidR="00000000" w:rsidRPr="00000000">
        <w:rPr>
          <w:rtl w:val="0"/>
        </w:rPr>
        <w:t xml:space="preserve">PFC, estimated at ~120</w:t>
      </w:r>
      <w:r w:rsidDel="00000000" w:rsidR="00000000" w:rsidRPr="00000000">
        <w:rPr>
          <w:rtl w:val="0"/>
        </w:rPr>
        <w:t xml:space="preserve">,000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 </w:t>
      </w:r>
    </w:p>
    <w:p w:rsidR="00000000" w:rsidDel="00000000" w:rsidP="00000000" w:rsidRDefault="00000000" w:rsidRPr="00000000" w14:paraId="00000023">
      <w:pPr>
        <w:contextualSpacing w:val="0"/>
        <w:rPr>
          <w:b w:val="1"/>
          <w:sz w:val="34"/>
          <w:szCs w:val="34"/>
        </w:rPr>
      </w:pPr>
      <w:commentRangeStart w:id="4"/>
      <w:r w:rsidDel="00000000" w:rsidR="00000000" w:rsidRPr="00000000">
        <w:rPr>
          <w:b w:val="1"/>
          <w:sz w:val="34"/>
          <w:szCs w:val="34"/>
          <w:u w:val="single"/>
          <w:rtl w:val="0"/>
        </w:rPr>
        <w:t xml:space="preserve">Consistent comparison</w:t>
      </w:r>
      <w:commentRangeEnd w:id="4"/>
      <w:r w:rsidDel="00000000" w:rsidR="00000000" w:rsidRPr="00000000">
        <w:commentReference w:id="4"/>
      </w:r>
      <w:r w:rsidDel="00000000" w:rsidR="00000000" w:rsidRPr="00000000">
        <w:rPr>
          <w:b w:val="1"/>
          <w:sz w:val="34"/>
          <w:szCs w:val="34"/>
          <w:rtl w:val="0"/>
        </w:rPr>
        <w:t xml:space="preserve">: transcriptome &amp; epigenome (270)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As</w:t>
      </w:r>
      <w:r w:rsidDel="00000000" w:rsidR="00000000" w:rsidRPr="00000000">
        <w:rPr>
          <w:rtl w:val="0"/>
        </w:rPr>
        <w:t xml:space="preserve"> we uniformly processed the transcriptomic and epigenomic data across PsychENCODE, ENCODE, GTEx, and Roadmap datasets, we could compare the brain to other organs in a consistent fashion and also to compare across transcriptome and epigenome. We tried several approaches, including PCA, t-SNE, and reference component analysis (RCA) for an appropriate comparison. </w:t>
      </w:r>
      <w:r w:rsidDel="00000000" w:rsidR="00000000" w:rsidRPr="00000000">
        <w:rPr>
          <w:rtl w:val="0"/>
        </w:rPr>
        <w:t xml:space="preserve">Although popular, PCA de-emphasizes local structure and can be easily influenced by outliers; in contrast, t-SNE preserves local relationships but “shatters” global structure \cite{Supplement}. </w:t>
      </w:r>
      <w:r w:rsidDel="00000000" w:rsidR="00000000" w:rsidRPr="00000000">
        <w:rPr>
          <w:rtl w:val="0"/>
        </w:rPr>
        <w:t xml:space="preserve">RCA is a compromise: it projects gene expression in an individual sample against a reference panel, and then essentially reduces the dimensionality of the projections.</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For gene expression, our comparison revealed that the brain separates from the other tissues in the first component (Fig. 3E). Inter-tissue differences were larger than intra-tissue ones (Fig. </w:t>
      </w:r>
      <w:commentRangeStart w:id="5"/>
      <w:r w:rsidDel="00000000" w:rsidR="00000000" w:rsidRPr="00000000">
        <w:rPr>
          <w:rtl w:val="0"/>
        </w:rPr>
        <w:t xml:space="preserve">SXXX</w:t>
      </w:r>
      <w:commentRangeEnd w:id="5"/>
      <w:r w:rsidDel="00000000" w:rsidR="00000000" w:rsidRPr="00000000">
        <w:commentReference w:id="5"/>
      </w:r>
      <w:r w:rsidDel="00000000" w:rsidR="00000000" w:rsidRPr="00000000">
        <w:rPr>
          <w:rtl w:val="0"/>
        </w:rPr>
        <w:t xml:space="preserve">). A different picture emerged for chromatin: c</w:t>
      </w:r>
      <w:r w:rsidDel="00000000" w:rsidR="00000000" w:rsidRPr="00000000">
        <w:rPr>
          <w:rtl w:val="0"/>
        </w:rPr>
        <w:t xml:space="preserve">omparison showed that the chromatin levels at all regulatory positions were, overall, less distinguishable between brain and other tissues (Fig. 3C) \cite{Supplement}.</w:t>
      </w:r>
      <w:r w:rsidDel="00000000" w:rsidR="00000000" w:rsidRPr="00000000">
        <w:rPr>
          <w:rtl w:val="0"/>
        </w:rPr>
        <w:t xml:space="preserve"> At first glance, this is </w:t>
      </w:r>
      <w:r w:rsidDel="00000000" w:rsidR="00000000" w:rsidRPr="00000000">
        <w:rPr>
          <w:rtl w:val="0"/>
        </w:rPr>
        <w:t xml:space="preserve">surprising</w:t>
      </w:r>
      <w:r w:rsidDel="00000000" w:rsidR="00000000" w:rsidRPr="00000000">
        <w:rPr>
          <w:rtl w:val="0"/>
        </w:rPr>
        <w:t xml:space="preserve"> as one expects great differences in epigenetics between tissues. Note, however, our analysis compares chromatin signals over all n</w:t>
      </w:r>
      <w:r w:rsidDel="00000000" w:rsidR="00000000" w:rsidRPr="00000000">
        <w:rPr>
          <w:rtl w:val="0"/>
        </w:rPr>
        <w:t xml:space="preserve">on-coding regulatory elements from ENCODE (including enhancers and promoters), which is consistent with the comparison across all protein-coding genes (Fig. 3F). The total number of regulatory elements is much</w:t>
      </w:r>
      <w:r w:rsidDel="00000000" w:rsidR="00000000" w:rsidRPr="00000000">
        <w:rPr>
          <w:rtl w:val="0"/>
        </w:rPr>
        <w:t xml:space="preserve"> larger than </w:t>
      </w:r>
      <w:r w:rsidDel="00000000" w:rsidR="00000000" w:rsidRPr="00000000">
        <w:rPr>
          <w:rtl w:val="0"/>
        </w:rPr>
        <w:t xml:space="preserve">brain-active enhancers (1.3M vs. ~79K), </w:t>
      </w:r>
      <w:r w:rsidDel="00000000" w:rsidR="00000000" w:rsidRPr="00000000">
        <w:rPr>
          <w:rtl w:val="0"/>
        </w:rPr>
        <w:t xml:space="preserve">so there are proportionately fewer brain-active regulatory elements than genes (6% vs. 60%).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Our analysis focused on inter-tissue differences in annotated regions (i.e., genes, promoters, and enhancers). However, in addition to the canonical expression differences in protein-coding genes, we also found differences in unannotated non-coding and intergenic regions. In particular, testes and lung have the largest amount of transcriptional diversity overall for </w:t>
      </w:r>
      <w:r w:rsidDel="00000000" w:rsidR="00000000" w:rsidRPr="00000000">
        <w:rPr>
          <w:rtl w:val="0"/>
        </w:rPr>
        <w:t xml:space="preserve">protein-coding genes (i.e., the most genes transcribed, Fig. 3D)</w:t>
      </w:r>
      <w:r w:rsidDel="00000000" w:rsidR="00000000" w:rsidRPr="00000000">
        <w:rPr>
          <w:rtl w:val="0"/>
        </w:rPr>
        <w:t xml:space="preserve">; however, when we shift to unannotated regions, brain tissues, such as cortex and cerebellum, now have a greater extent of transcription than any other tissue.</w:t>
      </w: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b w:val="1"/>
          <w:sz w:val="34"/>
          <w:szCs w:val="34"/>
        </w:rPr>
      </w:pPr>
      <w:commentRangeStart w:id="6"/>
      <w:r w:rsidDel="00000000" w:rsidR="00000000" w:rsidRPr="00000000">
        <w:rPr>
          <w:b w:val="1"/>
          <w:sz w:val="34"/>
          <w:szCs w:val="34"/>
          <w:u w:val="single"/>
          <w:rtl w:val="0"/>
        </w:rPr>
        <w:t xml:space="preserve">QTL analysis</w:t>
      </w:r>
      <w:commentRangeEnd w:id="6"/>
      <w:r w:rsidDel="00000000" w:rsidR="00000000" w:rsidRPr="00000000">
        <w:commentReference w:id="6"/>
      </w:r>
      <w:r w:rsidDel="00000000" w:rsidR="00000000" w:rsidRPr="00000000">
        <w:rPr>
          <w:b w:val="1"/>
          <w:sz w:val="34"/>
          <w:szCs w:val="34"/>
          <w:rtl w:val="0"/>
        </w:rPr>
        <w:t xml:space="preserve"> (408)</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We used the PsychENCODE data to identify QTLs affecting gene expression and chromatin activity. In particular, we calculated expression, chromatin, splicing-isoform, and cell-fraction QTLs (eQTLs, cQTLs, isoQTLs and fQTLs, respectively).</w:t>
      </w:r>
      <w:r w:rsidDel="00000000" w:rsidR="00000000" w:rsidRPr="00000000">
        <w:rPr>
          <w:rtl w:val="0"/>
        </w:rPr>
        <w:t xml:space="preserve"> For eQTLs, we adopted a standard approach, adhering to the established GTEx pipeline. In PFC (Fig. 4C), we identified ~2.5M cis-eQTLs (2,097,741 after </w:t>
      </w:r>
      <w:r w:rsidDel="00000000" w:rsidR="00000000" w:rsidRPr="00000000">
        <w:rPr>
          <w:rtl w:val="0"/>
        </w:rPr>
        <w:t xml:space="preserve">linkage-disequilibrium</w:t>
      </w:r>
      <w:r w:rsidDel="00000000" w:rsidR="00000000" w:rsidRPr="00000000">
        <w:rPr>
          <w:rtl w:val="0"/>
        </w:rPr>
        <w:t xml:space="preserve"> (LD) pruning) and ~33K eGenes (including non-coding ones). </w:t>
      </w:r>
      <w:r w:rsidDel="00000000" w:rsidR="00000000" w:rsidRPr="00000000">
        <w:rPr>
          <w:rtl w:val="0"/>
        </w:rPr>
        <w:t xml:space="preserve">We found ~1.3M SNPs involved in these from 5,297,875 tested in a 1 Mb window around genes.</w:t>
      </w:r>
      <w:r w:rsidDel="00000000" w:rsidR="00000000" w:rsidRPr="00000000">
        <w:rPr>
          <w:rtl w:val="0"/>
        </w:rPr>
        <w:t xml:space="preserve"> </w:t>
      </w:r>
      <w:r w:rsidDel="00000000" w:rsidR="00000000" w:rsidRPr="00000000">
        <w:rPr>
          <w:rtl w:val="0"/>
        </w:rPr>
        <w:t xml:space="preserve">This conservative estimate has a substantially larger number of eQTLs and eGenes than previous studies and reflects the large PsychENCODE sample size \cite{Supplement}. We expect that the eQTL number is close to saturation, in terms of associating almost every possible variant with an expression-modulating </w:t>
      </w:r>
      <w:commentRangeStart w:id="7"/>
      <w:r w:rsidDel="00000000" w:rsidR="00000000" w:rsidRPr="00000000">
        <w:rPr>
          <w:rtl w:val="0"/>
        </w:rPr>
        <w:t xml:space="preserve">characteristic</w:t>
      </w:r>
      <w:commentRangeEnd w:id="7"/>
      <w:r w:rsidDel="00000000" w:rsidR="00000000" w:rsidRPr="00000000">
        <w:commentReference w:id="7"/>
      </w:r>
      <w:r w:rsidDel="00000000" w:rsidR="00000000" w:rsidRPr="00000000">
        <w:rPr>
          <w:rtl w:val="0"/>
        </w:rPr>
        <w:t xml:space="preserve">. We also applied the same QTL pipeline to splicing, identifying ~160K isoQTLs. </w:t>
      </w:r>
      <w:commentRangeStart w:id="8"/>
      <w:commentRangeStart w:id="9"/>
      <w:r w:rsidDel="00000000" w:rsidR="00000000" w:rsidRPr="00000000">
        <w:rPr>
          <w:rtl w:val="0"/>
        </w:rPr>
        <w:t xml:space="preserve">Finally, w</w:t>
      </w:r>
      <w:r w:rsidDel="00000000" w:rsidR="00000000" w:rsidRPr="00000000">
        <w:rPr>
          <w:rtl w:val="0"/>
        </w:rPr>
        <w:t xml:space="preserve">e also identified ~1.8M trans-eQTLs.</w:t>
      </w:r>
      <w:r w:rsidDel="00000000" w:rsidR="00000000" w:rsidRPr="00000000">
        <w:rPr>
          <w:rtl w:val="0"/>
        </w:rPr>
        <w:t xml:space="preserve"> </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2C">
      <w:pPr>
        <w:contextualSpacing w:val="0"/>
        <w:rPr>
          <w:highlight w:val="green"/>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For cQTLs, the situation is more complicated: no established methods exist for calculating these on a large scale, although there have been a variety of previous efforts \cite{25799442, 26300125}. To identify cQTLs, we focused on our reference set of enhancers and then examined how H3K27ac chromatin activity varied in these across 292 individuals </w:t>
      </w:r>
      <w:r w:rsidDel="00000000" w:rsidR="00000000" w:rsidRPr="00000000">
        <w:rPr>
          <w:rtl w:val="0"/>
        </w:rPr>
        <w:t xml:space="preserve">\cite{supplement}</w:t>
      </w:r>
      <w:r w:rsidDel="00000000" w:rsidR="00000000" w:rsidRPr="00000000">
        <w:rPr>
          <w:rtl w:val="0"/>
        </w:rPr>
        <w:t xml:space="preserve">. Overall, we identified ~2,000 cQTLs in addition to the 6,200 identified using individuals from the </w:t>
      </w:r>
      <w:r w:rsidDel="00000000" w:rsidR="00000000" w:rsidRPr="00000000">
        <w:rPr>
          <w:rtl w:val="0"/>
        </w:rPr>
        <w:t xml:space="preserve">CMC</w:t>
      </w:r>
      <w:r w:rsidDel="00000000" w:rsidR="00000000" w:rsidRPr="00000000">
        <w:rPr>
          <w:rtl w:val="0"/>
        </w:rPr>
        <w:t xml:space="preserve"> cohort \cite{</w:t>
      </w:r>
      <w:hyperlink r:id="rId7">
        <w:r w:rsidDel="00000000" w:rsidR="00000000" w:rsidRPr="00000000">
          <w:rPr>
            <w:color w:val="1155cc"/>
            <w:u w:val="single"/>
            <w:rtl w:val="0"/>
          </w:rPr>
          <w:t xml:space="preserve">https://doi.org/10.1101/141986</w:t>
        </w:r>
      </w:hyperlink>
      <w:r w:rsidDel="00000000" w:rsidR="00000000" w:rsidRPr="00000000">
        <w:rPr>
          <w:rtl w:val="0"/>
        </w:rPr>
        <w:t xml:space="preserve">}.</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Next, we determined if any SNPs were associated with changes in the relative fractions of cell types across individuals (fQTLs). In total, we identified 3720 distinct SNPs constituting 4186 different fQTLs. Of these, the proportions of </w:t>
      </w:r>
      <w:r w:rsidDel="00000000" w:rsidR="00000000" w:rsidRPr="00000000">
        <w:rPr>
          <w:rtl w:val="0"/>
        </w:rPr>
        <w:t xml:space="preserve">microglia</w:t>
      </w:r>
      <w:r w:rsidDel="00000000" w:rsidR="00000000" w:rsidRPr="00000000">
        <w:rPr>
          <w:rtl w:val="0"/>
        </w:rPr>
        <w:t xml:space="preserve"> and excitatory neuron Ex8 were associated with the most. After factoring out these cell-type differences, we identified 200,729 SNPs significantly associated with gene expression changes across individual tissues; these "residual trans-eQTLs" represent variant-expression associations largely unexplained by changing proportions of cell types.</w:t>
      </w:r>
    </w:p>
    <w:p w:rsidR="00000000" w:rsidDel="00000000" w:rsidP="00000000" w:rsidRDefault="00000000" w:rsidRPr="00000000" w14:paraId="00000030">
      <w:pPr>
        <w:contextualSpacing w:val="0"/>
        <w:rPr>
          <w:highlight w:val="yellow"/>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To further dissect the associations between genomic elements and the QTLs, we intersected our QTL lists with each other and a set of genomic annotations (Fig. 4D). As expected, eQTLs tended to be enriched at promoter regions, and cQTL</w:t>
      </w:r>
      <w:r w:rsidDel="00000000" w:rsidR="00000000" w:rsidRPr="00000000">
        <w:rPr>
          <w:rtl w:val="0"/>
        </w:rPr>
        <w:t xml:space="preserve">s, at enhancer and TF-binding regions; fQTLs were spread over many different elements. Also, appreciable number of eQTLs enriched on the promoter of a different gene than one regulated, suggesting </w:t>
      </w:r>
      <w:commentRangeStart w:id="10"/>
      <w:r w:rsidDel="00000000" w:rsidR="00000000" w:rsidRPr="00000000">
        <w:rPr>
          <w:rtl w:val="0"/>
        </w:rPr>
        <w:t xml:space="preserve">e-promotor activity</w:t>
      </w:r>
      <w:commentRangeEnd w:id="10"/>
      <w:r w:rsidDel="00000000" w:rsidR="00000000" w:rsidRPr="00000000">
        <w:commentReference w:id="10"/>
      </w:r>
      <w:r w:rsidDel="00000000" w:rsidR="00000000" w:rsidRPr="00000000">
        <w:rPr>
          <w:rtl w:val="0"/>
        </w:rPr>
        <w:t xml:space="preserve"> </w:t>
      </w:r>
      <w:commentRangeStart w:id="11"/>
      <w:r w:rsidDel="00000000" w:rsidR="00000000" w:rsidRPr="00000000">
        <w:rPr>
          <w:rtl w:val="0"/>
        </w:rPr>
        <w:t xml:space="preserve">\cite{ref}</w:t>
      </w:r>
      <w:commentRangeEnd w:id="11"/>
      <w:r w:rsidDel="00000000" w:rsidR="00000000" w:rsidRPr="00000000">
        <w:commentReference w:id="11"/>
      </w:r>
      <w:r w:rsidDel="00000000" w:rsidR="00000000" w:rsidRPr="00000000">
        <w:rPr>
          <w:rtl w:val="0"/>
        </w:rPr>
        <w:t xml:space="preserve">. For the overlap among different QTLs, we expected that most cQTLs, isoQTLs and fQTLs would be a subset of the much larger number of eQTLs; </w:t>
      </w:r>
      <w:commentRangeStart w:id="12"/>
      <w:r w:rsidDel="00000000" w:rsidR="00000000" w:rsidRPr="00000000">
        <w:rPr>
          <w:rtl w:val="0"/>
        </w:rPr>
        <w:t xml:space="preserve">somewhat surprisingly, an appreciable number of these did not overlap</w:t>
      </w:r>
      <w:commentRangeEnd w:id="12"/>
      <w:r w:rsidDel="00000000" w:rsidR="00000000" w:rsidRPr="00000000">
        <w:commentReference w:id="12"/>
      </w:r>
      <w:r w:rsidDel="00000000" w:rsidR="00000000" w:rsidRPr="00000000">
        <w:rPr>
          <w:rtl w:val="0"/>
        </w:rPr>
        <w:t xml:space="preserve"> (Fig. 4C). There were 122</w:t>
      </w:r>
      <w:r w:rsidDel="00000000" w:rsidR="00000000" w:rsidRPr="00000000">
        <w:rPr>
          <w:rtl w:val="0"/>
        </w:rPr>
        <w:t xml:space="preserve"> </w:t>
      </w:r>
      <w:r w:rsidDel="00000000" w:rsidR="00000000" w:rsidRPr="00000000">
        <w:rPr>
          <w:rtl w:val="0"/>
        </w:rPr>
        <w:t xml:space="preserve">SNPs that functioned as QTLs in more than 3 different capacities (e.g. as eQTLs, cQTLs and isoQTLs). We dubbed these multi-QTLs. Finally, we found </w:t>
      </w:r>
      <w:commentRangeStart w:id="13"/>
      <w:r w:rsidDel="00000000" w:rsidR="00000000" w:rsidRPr="00000000">
        <w:rPr>
          <w:rtl w:val="0"/>
        </w:rPr>
        <w:t xml:space="preserve">XXX</w:t>
      </w:r>
      <w:commentRangeEnd w:id="13"/>
      <w:r w:rsidDel="00000000" w:rsidR="00000000" w:rsidRPr="00000000">
        <w:commentReference w:id="13"/>
      </w:r>
      <w:r w:rsidDel="00000000" w:rsidR="00000000" w:rsidRPr="00000000">
        <w:rPr>
          <w:rtl w:val="0"/>
        </w:rPr>
        <w:t xml:space="preserve"> trans-eQTLs overlapping cis-eQTLs, necessarily for a different gene. Many of these cases in which a SNP is shared between a cis-eQTL and a trans-eQTL may constitute cis mediators, in which the SNP associated with a nearby gene (through a cis-eQTL) also constitutes a trans-eQTL if the nearby gene is involved in regulating the expression of a distant gene</w:t>
      </w:r>
      <w:r w:rsidDel="00000000" w:rsidR="00000000" w:rsidRPr="00000000">
        <w:rPr>
          <w:rtl w:val="0"/>
        </w:rPr>
        <w:t xml:space="preserve">\cite{29021290}</w:t>
      </w:r>
      <w:r w:rsidDel="00000000" w:rsidR="00000000" w:rsidRPr="00000000">
        <w:rPr>
          <w:rtl w:val="0"/>
        </w:rPr>
        <w:t xml:space="preserve">.</w:t>
      </w:r>
    </w:p>
    <w:p w:rsidR="00000000" w:rsidDel="00000000" w:rsidP="00000000" w:rsidRDefault="00000000" w:rsidRPr="00000000" w14:paraId="00000032">
      <w:pPr>
        <w:contextualSpacing w:val="0"/>
        <w:rPr>
          <w:highlight w:val="yellow"/>
        </w:rPr>
      </w:pPr>
      <w:r w:rsidDel="00000000" w:rsidR="00000000" w:rsidRPr="00000000">
        <w:rPr>
          <w:rtl w:val="0"/>
        </w:rPr>
      </w:r>
    </w:p>
    <w:p w:rsidR="00000000" w:rsidDel="00000000" w:rsidP="00000000" w:rsidRDefault="00000000" w:rsidRPr="00000000" w14:paraId="00000033">
      <w:pPr>
        <w:contextualSpacing w:val="0"/>
        <w:rPr>
          <w:b w:val="1"/>
          <w:sz w:val="34"/>
          <w:szCs w:val="34"/>
          <w:highlight w:val="white"/>
        </w:rPr>
      </w:pPr>
      <w:r w:rsidDel="00000000" w:rsidR="00000000" w:rsidRPr="00000000">
        <w:rPr>
          <w:b w:val="1"/>
          <w:sz w:val="34"/>
          <w:szCs w:val="34"/>
          <w:highlight w:val="white"/>
          <w:u w:val="single"/>
          <w:rtl w:val="0"/>
        </w:rPr>
        <w:t xml:space="preserve">Regulatory networks</w:t>
      </w:r>
      <w:r w:rsidDel="00000000" w:rsidR="00000000" w:rsidRPr="00000000">
        <w:rPr>
          <w:b w:val="1"/>
          <w:sz w:val="34"/>
          <w:szCs w:val="34"/>
          <w:highlight w:val="white"/>
          <w:rtl w:val="0"/>
        </w:rPr>
        <w:t xml:space="preserve"> (390)</w:t>
      </w:r>
      <w:r w:rsidDel="00000000" w:rsidR="00000000" w:rsidRPr="00000000">
        <w:rPr>
          <w:b w:val="1"/>
          <w:sz w:val="34"/>
          <w:szCs w:val="34"/>
          <w:highlight w:val="white"/>
          <w:rtl w:val="0"/>
        </w:rPr>
        <w:t xml:space="preserve">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We next integrated the genomic elements described above at the regulatory-network level. We created a network revealing how the genotype and regulators relate to target gene expression. We first processed a Hi-C dataset for adult brain in the same reference samples used for enhancer identification, providing a physical basis for interactions between enhancers and promoters (Fig. 5A) \cite{27760116, Supplement}. In total, we identified 2,735 topologically associating domains (TADs) and ~90K </w:t>
      </w:r>
      <w:commentRangeStart w:id="14"/>
      <w:commentRangeStart w:id="15"/>
      <w:r w:rsidDel="00000000" w:rsidR="00000000" w:rsidRPr="00000000">
        <w:rPr>
          <w:rtl w:val="0"/>
        </w:rPr>
        <w:t xml:space="preserve"> enhancer-promoter interactions</w:t>
      </w:r>
      <w:commentRangeEnd w:id="14"/>
      <w:r w:rsidDel="00000000" w:rsidR="00000000" w:rsidRPr="00000000">
        <w:commentReference w:id="14"/>
      </w:r>
      <w:commentRangeEnd w:id="15"/>
      <w:r w:rsidDel="00000000" w:rsidR="00000000" w:rsidRPr="00000000">
        <w:commentReference w:id="15"/>
      </w:r>
      <w:r w:rsidDel="00000000" w:rsidR="00000000" w:rsidRPr="00000000">
        <w:rPr>
          <w:rtl w:val="0"/>
        </w:rPr>
        <w:t xml:space="preserve"> (Fig. S6.3). Our adult Hi-C dataset substantially differed from an earlier fetal-brain </w:t>
      </w:r>
      <w:r w:rsidDel="00000000" w:rsidR="00000000" w:rsidRPr="00000000">
        <w:rPr>
          <w:rtl w:val="0"/>
        </w:rPr>
        <w:t xml:space="preserve">Hi-C dataset </w:t>
      </w:r>
      <w:commentRangeStart w:id="16"/>
      <w:commentRangeStart w:id="17"/>
      <w:r w:rsidDel="00000000" w:rsidR="00000000" w:rsidRPr="00000000">
        <w:rPr>
          <w:rtl w:val="0"/>
        </w:rPr>
        <w:t xml:space="preserve">(e.g. only ~31% of the enhancer-promoter interactions were detected in the fetal dataset)</w:t>
      </w:r>
      <w:commentRangeEnd w:id="16"/>
      <w:r w:rsidDel="00000000" w:rsidR="00000000" w:rsidRPr="00000000">
        <w:commentReference w:id="16"/>
      </w:r>
      <w:commentRangeEnd w:id="17"/>
      <w:r w:rsidDel="00000000" w:rsidR="00000000" w:rsidRPr="00000000">
        <w:commentReference w:id="17"/>
      </w:r>
      <w:r w:rsidDel="00000000" w:rsidR="00000000" w:rsidRPr="00000000">
        <w:rPr>
          <w:rtl w:val="0"/>
        </w:rPr>
        <w:t xml:space="preserve"> \cite{27760116}, highlighting the importance of the developmental stage for chromatin (Fig. S6.4.1-2).</w:t>
      </w:r>
    </w:p>
    <w:p w:rsidR="00000000" w:rsidDel="00000000" w:rsidP="00000000" w:rsidRDefault="00000000" w:rsidRPr="00000000" w14:paraId="0000003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contextualSpacing w:val="0"/>
        <w:rPr/>
      </w:pPr>
      <w:r w:rsidDel="00000000" w:rsidR="00000000" w:rsidRPr="00000000">
        <w:rPr>
          <w:rtl w:val="0"/>
        </w:rPr>
        <w:t xml:space="preserve">As </w:t>
      </w:r>
      <w:r w:rsidDel="00000000" w:rsidR="00000000" w:rsidRPr="00000000">
        <w:rPr>
          <w:rtl w:val="0"/>
        </w:rPr>
        <w:t xml:space="preserve">expected</w:t>
      </w:r>
      <w:r w:rsidDel="00000000" w:rsidR="00000000" w:rsidRPr="00000000">
        <w:rPr>
          <w:rtl w:val="0"/>
        </w:rPr>
        <w:t xml:space="preserve">, ~75% of enhancer-promoter interactions occurred within the same TAD, and genes with more associated enhancers tended to have higher expression (Fig. 5B). We next integrated the Hi-C data with the eQTLs and isoQTLs. Surprisingly, QTLs involving SNPs distal to the eGene but linked by Hi-C interactions showed significantly stronger associations than QTLs involving SNPs on the exons and promoters of the eGene (Fig. 5C, Fig. S6.4.3).</w:t>
      </w:r>
    </w:p>
    <w:p w:rsidR="00000000" w:rsidDel="00000000" w:rsidP="00000000" w:rsidRDefault="00000000" w:rsidRPr="00000000" w14:paraId="00000037">
      <w:pPr>
        <w:contextualSpacing w:val="0"/>
        <w:rPr/>
      </w:pPr>
      <w:r w:rsidDel="00000000" w:rsidR="00000000" w:rsidRPr="00000000">
        <w:rPr>
          <w:rtl w:val="0"/>
        </w:rPr>
        <w:t xml:space="preserve"> </w:t>
      </w:r>
    </w:p>
    <w:p w:rsidR="00000000" w:rsidDel="00000000" w:rsidP="00000000" w:rsidRDefault="00000000" w:rsidRPr="00000000" w14:paraId="00000038">
      <w:pPr>
        <w:contextualSpacing w:val="0"/>
        <w:rPr/>
      </w:pPr>
      <w:r w:rsidDel="00000000" w:rsidR="00000000" w:rsidRPr="00000000">
        <w:rPr>
          <w:rtl w:val="0"/>
        </w:rPr>
        <w:t xml:space="preserve">In addition to Hi-C and QTLs, we tried to predict further regulatory relationships based on directly relating the activity of transcription factors (TFs) to target genes. In particular, for each potential target of a TF, we required that (i) it has </w:t>
      </w:r>
      <w:r w:rsidDel="00000000" w:rsidR="00000000" w:rsidRPr="00000000">
        <w:rPr>
          <w:rtl w:val="0"/>
        </w:rPr>
        <w:t xml:space="preserve">a "</w:t>
      </w:r>
      <w:commentRangeStart w:id="18"/>
      <w:r w:rsidDel="00000000" w:rsidR="00000000" w:rsidRPr="00000000">
        <w:rPr>
          <w:rtl w:val="0"/>
        </w:rPr>
        <w:t xml:space="preserve">good </w:t>
      </w:r>
      <w:commentRangeEnd w:id="18"/>
      <w:r w:rsidDel="00000000" w:rsidR="00000000" w:rsidRPr="00000000">
        <w:commentReference w:id="18"/>
      </w:r>
      <w:r w:rsidDel="00000000" w:rsidR="00000000" w:rsidRPr="00000000">
        <w:rPr>
          <w:rtl w:val="0"/>
        </w:rPr>
        <w:t xml:space="preserve">binding site" (matching the TF's motif) in open chromatin regions near a gene (either in promoters or brain-active enhancers) and that (ii) it has a high "coefficient" in a regularized, elastic-network regression relating TF activity to target expression \cite{Supplement}. Overall, we found the subset of interactions meeting these criteria could predict the expression of 8930 genes with minimal error (MSE&lt; </w:t>
      </w:r>
      <w:commentRangeStart w:id="19"/>
      <w:commentRangeStart w:id="20"/>
      <w:r w:rsidDel="00000000" w:rsidR="00000000" w:rsidRPr="00000000">
        <w:rPr>
          <w:rtl w:val="0"/>
        </w:rPr>
        <w:t xml:space="preserve">0.05</w:t>
      </w:r>
      <w:commentRangeEnd w:id="19"/>
      <w:r w:rsidDel="00000000" w:rsidR="00000000" w:rsidRPr="00000000">
        <w:commentReference w:id="19"/>
      </w:r>
      <w:commentRangeEnd w:id="20"/>
      <w:r w:rsidDel="00000000" w:rsidR="00000000" w:rsidRPr="00000000">
        <w:commentReference w:id="20"/>
      </w:r>
      <w:r w:rsidDel="00000000" w:rsidR="00000000" w:rsidRPr="00000000">
        <w:rPr>
          <w:rtl w:val="0"/>
        </w:rPr>
        <w:t xml:space="preserve">)</w:t>
      </w:r>
      <w:r w:rsidDel="00000000" w:rsidR="00000000" w:rsidRPr="00000000">
        <w:rPr>
          <w:rtl w:val="0"/>
        </w:rPr>
        <w:t xml:space="preserve"> (Fig. Sxx). For example, we could predict the expression of the </w:t>
      </w:r>
      <w:commentRangeStart w:id="21"/>
      <w:r w:rsidDel="00000000" w:rsidR="00000000" w:rsidRPr="00000000">
        <w:rPr>
          <w:rtl w:val="0"/>
        </w:rPr>
        <w:t xml:space="preserve">ASD risk gene </w:t>
      </w:r>
      <w:r w:rsidDel="00000000" w:rsidR="00000000" w:rsidRPr="00000000">
        <w:rPr>
          <w:rtl w:val="0"/>
        </w:rPr>
        <w:t xml:space="preserve">CHD8</w:t>
      </w:r>
      <w:r w:rsidDel="00000000" w:rsidR="00000000" w:rsidRPr="00000000">
        <w:rPr>
          <w:rtl w:val="0"/>
        </w:rPr>
        <w:t xml:space="preserve"> with MSE&lt;0.034</w:t>
      </w:r>
      <w:commentRangeEnd w:id="21"/>
      <w:r w:rsidDel="00000000" w:rsidR="00000000" w:rsidRPr="00000000">
        <w:commentReference w:id="21"/>
      </w:r>
      <w:r w:rsidDel="00000000" w:rsidR="00000000" w:rsidRPr="00000000">
        <w:rPr>
          <w:rtl w:val="0"/>
        </w:rPr>
        <w:t xml:space="preserve">. Moreover, the subset of these interactions involving TFs binding to enhancers, necessarily instantiated a third set of putative enhancer-to-gene links.</w:t>
      </w: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Co</w:t>
      </w:r>
      <w:r w:rsidDel="00000000" w:rsidR="00000000" w:rsidRPr="00000000">
        <w:rPr>
          <w:shd w:fill="d9ead3" w:val="clear"/>
          <w:rtl w:val="0"/>
        </w:rPr>
        <w:t xml:space="preserve">llectively, we generated a full regulatory network, linking enhancers, TFs, and target genes. It contained ~43k proximal linkages (TF-to-target gene via promoters). It also had ~32k distal linkages (enhancer-target-gene) that are supported by at least two of the three evidence sources (Hi-C, QTLs, or activity relationships) </w:t>
      </w:r>
      <w:r w:rsidDel="00000000" w:rsidR="00000000" w:rsidRPr="00000000">
        <w:rPr>
          <w:rtl w:val="0"/>
        </w:rPr>
        <w:t xml:space="preserve"> </w:t>
      </w:r>
      <w:commentRangeStart w:id="22"/>
      <w:r w:rsidDel="00000000" w:rsidR="00000000" w:rsidRPr="00000000">
        <w:rPr>
          <w:rtl w:val="0"/>
        </w:rPr>
        <w:t xml:space="preserve">\cite{Suppl</w:t>
      </w:r>
      <w:commentRangeEnd w:id="22"/>
      <w:r w:rsidDel="00000000" w:rsidR="00000000" w:rsidRPr="00000000">
        <w:commentReference w:id="22"/>
      </w:r>
      <w:r w:rsidDel="00000000" w:rsidR="00000000" w:rsidRPr="00000000">
        <w:rPr>
          <w:rtl w:val="0"/>
        </w:rPr>
        <w:t xml:space="preserve">ement}</w:t>
      </w:r>
      <w:r w:rsidDel="00000000" w:rsidR="00000000" w:rsidRPr="00000000">
        <w:rPr>
          <w:shd w:fill="d9ead3" w:val="clear"/>
          <w:rtl w:val="0"/>
        </w:rPr>
        <w:t xml:space="preserve">.</w:t>
      </w: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b w:val="1"/>
          <w:sz w:val="34"/>
          <w:szCs w:val="34"/>
          <w:shd w:fill="ffe599" w:val="clear"/>
        </w:rPr>
      </w:pPr>
      <w:r w:rsidDel="00000000" w:rsidR="00000000" w:rsidRPr="00000000">
        <w:rPr>
          <w:b w:val="1"/>
          <w:sz w:val="34"/>
          <w:szCs w:val="34"/>
          <w:u w:val="single"/>
          <w:rtl w:val="0"/>
        </w:rPr>
        <w:t xml:space="preserve">Linking</w:t>
      </w:r>
      <w:r w:rsidDel="00000000" w:rsidR="00000000" w:rsidRPr="00000000">
        <w:rPr>
          <w:b w:val="1"/>
          <w:sz w:val="34"/>
          <w:szCs w:val="34"/>
          <w:u w:val="single"/>
          <w:rtl w:val="0"/>
        </w:rPr>
        <w:t xml:space="preserve"> GWAS variants</w:t>
      </w:r>
      <w:r w:rsidDel="00000000" w:rsidR="00000000" w:rsidRPr="00000000">
        <w:rPr>
          <w:b w:val="1"/>
          <w:sz w:val="34"/>
          <w:szCs w:val="34"/>
          <w:rtl w:val="0"/>
        </w:rPr>
        <w:t xml:space="preserve"> to genes</w:t>
      </w:r>
      <w:r w:rsidDel="00000000" w:rsidR="00000000" w:rsidRPr="00000000">
        <w:rPr>
          <w:b w:val="1"/>
          <w:sz w:val="34"/>
          <w:szCs w:val="34"/>
          <w:rtl w:val="0"/>
        </w:rPr>
        <w:t xml:space="preserve"> (266) </w:t>
      </w:r>
      <w:r w:rsidDel="00000000" w:rsidR="00000000" w:rsidRPr="00000000">
        <w:rPr>
          <w:b w:val="1"/>
          <w:color w:val="0000ff"/>
          <w:sz w:val="34"/>
          <w:szCs w:val="34"/>
          <w:rtl w:val="0"/>
        </w:rPr>
        <w:t xml:space="preserve">(Ready for MG) </w:t>
      </w:r>
      <w:r w:rsidDel="00000000" w:rsidR="00000000" w:rsidRPr="00000000">
        <w:rPr>
          <w:rtl w:val="0"/>
        </w:rPr>
      </w:r>
    </w:p>
    <w:p w:rsidR="00000000" w:rsidDel="00000000" w:rsidP="00000000" w:rsidRDefault="00000000" w:rsidRPr="00000000" w14:paraId="0000003D">
      <w:pPr>
        <w:contextualSpacing w:val="0"/>
        <w:rPr>
          <w:highlight w:val="green"/>
        </w:rPr>
      </w:pPr>
      <w:r w:rsidDel="00000000" w:rsidR="00000000" w:rsidRPr="00000000">
        <w:rPr>
          <w:rtl w:val="0"/>
        </w:rPr>
        <w:t xml:space="preserve">W</w:t>
      </w:r>
      <w:r w:rsidDel="00000000" w:rsidR="00000000" w:rsidRPr="00000000">
        <w:rPr>
          <w:rtl w:val="0"/>
        </w:rPr>
        <w:t xml:space="preserve">e used our above regulatory network to connect non-coding GWAS loci to potential genes. We exploited all possible linkages from including Hi-C, QTL, and activity-correlation relationships. For the newly identified 142 schizophrenia GWAS loci \cite{</w:t>
      </w:r>
      <w:r w:rsidDel="00000000" w:rsidR="00000000" w:rsidRPr="00000000">
        <w:rPr>
          <w:highlight w:val="white"/>
          <w:rtl w:val="0"/>
        </w:rPr>
        <w:t xml:space="preserve">29483656</w:t>
      </w:r>
      <w:r w:rsidDel="00000000" w:rsidR="00000000" w:rsidRPr="00000000">
        <w:rPr>
          <w:rtl w:val="0"/>
        </w:rPr>
        <w:t xml:space="preserve">}, we identified a set of 1,097 putative schizophrenia-associated genes, covering 119 loci (hereby referred as "SCZ-genes", Fig. 5E). 320 of these constituted a high-confidence set supported by more than two sources of evidence (i.e., QTL and Hi-C, Fig. 5D-F, Fig. Sxx). </w:t>
      </w:r>
      <w:r w:rsidDel="00000000" w:rsidR="00000000" w:rsidRPr="00000000">
        <w:rPr>
          <w:rtl w:val="0"/>
        </w:rPr>
        <w:t xml:space="preserve">These SCZ-genes identified from multi-sources represent a substantial increase from the previously reported 22 genes across 19 loci </w:t>
      </w:r>
      <w:r w:rsidDel="00000000" w:rsidR="00000000" w:rsidRPr="00000000">
        <w:rPr>
          <w:rtl w:val="0"/>
        </w:rPr>
        <w:t xml:space="preserve">based on a smaller QTL set\cite{</w:t>
      </w:r>
      <w:r w:rsidDel="00000000" w:rsidR="00000000" w:rsidRPr="00000000">
        <w:rPr>
          <w:highlight w:val="white"/>
          <w:rtl w:val="0"/>
        </w:rPr>
        <w:t xml:space="preserve">29483656</w:t>
      </w:r>
      <w:r w:rsidDel="00000000" w:rsidR="00000000" w:rsidRPr="00000000">
        <w:rPr>
          <w:rtl w:val="0"/>
        </w:rPr>
        <w:t xml:space="preserve">, 27668389}. The majority of SCZ-genes were not in linkage disequilibrium with index SNPs (734 genes [~66%]</w:t>
      </w:r>
      <w:r w:rsidDel="00000000" w:rsidR="00000000" w:rsidRPr="00000000">
        <w:rPr>
          <w:rtl w:val="0"/>
        </w:rPr>
        <w:t xml:space="preserve"> with r</w:t>
      </w:r>
      <w:r w:rsidDel="00000000" w:rsidR="00000000" w:rsidRPr="00000000">
        <w:rPr>
          <w:vertAlign w:val="superscript"/>
          <w:rtl w:val="0"/>
        </w:rPr>
        <w:t xml:space="preserve">2</w:t>
      </w:r>
      <w:r w:rsidDel="00000000" w:rsidR="00000000" w:rsidRPr="00000000">
        <w:rPr>
          <w:rtl w:val="0"/>
        </w:rPr>
        <w:t xml:space="preserve">&gt;0.6, Fig. Sxx), consistent with previous observations that regulatory relationships often do not follow linear genome organization \cite{</w:t>
      </w:r>
      <w:r w:rsidDel="00000000" w:rsidR="00000000" w:rsidRPr="00000000">
        <w:rPr>
          <w:highlight w:val="white"/>
          <w:rtl w:val="0"/>
        </w:rPr>
        <w:t xml:space="preserve">27760116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contextualSpacing w:val="0"/>
        <w:rPr/>
      </w:pPr>
      <w:r w:rsidDel="00000000" w:rsidR="00000000" w:rsidRPr="00000000">
        <w:rPr>
          <w:rtl w:val="0"/>
        </w:rPr>
        <w:t xml:space="preserve">We then looked at the characteristics of the SCZ-genes. As expected, these shared many characteristics with known schizophrenia-associated genes. In particular, they were enriched in genes intolerant to loss-of-function mutations \cite{</w:t>
      </w:r>
      <w:r w:rsidDel="00000000" w:rsidR="00000000" w:rsidRPr="00000000">
        <w:rPr>
          <w:highlight w:val="white"/>
          <w:rtl w:val="0"/>
        </w:rPr>
        <w:t xml:space="preserve">29483656</w:t>
      </w:r>
      <w:r w:rsidDel="00000000" w:rsidR="00000000" w:rsidRPr="00000000">
        <w:rPr>
          <w:rtl w:val="0"/>
        </w:rPr>
        <w:t xml:space="preserve">}, </w:t>
      </w:r>
      <w:r w:rsidDel="00000000" w:rsidR="00000000" w:rsidRPr="00000000">
        <w:rPr>
          <w:rtl w:val="0"/>
        </w:rPr>
        <w:t xml:space="preserve">translational regulators, cholinergic receptors, calcium channels, synaptic genes</w:t>
      </w:r>
      <w:r w:rsidDel="00000000" w:rsidR="00000000" w:rsidRPr="00000000">
        <w:rPr>
          <w:rtl w:val="0"/>
        </w:rPr>
        <w:t xml:space="preserve">, and genes that are known to be differentially expressed in schizophrenia (Fig. Sxx). Next, we integrated SCZ-genes with single-cell profiles, where we found that they are highly expressed in neurons with the highest expression in excitatory neurons (Fig. 5G). </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t xml:space="preserve">Finally, in a more general context, we </w:t>
      </w:r>
      <w:r w:rsidDel="00000000" w:rsidR="00000000" w:rsidRPr="00000000">
        <w:rPr>
          <w:rtl w:val="0"/>
        </w:rPr>
        <w:t xml:space="preserve">found significant aggregate associations between our eQTLs and all bra</w:t>
      </w:r>
      <w:r w:rsidDel="00000000" w:rsidR="00000000" w:rsidRPr="00000000">
        <w:rPr>
          <w:rtl w:val="0"/>
        </w:rPr>
        <w:t xml:space="preserve">in-disease GWAS variants, not just </w:t>
      </w:r>
      <w:r w:rsidDel="00000000" w:rsidR="00000000" w:rsidRPr="00000000">
        <w:rPr>
          <w:rtl w:val="0"/>
        </w:rPr>
        <w:t xml:space="preserve">schizophrenia.</w:t>
      </w:r>
      <w:r w:rsidDel="00000000" w:rsidR="00000000" w:rsidRPr="00000000">
        <w:rPr>
          <w:rtl w:val="0"/>
        </w:rPr>
        <w:t xml:space="preserve"> In particular, we found overlap enrichments of our cis-eQTL SNPs and </w:t>
      </w:r>
      <w:commentRangeStart w:id="23"/>
      <w:r w:rsidDel="00000000" w:rsidR="00000000" w:rsidRPr="00000000">
        <w:rPr>
          <w:rtl w:val="0"/>
        </w:rPr>
        <w:t xml:space="preserve">GWAS SNPs</w:t>
      </w:r>
      <w:commentRangeEnd w:id="23"/>
      <w:r w:rsidDel="00000000" w:rsidR="00000000" w:rsidRPr="00000000">
        <w:commentReference w:id="23"/>
      </w:r>
      <w:r w:rsidDel="00000000" w:rsidR="00000000" w:rsidRPr="00000000">
        <w:rPr>
          <w:rtl w:val="0"/>
        </w:rPr>
        <w:t xml:space="preserve"> for Schizophrenia, Bipolar disorder</w:t>
      </w:r>
      <w:r w:rsidDel="00000000" w:rsidR="00000000" w:rsidRPr="00000000">
        <w:rPr>
          <w:rtl w:val="0"/>
        </w:rPr>
        <w:t xml:space="preserve">, Major Depressive Disorder (MDD), Post-Traumatic Stress Disorder (PTSD), Alzheimer and Parkinson’s disease</w:t>
      </w:r>
      <w:r w:rsidDel="00000000" w:rsidR="00000000" w:rsidRPr="00000000">
        <w:rPr>
          <w:rtl w:val="0"/>
        </w:rPr>
        <w:t xml:space="preserve"> to be more significant than that for GWAS SNPs for non-brain related disorders</w:t>
      </w:r>
      <w:r w:rsidDel="00000000" w:rsidR="00000000" w:rsidRPr="00000000">
        <w:rPr>
          <w:rtl w:val="0"/>
        </w:rPr>
        <w:t xml:space="preserve"> (</w:t>
      </w:r>
      <w:r w:rsidDel="00000000" w:rsidR="00000000" w:rsidRPr="00000000">
        <w:rPr>
          <w:rtl w:val="0"/>
        </w:rPr>
        <w:t xml:space="preserve">Fig. 4E</w:t>
      </w:r>
      <w:r w:rsidDel="00000000" w:rsidR="00000000" w:rsidRPr="00000000">
        <w:rPr>
          <w:rtl w:val="0"/>
        </w:rPr>
        <w:t xml:space="preserve">).</w:t>
      </w:r>
    </w:p>
    <w:p w:rsidR="00000000" w:rsidDel="00000000" w:rsidP="00000000" w:rsidRDefault="00000000" w:rsidRPr="00000000" w14:paraId="00000042">
      <w:pPr>
        <w:contextualSpacing w:val="0"/>
        <w:rPr>
          <w:highlight w:val="yellow"/>
        </w:rPr>
      </w:pPr>
      <w:r w:rsidDel="00000000" w:rsidR="00000000" w:rsidRPr="00000000">
        <w:rPr>
          <w:highlight w:val="yellow"/>
          <w:rtl w:val="0"/>
        </w:rPr>
        <w:t xml:space="preserve"> </w:t>
      </w:r>
    </w:p>
    <w:p w:rsidR="00000000" w:rsidDel="00000000" w:rsidP="00000000" w:rsidRDefault="00000000" w:rsidRPr="00000000" w14:paraId="00000043">
      <w:pPr>
        <w:contextualSpacing w:val="0"/>
        <w:rPr>
          <w:b w:val="1"/>
          <w:sz w:val="34"/>
          <w:szCs w:val="34"/>
        </w:rPr>
      </w:pPr>
      <w:r w:rsidDel="00000000" w:rsidR="00000000" w:rsidRPr="00000000">
        <w:rPr>
          <w:b w:val="1"/>
          <w:sz w:val="34"/>
          <w:szCs w:val="34"/>
          <w:rtl w:val="0"/>
        </w:rPr>
        <w:t xml:space="preserve">Integrative </w:t>
      </w:r>
      <w:r w:rsidDel="00000000" w:rsidR="00000000" w:rsidRPr="00000000">
        <w:rPr>
          <w:b w:val="1"/>
          <w:sz w:val="34"/>
          <w:szCs w:val="34"/>
          <w:u w:val="single"/>
          <w:rtl w:val="0"/>
        </w:rPr>
        <w:t xml:space="preserve">deep-learning model</w:t>
      </w:r>
      <w:r w:rsidDel="00000000" w:rsidR="00000000" w:rsidRPr="00000000">
        <w:rPr>
          <w:b w:val="1"/>
          <w:sz w:val="34"/>
          <w:szCs w:val="34"/>
          <w:rtl w:val="0"/>
        </w:rPr>
        <w:t xml:space="preserve"> (848) </w:t>
      </w:r>
      <w:r w:rsidDel="00000000" w:rsidR="00000000" w:rsidRPr="00000000">
        <w:rPr>
          <w:b w:val="1"/>
          <w:color w:val="0000ff"/>
          <w:sz w:val="34"/>
          <w:szCs w:val="34"/>
          <w:rtl w:val="0"/>
        </w:rPr>
        <w:t xml:space="preserve">(Ready for MG)</w:t>
      </w: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The full interaction between genotype and phenotype involves many levels, beyond those encapsulated in the regulatory network. We addressed this and achieved a larger amount of integration by embedding our regulatory network into a larger multilevel model. For this purpose, we developed an interpretable deep-learning framework, a Deep Structured Phenotype Network (DSPN, </w:t>
      </w:r>
      <w:r w:rsidDel="00000000" w:rsidR="00000000" w:rsidRPr="00000000">
        <w:rPr>
          <w:rtl w:val="0"/>
        </w:rPr>
        <w:t xml:space="preserve">Supplement</w:t>
      </w:r>
      <w:r w:rsidDel="00000000" w:rsidR="00000000" w:rsidRPr="00000000">
        <w:rPr>
          <w:rtl w:val="0"/>
        </w:rPr>
        <w:t xml:space="preserve">). This model combines a Deep Boltzmann Machine architecture with conditional and lateral connections derived from gene regulatory networks. As shown in Fig. 6, traditional classification methods such as logistic regression predict phenotype directly from genotype, without inferring intermediates such as the transcriptome. In contrast, the DSPN is constructed via a series of intermediate models that add layers of structure, including layers for intermediate molecular phenotypes (ie gene expression and chromatin state) and defined groupings of these (cell-type marker gene and co-expression modules), </w:t>
      </w:r>
      <w:r w:rsidDel="00000000" w:rsidR="00000000" w:rsidRPr="00000000">
        <w:rPr>
          <w:rtl w:val="0"/>
        </w:rPr>
        <w:t xml:space="preserve">multiple higher layers for inferred higher-order groupings (hidden nodes in the network), </w:t>
      </w:r>
      <w:r w:rsidDel="00000000" w:rsidR="00000000" w:rsidRPr="00000000">
        <w:rPr>
          <w:rtl w:val="0"/>
        </w:rPr>
        <w:t xml:space="preserve">and a top layer for observed phenotypes (psychiatric disorders and other traits). Finally, </w:t>
      </w:r>
      <w:r w:rsidDel="00000000" w:rsidR="00000000" w:rsidRPr="00000000">
        <w:rPr>
          <w:rtl w:val="0"/>
        </w:rPr>
        <w:t xml:space="preserve">we used special aspects of connectivity (including sparsity and lateral, intra-level relationships</w:t>
      </w:r>
      <w:r w:rsidDel="00000000" w:rsidR="00000000" w:rsidRPr="00000000">
        <w:rPr>
          <w:rtl w:val="0"/>
        </w:rPr>
        <w:t xml:space="preserve">) to integrate our knowledge of QTLs, regulatory network structure, and co-expression modules from sections above. By using a generative architecture, we ensure that the model is able to impute intermediate phenotypes when needed, as well as provide forward predictions from genotypes to observed phenotypes. </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Using the full model with the genome and transcriptome data provided, we demonstrated that the extra layers of structure in the DSPN allowed us to achieve substantially better prediction of disease and other observed traits than traditional genotype-to-phenotype models, and</w:t>
      </w:r>
      <w:r w:rsidDel="00000000" w:rsidR="00000000" w:rsidRPr="00000000">
        <w:rPr>
          <w:rtl w:val="0"/>
        </w:rPr>
        <w:t xml:space="preserve"> that the transcriptome carries </w:t>
      </w:r>
      <w:r w:rsidDel="00000000" w:rsidR="00000000" w:rsidRPr="00000000">
        <w:rPr>
          <w:rtl w:val="0"/>
        </w:rPr>
        <w:t xml:space="preserve">additional</w:t>
      </w:r>
      <w:r w:rsidDel="00000000" w:rsidR="00000000" w:rsidRPr="00000000">
        <w:rPr>
          <w:rtl w:val="0"/>
        </w:rPr>
        <w:t xml:space="preserve"> trait information, which the DSPN is able to extract  (Fig. 6D). For instance, a logistic predictor </w:t>
      </w:r>
      <w:r w:rsidDel="00000000" w:rsidR="00000000" w:rsidRPr="00000000">
        <w:rPr>
          <w:rtl w:val="0"/>
        </w:rPr>
        <w:t xml:space="preserve">was </w:t>
      </w:r>
      <w:r w:rsidDel="00000000" w:rsidR="00000000" w:rsidRPr="00000000">
        <w:rPr>
          <w:rtl w:val="0"/>
        </w:rPr>
        <w:t xml:space="preserve">able to gain a 2.4X improvement when using the transcriptome vs. the genome alone (+9.3% for transcriptome vs. +3.8% for the genome, above 50% random baseline). In comparison, the DSPN </w:t>
      </w:r>
      <w:r w:rsidDel="00000000" w:rsidR="00000000" w:rsidRPr="00000000">
        <w:rPr>
          <w:rtl w:val="0"/>
        </w:rPr>
        <w:t xml:space="preserve">was </w:t>
      </w:r>
      <w:r w:rsidDel="00000000" w:rsidR="00000000" w:rsidRPr="00000000">
        <w:rPr>
          <w:rtl w:val="0"/>
        </w:rPr>
        <w:t xml:space="preserve">able to gain a 4.6X improvement (+17.4% vs. +3.8%), which may reflect the fact that the DSPN is able to incorporate non-linear interactions between intermediate phenotypes. Moreover, the DSPN also allows us to</w:t>
      </w:r>
      <w:r w:rsidDel="00000000" w:rsidR="00000000" w:rsidRPr="00000000">
        <w:rPr>
          <w:rtl w:val="0"/>
        </w:rPr>
        <w:t xml:space="preserve"> perform joint inference and imputation of intermediate phenotypes (i.e., transcriptome and epigenome) and observed traits from just genotype alone, achieving a ~2.7X improvement over a logistic predictor (Fig. 6D). These results demonstrate the usefulness of even a limited amount of functional genomic information for unraveling gene-disease relationships and show that the structure learned from such data can be used to make more accurate predictions of observed traits even when absent.</w:t>
      </w:r>
    </w:p>
    <w:p w:rsidR="00000000" w:rsidDel="00000000" w:rsidP="00000000" w:rsidRDefault="00000000" w:rsidRPr="00000000" w14:paraId="0000004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contextualSpacing w:val="0"/>
        <w:rPr/>
      </w:pPr>
      <w:r w:rsidDel="00000000" w:rsidR="00000000" w:rsidRPr="00000000">
        <w:rPr>
          <w:rtl w:val="0"/>
        </w:rPr>
        <w:t xml:space="preserve">We transformed our results above to the liability scale in order to compare with narrow-sense heritability estimates (Fig. 6D) \cite{Supplement}. Prior studies have estimated that common SNPs explain 25.6%, 20.5%, and 19% of the </w:t>
      </w:r>
      <w:r w:rsidDel="00000000" w:rsidR="00000000" w:rsidRPr="00000000">
        <w:rPr>
          <w:rtl w:val="0"/>
        </w:rPr>
        <w:t xml:space="preserve">genetic</w:t>
      </w:r>
      <w:r w:rsidDel="00000000" w:rsidR="00000000" w:rsidRPr="00000000">
        <w:rPr>
          <w:rtl w:val="0"/>
        </w:rPr>
        <w:t xml:space="preserve"> variance for schizophrenia, bipolar disorder, and autism, respectively \cite{bioRxiv_10.1101/048991}. These may be taken as limits to which an additive predictive model using the common SNPs will approach given unlimited training data; by contrast, a non-linear predictor can potentially exceed these limits. Our best liability scores based on genotype are substantially below these levels, implying that incorporating further data will be beneficial. The variance explained by the full DSPN model was of a similar order to that explained by common SNPs for all three conditions (16.3%, 30%, and 14.4%). Improved imputation of intermediate phenotypes may thus capture most of the variance due to common-SNP, narrow-sense heritability, although this is limited by the proportion of variance in the imputed variables which is genetically determined (Fig. Sxxx).</w:t>
      </w:r>
    </w:p>
    <w:p w:rsidR="00000000" w:rsidDel="00000000" w:rsidP="00000000" w:rsidRDefault="00000000" w:rsidRPr="00000000" w14:paraId="00000049">
      <w:pPr>
        <w:contextualSpacing w:val="0"/>
        <w:rPr/>
      </w:pPr>
      <w:r w:rsidDel="00000000" w:rsidR="00000000" w:rsidRPr="00000000">
        <w:rPr>
          <w:rtl w:val="0"/>
        </w:rPr>
        <w:t xml:space="preserve"> </w:t>
      </w:r>
    </w:p>
    <w:p w:rsidR="00000000" w:rsidDel="00000000" w:rsidP="00000000" w:rsidRDefault="00000000" w:rsidRPr="00000000" w14:paraId="0000004A">
      <w:pPr>
        <w:contextualSpacing w:val="0"/>
        <w:rPr/>
      </w:pPr>
      <w:r w:rsidDel="00000000" w:rsidR="00000000" w:rsidRPr="00000000">
        <w:rPr>
          <w:rtl w:val="0"/>
        </w:rPr>
        <w:t xml:space="preserve">A key aspect of the DSPN is that its structure is interpretable. In particular, we examined the specific connections learned by the DSPN between intermediate and high-level phenotypes for potentially relevant biological associations. We included known co-expression modules in the model and examined which of these the DSPN prioritized, as well as new sets of genes associated with DSPN latent nodes that were uncovered at each hidden layer (</w:t>
      </w:r>
      <w:r w:rsidDel="00000000" w:rsidR="00000000" w:rsidRPr="00000000">
        <w:rPr>
          <w:rtl w:val="0"/>
        </w:rPr>
        <w:t xml:space="preserve">Supplement and Fig. SA2</w:t>
      </w:r>
      <w:r w:rsidDel="00000000" w:rsidR="00000000" w:rsidRPr="00000000">
        <w:rPr>
          <w:rtl w:val="0"/>
        </w:rPr>
        <w:t xml:space="preserve">).  We provide a full summary of the functional enrichment analysis for the prioritized modules and highlight some of the associations found using the schizophrenia model (Fig. 6c) \cite{Supplement}. Overall, we showed that the modules prioritized by the DSPN were strongly enriched for known GWAS variants \cite{Supplement}. </w:t>
      </w:r>
      <w:r w:rsidDel="00000000" w:rsidR="00000000" w:rsidRPr="00000000">
        <w:rPr>
          <w:rtl w:val="0"/>
        </w:rPr>
        <w:t xml:space="preserve">In particular, among the highest schizophrenia-prioritized modules and higher-order groupings, we found enrichments for (i) glutamatergic-synapse pathway genes, (ii) calcium-signaling pathways and astrocyte-marker genes, and (iii) complement cascade pathway genes including C4A, C4B, and CLU -- confirming and extending previous analyses \cite{26814963}. Further, we found enrichment in the prioritized modules/groupings for aging, the marker genes for Ex4 cell types, and the gene NRGN (in a module associated with synaptic and longevity functions), consistent with our differential expression analysis (Fig. S XXXX</w:t>
      </w:r>
      <w:r w:rsidDel="00000000" w:rsidR="00000000" w:rsidRPr="00000000">
        <w:rPr>
          <w:rtl w:val="0"/>
        </w:rPr>
        <w:t xml:space="preserve">).</w:t>
      </w:r>
    </w:p>
    <w:p w:rsidR="00000000" w:rsidDel="00000000" w:rsidP="00000000" w:rsidRDefault="00000000" w:rsidRPr="00000000" w14:paraId="0000004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after="80" w:lineRule="auto"/>
        <w:contextualSpacing w:val="0"/>
        <w:rPr>
          <w:b w:val="1"/>
          <w:color w:val="0000ff"/>
          <w:sz w:val="34"/>
          <w:szCs w:val="34"/>
          <w:highlight w:val="green"/>
        </w:rPr>
      </w:pPr>
      <w:r w:rsidDel="00000000" w:rsidR="00000000" w:rsidRPr="00000000">
        <w:rPr>
          <w:b w:val="1"/>
          <w:sz w:val="34"/>
          <w:szCs w:val="34"/>
          <w:rtl w:val="0"/>
        </w:rPr>
        <w:t xml:space="preserve">Conclusions</w:t>
      </w:r>
      <w:r w:rsidDel="00000000" w:rsidR="00000000" w:rsidRPr="00000000">
        <w:rPr>
          <w:b w:val="1"/>
          <w:sz w:val="34"/>
          <w:szCs w:val="34"/>
          <w:rtl w:val="0"/>
        </w:rPr>
        <w:t xml:space="preserve"> </w:t>
      </w:r>
      <w:r w:rsidDel="00000000" w:rsidR="00000000" w:rsidRPr="00000000">
        <w:rPr>
          <w:b w:val="1"/>
          <w:sz w:val="34"/>
          <w:szCs w:val="34"/>
          <w:rtl w:val="0"/>
        </w:rPr>
        <w:t xml:space="preserve">(318) </w:t>
      </w:r>
      <w:r w:rsidDel="00000000" w:rsidR="00000000" w:rsidRPr="00000000">
        <w:rPr>
          <w:b w:val="1"/>
          <w:color w:val="0000ff"/>
          <w:sz w:val="34"/>
          <w:szCs w:val="34"/>
          <w:rtl w:val="0"/>
        </w:rPr>
        <w:t xml:space="preserve">(Ready for MG) </w:t>
      </w: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t xml:space="preserve">Here, we uniformly integrated PsychENCODE datasets with other datasets, developing a comprehensive resource for functional genomic elements of the adult brain.  Our  integrative analyses of genetic association and functional genomic data here and with respect to the disease and developmental transcriptome \cite{cap1, devcap}, demonstrate that functional annotation of gene regulatory elements is necessary to understand the molecular mechanisms of disease related genetic variation.</w:t>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contextualSpacing w:val="0"/>
        <w:rPr>
          <w:highlight w:val="green"/>
        </w:rPr>
      </w:pPr>
      <w:r w:rsidDel="00000000" w:rsidR="00000000" w:rsidRPr="00000000">
        <w:rPr>
          <w:rtl w:val="0"/>
        </w:rPr>
        <w:t xml:space="preserve">Overall, our study identified a set of eQTLs several fold greater than previous studies, achieving close to saturation for protein-coding genes. Our data are consistent with the stage and tissue specific nature of gene regulation, indicating that it will be valuable to profile different regions and developmental stages at similar scale. This also includes increasing individual sample size and quality of chromatin data, such as identifying enhancers via STARR-seq, will help with cQTLs. More fundamentally, </w:t>
      </w:r>
      <w:r w:rsidDel="00000000" w:rsidR="00000000" w:rsidRPr="00000000">
        <w:rPr>
          <w:rtl w:val="0"/>
        </w:rPr>
        <w:t xml:space="preserve">one-dimensional fluctuations in chromatin signal reflect changes in three-dimensional changes in architecture</w:t>
      </w:r>
      <w:r w:rsidDel="00000000" w:rsidR="00000000" w:rsidRPr="00000000">
        <w:rPr>
          <w:rtl w:val="0"/>
        </w:rPr>
        <w:t xml:space="preserve"> and new metrics beyond cQTLs may need to be developed to measure this better. In addition, some other epigenetic marks might exhibit distinguishable patterns in the brain, e.g. the brain methylation landscape compared to the other tissues. Likewise, the inter-tissue differences might be further amplified when comparing the transcription level of microRNAs.</w:t>
      </w:r>
      <w:r w:rsidDel="00000000" w:rsidR="00000000" w:rsidRPr="00000000">
        <w:rPr>
          <w:rtl w:val="0"/>
        </w:rPr>
      </w:r>
    </w:p>
    <w:p w:rsidR="00000000" w:rsidDel="00000000" w:rsidP="00000000" w:rsidRDefault="00000000" w:rsidRPr="00000000" w14:paraId="00000050">
      <w:pPr>
        <w:ind w:left="0" w:firstLine="0"/>
        <w:contextualSpacing w:val="0"/>
        <w:rPr/>
      </w:pPr>
      <w:r w:rsidDel="00000000" w:rsidR="00000000" w:rsidRPr="00000000">
        <w:rPr>
          <w:rtl w:val="0"/>
        </w:rPr>
      </w:r>
    </w:p>
    <w:p w:rsidR="00000000" w:rsidDel="00000000" w:rsidP="00000000" w:rsidRDefault="00000000" w:rsidRPr="00000000" w14:paraId="00000051">
      <w:pPr>
        <w:ind w:left="0" w:firstLine="0"/>
        <w:contextualSpacing w:val="0"/>
        <w:rPr/>
      </w:pPr>
      <w:r w:rsidDel="00000000" w:rsidR="00000000" w:rsidRPr="00000000">
        <w:rPr>
          <w:rtl w:val="0"/>
        </w:rPr>
        <w:t xml:space="preserve">Another area for future development is single-cell analysis. In this study, we found that a set of basic and known cells with very different expression signatures and showed that they could explain large expression variations across tissues. This assumes that expression signatures, at least for biomarker genes, are fairly constant over same cell types. Larger-scale single cell studies will allow us to examine this assumption in more detail, perhaps quantifying environment-associated transcriptional variability of certain cell types. In addition, current techniques suffer from low capture efficiency; therefore, it remains challenging to reliably quantify low-abundant transcripts and genes \cite{26949524, 25053837}, with particular challenges for specific cell parts such as axons and dendrites \cite{25053837}. Thus, we may see novel techniques such as single-nucleus RNA-seq techniques that emerge to address these problems. </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highlight w:val="cyan"/>
        </w:rPr>
      </w:pPr>
      <w:r w:rsidDel="00000000" w:rsidR="00000000" w:rsidRPr="00000000">
        <w:rPr>
          <w:rtl w:val="0"/>
        </w:rPr>
        <w:t xml:space="preserve">Further, we envision how our DSPN deep-learning approach can be readily extendable to modeling complex genotype-phenotype relationships involving other kinds of intermediate phenotypes (e.g., from brain image features), and can naturally embed new types of QTLs and phenotype-phenotype interactions. Comparison of the variance explained in terms of liability when particular intermediate phenotypes are imputed versus known provide natural bounds on the variance in observed traits mediated by these phenotypes.  Finally, although our focus has been on common SNPs, we note that the DSPN may be capturing the effects of rare variants through their influence on intermediate phenotypes; the interpretable structure of the </w:t>
      </w:r>
      <w:r w:rsidDel="00000000" w:rsidR="00000000" w:rsidRPr="00000000">
        <w:rPr>
          <w:rtl w:val="0"/>
        </w:rPr>
        <w:t xml:space="preserve">model may help identify such variants by their association with prioritized phenotypes and higher-order groupings.</w:t>
      </w:r>
      <w:r w:rsidDel="00000000" w:rsidR="00000000" w:rsidRPr="00000000">
        <w:rPr>
          <w:rtl w:val="0"/>
        </w:rPr>
      </w:r>
    </w:p>
    <w:p w:rsidR="00000000" w:rsidDel="00000000" w:rsidP="00000000" w:rsidRDefault="00000000" w:rsidRPr="00000000" w14:paraId="00000054">
      <w:pPr>
        <w:contextualSpacing w:val="0"/>
        <w:rPr>
          <w:highlight w:val="cyan"/>
        </w:rPr>
      </w:pPr>
      <w:r w:rsidDel="00000000" w:rsidR="00000000" w:rsidRPr="00000000">
        <w:rPr>
          <w:rtl w:val="0"/>
        </w:rPr>
      </w:r>
    </w:p>
    <w:p w:rsidR="00000000" w:rsidDel="00000000" w:rsidP="00000000" w:rsidRDefault="00000000" w:rsidRPr="00000000" w14:paraId="00000055">
      <w:pPr>
        <w:spacing w:after="80" w:lineRule="auto"/>
        <w:contextualSpacing w:val="0"/>
        <w:rPr>
          <w:b w:val="1"/>
          <w:sz w:val="34"/>
          <w:szCs w:val="34"/>
        </w:rPr>
      </w:pPr>
      <w:r w:rsidDel="00000000" w:rsidR="00000000" w:rsidRPr="00000000">
        <w:rPr>
          <w:b w:val="1"/>
          <w:sz w:val="34"/>
          <w:szCs w:val="34"/>
          <w:rtl w:val="0"/>
        </w:rPr>
        <w:t xml:space="preserve">Figures (1435)</w:t>
      </w:r>
    </w:p>
    <w:p w:rsidR="00000000" w:rsidDel="00000000" w:rsidP="00000000" w:rsidRDefault="00000000" w:rsidRPr="00000000" w14:paraId="00000056">
      <w:pPr>
        <w:spacing w:after="80" w:lineRule="auto"/>
        <w:contextualSpacing w:val="0"/>
        <w:rPr/>
      </w:pPr>
      <w:r w:rsidDel="00000000" w:rsidR="00000000" w:rsidRPr="00000000">
        <w:rPr>
          <w:b w:val="1"/>
          <w:rtl w:val="0"/>
        </w:rPr>
        <w:t xml:space="preserve">Figure 1. Comprehensive data resource of functional genomics in adult brain</w:t>
      </w:r>
      <w:r w:rsidDel="00000000" w:rsidR="00000000" w:rsidRPr="00000000">
        <w:rPr>
          <w:rtl w:val="0"/>
        </w:rPr>
        <w:t xml:space="preserve">. The functional genomics data generated by the PsychENCODE consortium (PEC) constitute a multidimensional exploration across tissue, developmental stage, disorder, species, assay, and sex. From this larger corpus of PEC samples, we focused on adult datasets, integrated with those from consortia such as GTEx, the Roadmap Epigenomics Consortium, ENCODE, CMC and Human Brain Collection Core studies, and previously published single-cell transcriptomic data. The central data cube represents the results of this integration for the three dimensions of disorder, assay, and tissue, where only the numbers of datasets used in the current analysis are depicted. Projections of the data onto each of these three parameters are shown in graph form for assay and disorder, and in schematic form for the primary brain regions of interest. </w:t>
      </w:r>
      <w:r w:rsidDel="00000000" w:rsidR="00000000" w:rsidRPr="00000000">
        <w:rPr>
          <w:b w:val="1"/>
          <w:rtl w:val="0"/>
        </w:rPr>
        <w:t xml:space="preserve">Assay:</w:t>
      </w:r>
      <w:r w:rsidDel="00000000" w:rsidR="00000000" w:rsidRPr="00000000">
        <w:rPr>
          <w:rtl w:val="0"/>
        </w:rPr>
        <w:t xml:space="preserve"> The bars represent datasets across a subset of the assay types, including RNA-seq (N = 2040 PEC + 1632 uniformly processed GTEx samples), genotypes (N = 1753 PEC + 113 GTEx = 1866 individuals), scRNA-seq (N = 932 PEC + 3693 external datasets), and H3K27ac ChIP-seq (= 408 PEC + 5 uniformly processed Roadmap samples). </w:t>
      </w:r>
      <w:r w:rsidDel="00000000" w:rsidR="00000000" w:rsidRPr="00000000">
        <w:rPr>
          <w:b w:val="1"/>
          <w:rtl w:val="0"/>
        </w:rPr>
        <w:t xml:space="preserve">Disorder:</w:t>
      </w:r>
      <w:r w:rsidDel="00000000" w:rsidR="00000000" w:rsidRPr="00000000">
        <w:rPr>
          <w:rtl w:val="0"/>
        </w:rPr>
        <w:t xml:space="preserve"> The number of individuals under the control category include the 113 from GTEx and 926 from PEC, while individuals from PEC provide data on the remaining disorders of schizophrenia (SCZ, N = 558), bipolar disorder (BPD, N = 217), ASD (N = 44), and affective disorder (AFF, N = 8), resulting in a total of 1,866. </w:t>
      </w:r>
      <w:r w:rsidDel="00000000" w:rsidR="00000000" w:rsidRPr="00000000">
        <w:rPr>
          <w:b w:val="1"/>
          <w:rtl w:val="0"/>
        </w:rPr>
        <w:t xml:space="preserve">Tissue:</w:t>
      </w:r>
      <w:r w:rsidDel="00000000" w:rsidR="00000000" w:rsidRPr="00000000">
        <w:rPr>
          <w:rtl w:val="0"/>
        </w:rPr>
        <w:t xml:space="preserve"> In this schematic, we focus on the datasets derived from three primary brain regions evaluated in our integrative study: the PFC (N = 3521), the ex TC (N = 2153), and the CB (N = 348). </w:t>
      </w:r>
    </w:p>
    <w:p w:rsidR="00000000" w:rsidDel="00000000" w:rsidP="00000000" w:rsidRDefault="00000000" w:rsidRPr="00000000" w14:paraId="00000057">
      <w:pPr>
        <w:spacing w:after="80" w:lineRule="auto"/>
        <w:contextualSpacing w:val="0"/>
        <w:rPr/>
      </w:pPr>
      <w:r w:rsidDel="00000000" w:rsidR="00000000" w:rsidRPr="00000000">
        <w:rPr>
          <w:rtl w:val="0"/>
        </w:rPr>
      </w:r>
    </w:p>
    <w:p w:rsidR="00000000" w:rsidDel="00000000" w:rsidP="00000000" w:rsidRDefault="00000000" w:rsidRPr="00000000" w14:paraId="00000058">
      <w:pPr>
        <w:spacing w:after="80" w:lineRule="auto"/>
        <w:contextualSpacing w:val="0"/>
        <w:rPr/>
      </w:pPr>
      <w:r w:rsidDel="00000000" w:rsidR="00000000" w:rsidRPr="00000000">
        <w:rPr>
          <w:b w:val="1"/>
          <w:rtl w:val="0"/>
        </w:rPr>
        <w:t xml:space="preserve">Figure 2. Deconvolution analysis of bulk and single-cell transcriptomics reveals cell fraction changes across tissue phenotypes and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Genes had significantly higher expression variability across single cells than tissue samples. Left: dopamine gene, DRD3. </w:t>
      </w:r>
      <w:r w:rsidDel="00000000" w:rsidR="00000000" w:rsidRPr="00000000">
        <w:rPr>
          <w:b w:val="1"/>
          <w:rtl w:val="0"/>
        </w:rPr>
        <w:t xml:space="preserve">(B)</w:t>
      </w:r>
      <w:r w:rsidDel="00000000" w:rsidR="00000000" w:rsidRPr="00000000">
        <w:rPr>
          <w:rFonts w:ascii="Arial Unicode MS" w:cs="Arial Unicode MS" w:eastAsia="Arial Unicode MS" w:hAnsi="Arial Unicode MS"/>
          <w:rtl w:val="0"/>
        </w:rPr>
        <w:t xml:space="preserve"> Top: the bulk tissue gene expression matrix (B, genes by individuals) can be decomposed by NMF to the product of two matrices: NMF component matrix (V, genes by top NMF components; i.e., NMF-TCs) and component fraction matrix (H, top NMF components by individuals); i.e., B≈</w:t>
      </w:r>
      <w:r w:rsidDel="00000000" w:rsidR="00000000" w:rsidRPr="00000000">
        <w:rPr>
          <w:rtl w:val="0"/>
        </w:rPr>
        <w:t xml:space="preserve">VH</w:t>
      </w:r>
      <w:r w:rsidDel="00000000" w:rsidR="00000000" w:rsidRPr="00000000">
        <w:rPr>
          <w:rFonts w:ascii="Arial Unicode MS" w:cs="Arial Unicode MS" w:eastAsia="Arial Unicode MS" w:hAnsi="Arial Unicode MS"/>
          <w:rtl w:val="0"/>
        </w:rPr>
        <w:t xml:space="preserve">. Bottom: the bulk tissue gene expression matrix B can be also deconvolved by the single-cell gene expression matrix (C, genes by cell types) to estimate the cell fractions across individuals (the matrix, W); i.e., B≈CW. Three major cell types were neuronal cells (blue), non-neuronal cells (red), and developmental (dev) cells (green), as highlighted by columns groups in C (also row groups in W). </w:t>
      </w:r>
      <w:r w:rsidDel="00000000" w:rsidR="00000000" w:rsidRPr="00000000">
        <w:rPr>
          <w:b w:val="1"/>
          <w:rtl w:val="0"/>
        </w:rPr>
        <w:t xml:space="preserve">(C)</w:t>
      </w:r>
      <w:r w:rsidDel="00000000" w:rsidR="00000000" w:rsidRPr="00000000">
        <w:rPr>
          <w:rtl w:val="0"/>
        </w:rPr>
        <w:t xml:space="preserve"> The heatmap shows the Pearson correlation coefficients of gene expression between the NMF TCs and single cell types for the biomarker genes (N=457). For example, NMF-7 highly correlated with the Ex3 cell type (r=0.6597). </w:t>
      </w:r>
      <w:r w:rsidDel="00000000" w:rsidR="00000000" w:rsidRPr="00000000">
        <w:rPr>
          <w:b w:val="1"/>
          <w:rtl w:val="0"/>
        </w:rPr>
        <w:t xml:space="preserve">(D)</w:t>
      </w:r>
      <w:r w:rsidDel="00000000" w:rsidR="00000000" w:rsidRPr="00000000">
        <w:rPr>
          <w:rtl w:val="0"/>
        </w:rPr>
        <w:t xml:space="preserve"> The estimate cell fractions contributed to &gt;85% bulk tissue expression variations; i.e., 1-||B-C*W||/||B||&gt;0.85. </w:t>
      </w:r>
      <w:r w:rsidDel="00000000" w:rsidR="00000000" w:rsidRPr="00000000">
        <w:rPr>
          <w:b w:val="1"/>
          <w:rtl w:val="0"/>
        </w:rPr>
        <w:t xml:space="preserve">(E)</w:t>
      </w:r>
      <w:r w:rsidDel="00000000" w:rsidR="00000000" w:rsidRPr="00000000">
        <w:rPr>
          <w:rtl w:val="0"/>
        </w:rPr>
        <w:t xml:space="preserve"> The cell fractions changed across genders (control samples) and brain  disorders. The neuronal cell types (e.g. In8) had significantly higher fractions in female than male samples (p=1.2e-4). Disorder types that showing significant changes compared to control samples after accounting for age distributions are labeled (**). For example, Ex3 neuronal cells and oligodendrocytes had lower fractions in ASD than other </w:t>
      </w:r>
      <w:r w:rsidDel="00000000" w:rsidR="00000000" w:rsidRPr="00000000">
        <w:rPr>
          <w:rtl w:val="0"/>
        </w:rPr>
        <w:t xml:space="preserve">cell types</w:t>
      </w:r>
      <w:r w:rsidDel="00000000" w:rsidR="00000000" w:rsidRPr="00000000">
        <w:rPr>
          <w:rtl w:val="0"/>
        </w:rPr>
        <w:t xml:space="preserve">. </w:t>
      </w:r>
      <w:r w:rsidDel="00000000" w:rsidR="00000000" w:rsidRPr="00000000">
        <w:rPr>
          <w:b w:val="1"/>
          <w:rtl w:val="0"/>
        </w:rPr>
        <w:t xml:space="preserve">(F)</w:t>
      </w:r>
      <w:r w:rsidDel="00000000" w:rsidR="00000000" w:rsidRPr="00000000">
        <w:rPr>
          <w:rtl w:val="0"/>
        </w:rPr>
        <w:t xml:space="preserve"> The cell fractions, gene expression (EGR1) and methylation level (EGR1) changed across ages. The excitatory neuronal cell type Ex3 had a significant increase increase with age (trend analysis p&lt;6.3e-10).</w:t>
      </w:r>
    </w:p>
    <w:p w:rsidR="00000000" w:rsidDel="00000000" w:rsidP="00000000" w:rsidRDefault="00000000" w:rsidRPr="00000000" w14:paraId="00000059">
      <w:pPr>
        <w:spacing w:after="80" w:lineRule="auto"/>
        <w:contextualSpacing w:val="0"/>
        <w:rPr/>
      </w:pPr>
      <w:r w:rsidDel="00000000" w:rsidR="00000000" w:rsidRPr="00000000">
        <w:rPr>
          <w:rtl w:val="0"/>
        </w:rPr>
      </w:r>
    </w:p>
    <w:p w:rsidR="00000000" w:rsidDel="00000000" w:rsidP="00000000" w:rsidRDefault="00000000" w:rsidRPr="00000000" w14:paraId="0000005A">
      <w:pPr>
        <w:spacing w:after="80" w:lineRule="auto"/>
        <w:contextualSpacing w:val="0"/>
        <w:rPr/>
      </w:pPr>
      <w:r w:rsidDel="00000000" w:rsidR="00000000" w:rsidRPr="00000000">
        <w:rPr>
          <w:b w:val="1"/>
          <w:rtl w:val="0"/>
        </w:rPr>
        <w:t xml:space="preserve">Figure 3. Comparative analysis for transcriptomics and epigenomics between brain and other tissues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Chromatin features of the reference brain were used to identify active enhancers. Enhancers were located in the open chromatin region (high ATAC-seq signal), with strong H3K27ac signal and a lack of H3K4me3 signal. Enhancer activity varied among individuals, as indicated by the varying H3K27ac peak signal in the cohort. Each row corresponds to an individual, with shallow to dark blue indicating low to high signal peak value. </w:t>
      </w:r>
      <w:r w:rsidDel="00000000" w:rsidR="00000000" w:rsidRPr="00000000">
        <w:rPr>
          <w:b w:val="1"/>
          <w:rtl w:val="0"/>
        </w:rPr>
        <w:t xml:space="preserve">(B)</w:t>
      </w:r>
      <w:r w:rsidDel="00000000" w:rsidR="00000000" w:rsidRPr="00000000">
        <w:rPr>
          <w:rtl w:val="0"/>
        </w:rPr>
        <w:t xml:space="preserve"> The number of brain active enhancers achieved a saturation of over 70,000 with 20 samples. </w:t>
      </w:r>
      <w:r w:rsidDel="00000000" w:rsidR="00000000" w:rsidRPr="00000000">
        <w:rPr>
          <w:b w:val="1"/>
          <w:rtl w:val="0"/>
        </w:rPr>
        <w:t xml:space="preserve">(C)</w:t>
      </w:r>
      <w:r w:rsidDel="00000000" w:rsidR="00000000" w:rsidRPr="00000000">
        <w:rPr>
          <w:rtl w:val="0"/>
        </w:rPr>
        <w:t xml:space="preserve"> The coefficients (PC1 vs. PC2) of RCA analysis for gene expression data of</w:t>
      </w:r>
      <w:r w:rsidDel="00000000" w:rsidR="00000000" w:rsidRPr="00000000">
        <w:rPr>
          <w:rFonts w:ascii="SimSun" w:cs="SimSun" w:eastAsia="SimSun" w:hAnsi="SimSun"/>
          <w:rtl w:val="0"/>
        </w:rPr>
        <w:t xml:space="preserve"> </w:t>
      </w:r>
      <w:r w:rsidDel="00000000" w:rsidR="00000000" w:rsidRPr="00000000">
        <w:rPr>
          <w:rtl w:val="0"/>
        </w:rPr>
        <w:t xml:space="preserve">PsychENCODE samples are shown in dark green. Other external brain samples (light green) including GTEx and other tissue samples (magenta) are shown as well. </w:t>
      </w:r>
      <w:r w:rsidDel="00000000" w:rsidR="00000000" w:rsidRPr="00000000">
        <w:rPr>
          <w:b w:val="1"/>
          <w:rtl w:val="0"/>
        </w:rPr>
        <w:t xml:space="preserve">(D)</w:t>
      </w:r>
      <w:r w:rsidDel="00000000" w:rsidR="00000000" w:rsidRPr="00000000">
        <w:rPr>
          <w:rtl w:val="0"/>
        </w:rPr>
        <w:t xml:space="preserve"> The center (cross) and ranges of different tissue clusters (dashed ellipse) are shown on an RCA scatterplot of (C). </w:t>
      </w:r>
      <w:r w:rsidDel="00000000" w:rsidR="00000000" w:rsidRPr="00000000">
        <w:rPr>
          <w:b w:val="1"/>
          <w:rtl w:val="0"/>
        </w:rPr>
        <w:t xml:space="preserve">(E)</w:t>
      </w:r>
      <w:r w:rsidDel="00000000" w:rsidR="00000000" w:rsidRPr="00000000">
        <w:rPr>
          <w:rtl w:val="0"/>
        </w:rPr>
        <w:t xml:space="preserve"> The tissue clusters of RCA coefficients (PC1 vs. PC2) for chromatin data of active brain enhancers are shown. The brain cluster (green ellipse) includes the PsychENCODE samples and other tissue clusters (magenta ellipses) consisting of Epigeomics Roadmap samples. </w:t>
      </w:r>
      <w:r w:rsidDel="00000000" w:rsidR="00000000" w:rsidRPr="00000000">
        <w:rPr>
          <w:b w:val="1"/>
          <w:rtl w:val="0"/>
        </w:rPr>
        <w:t xml:space="preserve">(F) </w:t>
      </w:r>
      <w:r w:rsidDel="00000000" w:rsidR="00000000" w:rsidRPr="00000000">
        <w:rPr>
          <w:rtl w:val="0"/>
        </w:rPr>
        <w:t xml:space="preserve">The transcriptional diversity on coding (circle) and non-coding (triangle) regions among the tissue samples (inter-sample on x-axis) is shown compared to the diversity on cumulative tissue samples (y-axis) for select major tissue types including CB (lightblue), cortex (xxx), lung (xxx), ovary (xxx), skin (xx), and testes (xx), using PolyA RNA-seq data.</w:t>
      </w:r>
    </w:p>
    <w:p w:rsidR="00000000" w:rsidDel="00000000" w:rsidP="00000000" w:rsidRDefault="00000000" w:rsidRPr="00000000" w14:paraId="0000005B">
      <w:pPr>
        <w:spacing w:after="80" w:lineRule="auto"/>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b w:val="1"/>
          <w:rtl w:val="0"/>
        </w:rPr>
        <w:t xml:space="preserve">Figure 4. Summary of QTLs of human adult brain PFC</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Example of H3K27ac signal of individual brains in a representative genomic region showing largely congruent identification of regions of open chromatin. Region in the dashed frame represents a chromatin QTL; the signal magnitudes of individuals with a G/G or G/T genotype were lower than the ones with a T/T genotype. (</w:t>
      </w:r>
      <w:r w:rsidDel="00000000" w:rsidR="00000000" w:rsidRPr="00000000">
        <w:rPr>
          <w:b w:val="1"/>
          <w:rtl w:val="0"/>
        </w:rPr>
        <w:t xml:space="preserve">B</w:t>
      </w:r>
      <w:r w:rsidDel="00000000" w:rsidR="00000000" w:rsidRPr="00000000">
        <w:rPr>
          <w:rtl w:val="0"/>
        </w:rPr>
        <w:t xml:space="preserve">) Numbers of genes with at least one eQTL (eGenes) are shown compared to sample size in different studies. The number of eGenes increased as the sample size increased. The eGenes of PsychENCODE is close to saturation. (</w:t>
      </w:r>
      <w:r w:rsidDel="00000000" w:rsidR="00000000" w:rsidRPr="00000000">
        <w:rPr>
          <w:b w:val="1"/>
          <w:rtl w:val="0"/>
        </w:rPr>
        <w:t xml:space="preserve">C</w:t>
      </w:r>
      <w:r w:rsidDel="00000000" w:rsidR="00000000" w:rsidRPr="00000000">
        <w:rPr>
          <w:rtl w:val="0"/>
        </w:rPr>
        <w:t xml:space="preserve">) Overlap of eQTL, sQTL, fQTL, and cQTL SNPs is shown. In total, 80% of eQTLs overlapped with other QTLs. The percentage of overlapped SNPs of eQTL with other QTLs was the highest among all QTLs. A total of 31% of fQTL SNPs overlapped with other QTLs, which was the lowest among all QTLs; 36% of sQTL and cQTL SNPs overlapped with other QTL SNPs. </w:t>
      </w:r>
      <w:r w:rsidDel="00000000" w:rsidR="00000000" w:rsidRPr="00000000">
        <w:rPr>
          <w:rtl w:val="0"/>
        </w:rPr>
        <w:t xml:space="preserve">fQTL</w:t>
      </w:r>
      <w:r w:rsidDel="00000000" w:rsidR="00000000" w:rsidRPr="00000000">
        <w:rPr>
          <w:rtl w:val="0"/>
        </w:rPr>
        <w:t xml:space="preserve">s</w:t>
      </w:r>
      <w:r w:rsidDel="00000000" w:rsidR="00000000" w:rsidRPr="00000000">
        <w:rPr>
          <w:rtl w:val="0"/>
        </w:rPr>
        <w:t xml:space="preserve"> overlap</w:t>
      </w:r>
      <w:r w:rsidDel="00000000" w:rsidR="00000000" w:rsidRPr="00000000">
        <w:rPr>
          <w:rtl w:val="0"/>
        </w:rPr>
        <w:t xml:space="preserve">ped</w:t>
      </w:r>
      <w:r w:rsidDel="00000000" w:rsidR="00000000" w:rsidRPr="00000000">
        <w:rPr>
          <w:rtl w:val="0"/>
        </w:rPr>
        <w:t xml:space="preserve"> more with sQTL</w:t>
      </w:r>
      <w:r w:rsidDel="00000000" w:rsidR="00000000" w:rsidRPr="00000000">
        <w:rPr>
          <w:rtl w:val="0"/>
        </w:rPr>
        <w:t xml:space="preserve">s </w:t>
      </w:r>
      <w:r w:rsidDel="00000000" w:rsidR="00000000" w:rsidRPr="00000000">
        <w:rPr>
          <w:rtl w:val="0"/>
        </w:rPr>
        <w:t xml:space="preserve">(17%) than eQTL</w:t>
      </w:r>
      <w:r w:rsidDel="00000000" w:rsidR="00000000" w:rsidRPr="00000000">
        <w:rPr>
          <w:rtl w:val="0"/>
        </w:rPr>
        <w:t xml:space="preserve">s </w:t>
      </w:r>
      <w:r w:rsidDel="00000000" w:rsidR="00000000" w:rsidRPr="00000000">
        <w:rPr>
          <w:rtl w:val="0"/>
        </w:rPr>
        <w:t xml:space="preserve">(9%) (p&lt;1e-15, odds ratio:2.07). </w:t>
      </w:r>
      <w:r w:rsidDel="00000000" w:rsidR="00000000" w:rsidRPr="00000000">
        <w:rPr>
          <w:rtl w:val="0"/>
        </w:rPr>
        <w:t xml:space="preserve">(</w:t>
      </w:r>
      <w:r w:rsidDel="00000000" w:rsidR="00000000" w:rsidRPr="00000000">
        <w:rPr>
          <w:b w:val="1"/>
          <w:rtl w:val="0"/>
        </w:rPr>
        <w:t xml:space="preserve">D</w:t>
      </w:r>
      <w:r w:rsidDel="00000000" w:rsidR="00000000" w:rsidRPr="00000000">
        <w:rPr>
          <w:rtl w:val="0"/>
        </w:rPr>
        <w:t xml:space="preserve">) Enrichment of genomic regions annotations of QTLs is shown. (</w:t>
      </w:r>
      <w:r w:rsidDel="00000000" w:rsidR="00000000" w:rsidRPr="00000000">
        <w:rPr>
          <w:b w:val="1"/>
          <w:rtl w:val="0"/>
        </w:rPr>
        <w:t xml:space="preserve">E</w:t>
      </w:r>
      <w:r w:rsidDel="00000000" w:rsidR="00000000" w:rsidRPr="00000000">
        <w:rPr>
          <w:rtl w:val="0"/>
        </w:rPr>
        <w:t xml:space="preserve">) Enrichment of GWAS SNPs on cis-eQTL SNPs is shown. Enrichment for GWAS SNPs of brain disorders on cis-eQTLs SNPs were more significant than those of non-brain disorder GWAS SNPs. Schizophrenia GWAS SNPs had the highest enrichment on cis-eQTLs SNPs among the three brain disorders analyzed.</w:t>
      </w:r>
    </w:p>
    <w:p w:rsidR="00000000" w:rsidDel="00000000" w:rsidP="00000000" w:rsidRDefault="00000000" w:rsidRPr="00000000" w14:paraId="0000005D">
      <w:pPr>
        <w:spacing w:after="80" w:lineRule="auto"/>
        <w:contextualSpacing w:val="0"/>
        <w:rPr/>
      </w:pPr>
      <w:r w:rsidDel="00000000" w:rsidR="00000000" w:rsidRPr="00000000">
        <w:rPr>
          <w:rtl w:val="0"/>
        </w:rPr>
      </w:r>
    </w:p>
    <w:p w:rsidR="00000000" w:rsidDel="00000000" w:rsidP="00000000" w:rsidRDefault="00000000" w:rsidRPr="00000000" w14:paraId="0000005E">
      <w:pPr>
        <w:spacing w:after="80" w:lineRule="auto"/>
        <w:contextualSpacing w:val="0"/>
        <w:rPr/>
      </w:pPr>
      <w:r w:rsidDel="00000000" w:rsidR="00000000" w:rsidRPr="00000000">
        <w:rPr>
          <w:b w:val="1"/>
          <w:rtl w:val="0"/>
        </w:rPr>
        <w:t xml:space="preserve">Figure 5. Data integration and modeling predicts gene regulatory network, revealing additional GWAS genes for psychiatric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full Hi-C data from adult brain reveal the folding principle of the genome, ranging from contact maps (top), TADs, and enhancer-promoter interactions. We leveraged gene regulatory linkages involving TADs, TFs, enhancers, and target genes to a full gene regulatory network consisting of ~150,000 Hi-C promoter-based interactions, ~2 million eQTL-eGene linkages, ~211k TF-to-target and ~577k enhancer-to-target-promoter linkages based on activity relationships. </w:t>
      </w:r>
      <w:r w:rsidDel="00000000" w:rsidR="00000000" w:rsidRPr="00000000">
        <w:rPr>
          <w:b w:val="1"/>
          <w:rtl w:val="0"/>
        </w:rPr>
        <w:t xml:space="preserve">(B)</w:t>
      </w:r>
      <w:r w:rsidDel="00000000" w:rsidR="00000000" w:rsidRPr="00000000">
        <w:rPr>
          <w:rtl w:val="0"/>
        </w:rPr>
        <w:t xml:space="preserve"> We compared the number of genes (left y-axis, dotted line) and the normalized gene expression levels (right y-axis, boxes) with the number of enhancers that interact with the gene promoters. </w:t>
      </w:r>
      <w:r w:rsidDel="00000000" w:rsidR="00000000" w:rsidRPr="00000000">
        <w:rPr>
          <w:b w:val="1"/>
          <w:rtl w:val="0"/>
        </w:rPr>
        <w:t xml:space="preserve">(C)</w:t>
      </w:r>
      <w:r w:rsidDel="00000000" w:rsidR="00000000" w:rsidRPr="00000000">
        <w:rPr>
          <w:rtl w:val="0"/>
        </w:rPr>
        <w:t xml:space="preserve"> QTLs that were supported by Hi-C evidence showed more significant P-values than those that were not. </w:t>
      </w:r>
      <w:r w:rsidDel="00000000" w:rsidR="00000000" w:rsidRPr="00000000">
        <w:rPr>
          <w:b w:val="1"/>
          <w:rtl w:val="0"/>
        </w:rPr>
        <w:t xml:space="preserve">(D)</w:t>
      </w:r>
      <w:r w:rsidDel="00000000" w:rsidR="00000000" w:rsidRPr="00000000">
        <w:rPr>
          <w:rtl w:val="0"/>
        </w:rPr>
        <w:t xml:space="preserve"> An overlap between putative target genes of schizophrenia GWAS loci defined by eQTL associations (eQTL), chromatin interactions (Hi-C), and activity relationships (Elastic net), including </w:t>
      </w:r>
      <w:r w:rsidDel="00000000" w:rsidR="00000000" w:rsidRPr="00000000">
        <w:rPr>
          <w:color w:val="222222"/>
          <w:highlight w:val="white"/>
          <w:rtl w:val="0"/>
        </w:rPr>
        <w:t xml:space="preserve">304 highly confident and 1097 risk genes with </w:t>
      </w:r>
      <w:r w:rsidDel="00000000" w:rsidR="00000000" w:rsidRPr="00000000">
        <w:rPr>
          <w:rtl w:val="0"/>
        </w:rPr>
        <w:t xml:space="preserve">schizophrenia. </w:t>
      </w:r>
      <w:r w:rsidDel="00000000" w:rsidR="00000000" w:rsidRPr="00000000">
        <w:rPr>
          <w:b w:val="1"/>
          <w:rtl w:val="0"/>
        </w:rPr>
        <w:t xml:space="preserve">(E)</w:t>
      </w:r>
      <w:r w:rsidDel="00000000" w:rsidR="00000000" w:rsidRPr="00000000">
        <w:rPr>
          <w:rtl w:val="0"/>
        </w:rPr>
        <w:t xml:space="preserve"> A gene regulatory network of TFs (cyan), eQTLs (gold), enhancers (purple), and 302 highly confident schizophrenia genes as targets is shown. </w:t>
      </w:r>
      <w:r w:rsidDel="00000000" w:rsidR="00000000" w:rsidRPr="00000000">
        <w:rPr>
          <w:b w:val="1"/>
          <w:rtl w:val="0"/>
        </w:rPr>
        <w:t xml:space="preserve">(F)</w:t>
      </w:r>
      <w:r w:rsidDel="00000000" w:rsidR="00000000" w:rsidRPr="00000000">
        <w:rPr>
          <w:rtl w:val="0"/>
        </w:rPr>
        <w:t xml:space="preserve"> Evidence depicting that GWAS SNPs </w:t>
      </w:r>
      <w:r w:rsidDel="00000000" w:rsidR="00000000" w:rsidRPr="00000000">
        <w:rPr>
          <w:rtl w:val="0"/>
        </w:rPr>
        <w:t xml:space="preserve">that</w:t>
      </w:r>
      <w:r w:rsidDel="00000000" w:rsidR="00000000" w:rsidRPr="00000000">
        <w:rPr>
          <w:rtl w:val="0"/>
        </w:rPr>
        <w:t xml:space="preserve"> overlap with CHRNA2 eQTLs also have chromatin interactions and activity correlations with the same gene. </w:t>
      </w:r>
      <w:r w:rsidDel="00000000" w:rsidR="00000000" w:rsidRPr="00000000">
        <w:rPr>
          <w:b w:val="1"/>
          <w:rtl w:val="0"/>
        </w:rPr>
        <w:t xml:space="preserve">(G) </w:t>
      </w:r>
      <w:r w:rsidDel="00000000" w:rsidR="00000000" w:rsidRPr="00000000">
        <w:rPr>
          <w:rtl w:val="0"/>
        </w:rPr>
        <w:t xml:space="preserve">SCZ genes show higher expression levels in neuronal cell types (excitatory neurons) than others. </w:t>
      </w:r>
    </w:p>
    <w:p w:rsidR="00000000" w:rsidDel="00000000" w:rsidP="00000000" w:rsidRDefault="00000000" w:rsidRPr="00000000" w14:paraId="0000005F">
      <w:pPr>
        <w:spacing w:after="80" w:lineRule="auto"/>
        <w:contextualSpacing w:val="0"/>
        <w:rPr/>
      </w:pPr>
      <w:r w:rsidDel="00000000" w:rsidR="00000000" w:rsidRPr="00000000">
        <w:rPr>
          <w:rtl w:val="0"/>
        </w:rPr>
      </w:r>
    </w:p>
    <w:p w:rsidR="00000000" w:rsidDel="00000000" w:rsidP="00000000" w:rsidRDefault="00000000" w:rsidRPr="00000000" w14:paraId="00000060">
      <w:pPr>
        <w:spacing w:after="80" w:lineRule="auto"/>
        <w:contextualSpacing w:val="0"/>
        <w:rPr/>
      </w:pPr>
      <w:r w:rsidDel="00000000" w:rsidR="00000000" w:rsidRPr="00000000">
        <w:rPr>
          <w:b w:val="1"/>
          <w:rtl w:val="0"/>
        </w:rPr>
        <w:t xml:space="preserve">Figure 6. Deep-learning model predicts genotype-phenotype and reveals intermediate molecular mechanisms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schematic outlines the model structures for Logistic Regression (LR), conditional Restricted Boltzmann Machine (cRBM), conditional Deep Boltzmann Machine (cDBM)</w:t>
      </w:r>
      <w:r w:rsidDel="00000000" w:rsidR="00000000" w:rsidRPr="00000000">
        <w:rPr>
          <w:rtl w:val="0"/>
        </w:rPr>
        <w:t xml:space="preserve">,</w:t>
      </w:r>
      <w:r w:rsidDel="00000000" w:rsidR="00000000" w:rsidRPr="00000000">
        <w:rPr>
          <w:rtl w:val="0"/>
        </w:rPr>
        <w:t xml:space="preserve"> and DSPN models. Nodes are partitioned into four possible layers (L0-L3) and colored according to their status as (i) conditioning nodes visible during training and testing (light blue); (ii) nodes visible during training and visible or imputed during testing (dark blue); </w:t>
      </w:r>
      <w:r w:rsidDel="00000000" w:rsidR="00000000" w:rsidRPr="00000000">
        <w:rPr>
          <w:rtl w:val="0"/>
        </w:rPr>
        <w:t xml:space="preserve">or (iii) </w:t>
      </w:r>
      <w:r w:rsidDel="00000000" w:rsidR="00000000" w:rsidRPr="00000000">
        <w:rPr>
          <w:rtl w:val="0"/>
        </w:rPr>
        <w:t xml:space="preserve">hidden nodes (grey). </w:t>
      </w:r>
      <w:r w:rsidDel="00000000" w:rsidR="00000000" w:rsidRPr="00000000">
        <w:rPr>
          <w:b w:val="1"/>
          <w:rtl w:val="0"/>
        </w:rPr>
        <w:t xml:space="preserve">(B) </w:t>
      </w:r>
      <w:r w:rsidDel="00000000" w:rsidR="00000000" w:rsidRPr="00000000">
        <w:rPr>
          <w:rtl w:val="0"/>
        </w:rPr>
        <w:t xml:space="preserve">The</w:t>
      </w:r>
      <w:r w:rsidDel="00000000" w:rsidR="00000000" w:rsidRPr="00000000">
        <w:rPr>
          <w:rtl w:val="0"/>
        </w:rPr>
        <w:t xml:space="preserve"> DSPN structure </w:t>
      </w:r>
      <w:r w:rsidDel="00000000" w:rsidR="00000000" w:rsidRPr="00000000">
        <w:rPr>
          <w:rtl w:val="0"/>
        </w:rPr>
        <w:t xml:space="preserve">is shown </w:t>
      </w:r>
      <w:r w:rsidDel="00000000" w:rsidR="00000000" w:rsidRPr="00000000">
        <w:rPr>
          <w:rtl w:val="0"/>
        </w:rPr>
        <w:t xml:space="preserve">in further detail, with the biological interpretation of layers L0, L1</w:t>
      </w:r>
      <w:r w:rsidDel="00000000" w:rsidR="00000000" w:rsidRPr="00000000">
        <w:rPr>
          <w:rtl w:val="0"/>
        </w:rPr>
        <w:t xml:space="preserve">,</w:t>
      </w:r>
      <w:r w:rsidDel="00000000" w:rsidR="00000000" w:rsidRPr="00000000">
        <w:rPr>
          <w:rtl w:val="0"/>
        </w:rPr>
        <w:t xml:space="preserve"> and L3 highlighted. The </w:t>
      </w:r>
      <w:r w:rsidDel="00000000" w:rsidR="00000000" w:rsidRPr="00000000">
        <w:rPr>
          <w:rtl w:val="0"/>
        </w:rPr>
        <w:t xml:space="preserve">gene regulatory network</w:t>
      </w:r>
      <w:r w:rsidDel="00000000" w:rsidR="00000000" w:rsidRPr="00000000">
        <w:rPr>
          <w:rtl w:val="0"/>
        </w:rPr>
        <w:t xml:space="preserve"> structure learned previously is embedded in layers L0 and L1, with different types of regulatory linkages and functional elements shown. </w:t>
      </w:r>
      <w:r w:rsidDel="00000000" w:rsidR="00000000" w:rsidRPr="00000000">
        <w:rPr>
          <w:b w:val="1"/>
          <w:rtl w:val="0"/>
        </w:rPr>
        <w:t xml:space="preserve">(C) </w:t>
      </w:r>
      <w:r w:rsidDel="00000000" w:rsidR="00000000" w:rsidRPr="00000000">
        <w:rPr>
          <w:rtl w:val="0"/>
        </w:rPr>
        <w:t xml:space="preserve">Shown are</w:t>
      </w:r>
      <w:r w:rsidDel="00000000" w:rsidR="00000000" w:rsidRPr="00000000">
        <w:rPr>
          <w:rtl w:val="0"/>
        </w:rPr>
        <w:t xml:space="preserve"> examples of associations found: model traces are shown for three co-expression modules and associated higher-order groupings prioritized by the DSPN </w:t>
      </w:r>
      <w:r w:rsidDel="00000000" w:rsidR="00000000" w:rsidRPr="00000000">
        <w:rPr>
          <w:rtl w:val="0"/>
        </w:rPr>
        <w:t xml:space="preserve">s</w:t>
      </w:r>
      <w:r w:rsidDel="00000000" w:rsidR="00000000" w:rsidRPr="00000000">
        <w:rPr>
          <w:rtl w:val="0"/>
        </w:rPr>
        <w:t xml:space="preserve">chizophrenia model, along with functional annotations enriched at each level. Genes, enhancers</w:t>
      </w:r>
      <w:r w:rsidDel="00000000" w:rsidR="00000000" w:rsidRPr="00000000">
        <w:rPr>
          <w:rtl w:val="0"/>
        </w:rPr>
        <w:t xml:space="preserve">,</w:t>
      </w:r>
      <w:r w:rsidDel="00000000" w:rsidR="00000000" w:rsidRPr="00000000">
        <w:rPr>
          <w:rtl w:val="0"/>
        </w:rPr>
        <w:t xml:space="preserve"> and SNPs associated with each module are shown. </w:t>
      </w:r>
      <w:r w:rsidDel="00000000" w:rsidR="00000000" w:rsidRPr="00000000">
        <w:rPr>
          <w:b w:val="1"/>
          <w:rtl w:val="0"/>
        </w:rPr>
        <w:t xml:space="preserve">(D)</w:t>
      </w:r>
      <w:r w:rsidDel="00000000" w:rsidR="00000000" w:rsidRPr="00000000">
        <w:rPr>
          <w:rtl w:val="0"/>
        </w:rPr>
        <w:t xml:space="preserve"> </w:t>
      </w:r>
      <w:r w:rsidDel="00000000" w:rsidR="00000000" w:rsidRPr="00000000">
        <w:rPr>
          <w:rtl w:val="0"/>
        </w:rPr>
        <w:t xml:space="preserve">Th</w:t>
      </w:r>
      <w:r w:rsidDel="00000000" w:rsidR="00000000" w:rsidRPr="00000000">
        <w:rPr>
          <w:rtl w:val="0"/>
        </w:rPr>
        <w:t xml:space="preserve">e performance of different models</w:t>
      </w:r>
      <w:r w:rsidDel="00000000" w:rsidR="00000000" w:rsidRPr="00000000">
        <w:rPr>
          <w:rtl w:val="0"/>
        </w:rPr>
        <w:t xml:space="preserve"> is summarized</w:t>
      </w:r>
      <w:r w:rsidDel="00000000" w:rsidR="00000000" w:rsidRPr="00000000">
        <w:rPr>
          <w:rtl w:val="0"/>
        </w:rPr>
        <w:t xml:space="preserve">, comparing performance across models of different complexity; using different predictors (genotype/transcriptome); and with or without imputation (colors highlight relevant models for each comparison). Performance accuracy on a balanced sample is shown first, with variance explained on the liability scale shown in brackets.  LR-gen and LR-trans are logistic models using the genotype and transcriptome as predictors respectively; DSPN-Imput and DSPN-full are the DSPN model with imputed intermediate phenotypes (genotype predictors only) and fully observed intermediate phenotypes (transcriptome predictors) respectively.  Differential performance of models is shown in terms of improvement above chance, for instance comparing LR-gen and DSPN-Imput accuracy improves from 53.8% to 60.2%, which can be expressed as a 2.7X improvement above chance </w:t>
      </w:r>
      <w:r w:rsidDel="00000000" w:rsidR="00000000" w:rsidRPr="00000000">
        <w:rPr>
          <w:rtl w:val="0"/>
        </w:rPr>
        <w:t xml:space="preserve">(+10.2% vs. +3.8%,</w:t>
      </w:r>
      <w:r w:rsidDel="00000000" w:rsidR="00000000" w:rsidRPr="00000000">
        <w:rPr>
          <w:rtl w:val="0"/>
        </w:rPr>
        <w:t xml:space="preserve"> blue).  Corresponding improvements in liability variance scores are shown in brackets.</w:t>
      </w:r>
    </w:p>
    <w:p w:rsidR="00000000" w:rsidDel="00000000" w:rsidP="00000000" w:rsidRDefault="00000000" w:rsidRPr="00000000" w14:paraId="00000061">
      <w:pPr>
        <w:spacing w:after="80" w:lineRule="auto"/>
        <w:contextualSpacing w:val="0"/>
        <w:rPr/>
      </w:pPr>
      <w:r w:rsidDel="00000000" w:rsidR="00000000" w:rsidRPr="00000000">
        <w:rPr>
          <w:rtl w:val="0"/>
        </w:rPr>
      </w:r>
    </w:p>
    <w:p w:rsidR="00000000" w:rsidDel="00000000" w:rsidP="00000000" w:rsidRDefault="00000000" w:rsidRPr="00000000" w14:paraId="00000062">
      <w:pPr>
        <w:spacing w:after="80" w:lineRule="auto"/>
        <w:contextualSpacing w:val="0"/>
        <w:rPr/>
      </w:pPr>
      <w:r w:rsidDel="00000000" w:rsidR="00000000" w:rsidRPr="00000000">
        <w:rPr>
          <w:rtl w:val="0"/>
        </w:rPr>
      </w:r>
    </w:p>
    <w:p w:rsidR="00000000" w:rsidDel="00000000" w:rsidP="00000000" w:rsidRDefault="00000000" w:rsidRPr="00000000" w14:paraId="00000063">
      <w:pPr>
        <w:spacing w:after="80" w:lineRule="auto"/>
        <w:contextualSpacing w:val="0"/>
        <w:rPr/>
      </w:pPr>
      <w:r w:rsidDel="00000000" w:rsidR="00000000" w:rsidRPr="00000000">
        <w:rPr>
          <w:rtl w:val="0"/>
        </w:rPr>
      </w:r>
    </w:p>
    <w:sectPr>
      <w:footerReference r:id="rId8"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yejung Won" w:id="14" w:date="2018-04-01T03:25:03Z">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149,098 promoter-based interactions OR 90,015 enhancer-promoter interactions.</w:t>
      </w:r>
    </w:p>
  </w:comment>
  <w:comment w:author="Mark Gerstein" w:id="15" w:date="2018-04-01T03:30:43Z">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 to +wonhyejung87@gmail.com number</w:t>
      </w:r>
    </w:p>
  </w:comment>
  <w:comment w:author="Mark Gerstein" w:id="7" w:date="2018-04-01T01:45:02Z">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ref suppl here?</w:t>
      </w:r>
    </w:p>
  </w:comment>
  <w:comment w:author="Mark Gerstein" w:id="4" w:date="2018-04-01T01:30:24Z">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ark Gerstein" w:id="3" w:date="2018-04-01T00:52:16Z">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XXX</w:t>
      </w:r>
    </w:p>
  </w:comment>
  <w:comment w:author="Mark Gerstein" w:id="0" w:date="2018-04-01T00:44:06Z">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ark Gerstein" w:id="8" w:date="2018-04-01T01:45:53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shouldn't we say something more</w:t>
      </w:r>
    </w:p>
  </w:comment>
  <w:comment w:author="Mark Gerstein" w:id="9" w:date="2018-04-01T01:46:03Z">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 to supp?</w:t>
      </w:r>
    </w:p>
  </w:comment>
  <w:comment w:author="Mark Gerstein" w:id="1" w:date="2018-04-01T00:55:04Z">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donex</w:t>
      </w:r>
    </w:p>
  </w:comment>
  <w:comment w:author="Mark Gerstein" w:id="22" w:date="2018-04-01T03:57:56Z">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felt we should put this in the supp:  from at least two of these types: (i) activity relationships (~577k enhancer-to-target-promoter linkages), (ii) physical chromatin interactions (~91k Hi-C enhancer-promoter interactions), and (iii) ~21k QTLs (QTL-SNP on brain enhancers to eGene) .</w:t>
      </w:r>
    </w:p>
  </w:comment>
  <w:comment w:author="Hyejung Won" w:id="21" w:date="2018-04-01T03:29:47Z">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will be really interesting to ASD researchers. Is it possible to make a Figure related to this? What TFs mediate this?</w:t>
      </w:r>
    </w:p>
  </w:comment>
  <w:comment w:author="Hyejung Won" w:id="18" w:date="2018-04-01T03:28:01Z">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 of being good?</w:t>
      </w:r>
    </w:p>
  </w:comment>
  <w:comment w:author="Mark Gerstein" w:id="11" w:date="2018-04-01T01:58:07Z">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w:t>
      </w:r>
    </w:p>
  </w:comment>
  <w:comment w:author="Mark Gerstein" w:id="16" w:date="2018-04-01T03:33:06Z">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+wonhyejung87@gmail.com is this still true</w:t>
      </w:r>
    </w:p>
  </w:comment>
  <w:comment w:author="Hyejung Won" w:id="17" w:date="2018-04-01T03:33:40Z">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31% of promoter-based interactions</w:t>
      </w:r>
    </w:p>
  </w:comment>
  <w:comment w:author="Mark Gerstein" w:id="13" w:date="2018-04-01T01:58:48Z">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XXX - we need to discuss</w:t>
      </w:r>
    </w:p>
  </w:comment>
  <w:comment w:author="Mark Gerstein" w:id="6" w:date="2018-04-01T01:59:07Z">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Hyejung Won" w:id="23" w:date="2018-04-01T03:41:56Z">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genome-wide significant SNPs or genome-wide SNPs?</w:t>
      </w:r>
    </w:p>
  </w:comment>
  <w:comment w:author="Hyejung Won" w:id="2" w:date="2018-04-01T04:05:58Z">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t>
      </w:r>
    </w:p>
  </w:comment>
  <w:comment w:author="Mark Gerstein" w:id="19" w:date="2018-04-01T03:49:02Z">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comment>
  <w:comment w:author="Mark Gerstein" w:id="20" w:date="2018-04-01T03:51:54Z">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w:t>
      </w:r>
    </w:p>
  </w:comment>
  <w:comment w:author="Mark Gerstein" w:id="5" w:date="2018-04-01T01:23:12Z">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w:t>
      </w:r>
    </w:p>
  </w:comment>
  <w:comment w:author="Hyejung Won" w:id="12" w:date="2018-04-01T03:21:55Z">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explanation of what this means.</w:t>
      </w:r>
    </w:p>
  </w:comment>
  <w:comment w:author="Hyejung Won" w:id="10" w:date="2018-04-01T03:21:14Z">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really interesting, as promoter-based Hi-C interactions are also enriched in promoters - supporting this claim that often times promoters act as enhancers.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SimSu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1101/1419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