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26425B63" w:rsidR="0022315E" w:rsidRPr="00E11806" w:rsidRDefault="0022315E" w:rsidP="000C77E2">
      <w:pPr>
        <w:jc w:val="both"/>
      </w:pPr>
      <w:r w:rsidRPr="00E11806">
        <w:rPr>
          <w:color w:val="222222"/>
          <w:shd w:val="clear" w:color="auto" w:fill="FFFFFF"/>
        </w:rPr>
        <w:t xml:space="preserve">Jing Zhang*, </w:t>
      </w:r>
      <w:proofErr w:type="spellStart"/>
      <w:r w:rsidRPr="00E11806">
        <w:rPr>
          <w:color w:val="222222"/>
          <w:shd w:val="clear" w:color="auto" w:fill="FFFFFF"/>
        </w:rPr>
        <w:t>Donghoon</w:t>
      </w:r>
      <w:proofErr w:type="spellEnd"/>
      <w:r w:rsidRPr="00E11806">
        <w:rPr>
          <w:color w:val="222222"/>
          <w:shd w:val="clear" w:color="auto" w:fill="FFFFFF"/>
        </w:rPr>
        <w:t xml:space="preserve"> Lee*, </w:t>
      </w:r>
      <w:proofErr w:type="spellStart"/>
      <w:r w:rsidRPr="00E11806">
        <w:rPr>
          <w:color w:val="222222"/>
          <w:shd w:val="clear" w:color="auto" w:fill="FFFFFF"/>
        </w:rPr>
        <w:t>Vineet</w:t>
      </w:r>
      <w:proofErr w:type="spellEnd"/>
      <w:r w:rsidRPr="00E11806">
        <w:rPr>
          <w:color w:val="222222"/>
          <w:shd w:val="clear" w:color="auto" w:fill="FFFFFF"/>
        </w:rPr>
        <w:t xml:space="preserve"> </w:t>
      </w:r>
      <w:proofErr w:type="spellStart"/>
      <w:r w:rsidRPr="00E11806">
        <w:rPr>
          <w:color w:val="222222"/>
          <w:shd w:val="clear" w:color="auto" w:fill="FFFFFF"/>
        </w:rPr>
        <w:t>Dhiman</w:t>
      </w:r>
      <w:proofErr w:type="spellEnd"/>
      <w:r w:rsidRPr="00E11806">
        <w:rPr>
          <w:color w:val="222222"/>
          <w:shd w:val="clear" w:color="auto" w:fill="FFFFFF"/>
        </w:rPr>
        <w:t xml:space="preserve">*, Peng Jiang*, William Meyerson, Matthew Ung, </w:t>
      </w:r>
      <w:proofErr w:type="spellStart"/>
      <w:r w:rsidRPr="00E11806">
        <w:rPr>
          <w:color w:val="222222"/>
          <w:shd w:val="clear" w:color="auto" w:fill="FFFFFF"/>
        </w:rPr>
        <w:t>Shaoke</w:t>
      </w:r>
      <w:proofErr w:type="spellEnd"/>
      <w:r w:rsidRPr="00E11806">
        <w:rPr>
          <w:color w:val="222222"/>
          <w:shd w:val="clear" w:color="auto" w:fill="FFFFFF"/>
        </w:rPr>
        <w:t xml:space="preserve"> Lou, Patrick Mc</w:t>
      </w:r>
      <w:r w:rsidR="00E97F26">
        <w:rPr>
          <w:color w:val="222222"/>
          <w:shd w:val="clear" w:color="auto" w:fill="FFFFFF"/>
        </w:rPr>
        <w:t>G</w:t>
      </w:r>
      <w:r w:rsidRPr="00E11806">
        <w:rPr>
          <w:color w:val="222222"/>
          <w:shd w:val="clear" w:color="auto" w:fill="FFFFFF"/>
        </w:rPr>
        <w:t xml:space="preserve">illivray, Declan Clarke, </w:t>
      </w:r>
      <w:proofErr w:type="spellStart"/>
      <w:r w:rsidR="009D3860" w:rsidRPr="00E11806">
        <w:rPr>
          <w:color w:val="222222"/>
          <w:shd w:val="clear" w:color="auto" w:fill="FFFFFF"/>
        </w:rPr>
        <w:t>Mengting</w:t>
      </w:r>
      <w:proofErr w:type="spellEnd"/>
      <w:r w:rsidR="009D3860" w:rsidRPr="00E11806">
        <w:rPr>
          <w:color w:val="222222"/>
          <w:shd w:val="clear" w:color="auto" w:fill="FFFFFF"/>
        </w:rPr>
        <w:t xml:space="preserve"> </w:t>
      </w:r>
      <w:proofErr w:type="spellStart"/>
      <w:r w:rsidR="009D3860" w:rsidRPr="00E11806">
        <w:rPr>
          <w:color w:val="222222"/>
          <w:shd w:val="clear" w:color="auto" w:fill="FFFFFF"/>
        </w:rPr>
        <w:t>Gu</w:t>
      </w:r>
      <w:proofErr w:type="spellEnd"/>
      <w:r w:rsidR="009D3860" w:rsidRPr="00E11806">
        <w:rPr>
          <w:color w:val="222222"/>
          <w:shd w:val="clear" w:color="auto" w:fill="FFFFFF"/>
        </w:rPr>
        <w:t xml:space="preserve">, </w:t>
      </w:r>
      <w:r w:rsidRPr="00E11806">
        <w:rPr>
          <w:color w:val="222222"/>
          <w:shd w:val="clear" w:color="auto" w:fill="FFFFFF"/>
        </w:rPr>
        <w:t xml:space="preserve">Lucas </w:t>
      </w:r>
      <w:proofErr w:type="spellStart"/>
      <w:r w:rsidRPr="00E11806">
        <w:rPr>
          <w:color w:val="222222"/>
          <w:shd w:val="clear" w:color="auto" w:fill="FFFFFF"/>
        </w:rPr>
        <w:t>Lochovsky</w:t>
      </w:r>
      <w:proofErr w:type="spellEnd"/>
      <w:r w:rsidRPr="00E11806">
        <w:rPr>
          <w:color w:val="222222"/>
          <w:shd w:val="clear" w:color="auto" w:fill="FFFFFF"/>
        </w:rPr>
        <w:t xml:space="preserve">, </w:t>
      </w:r>
      <w:proofErr w:type="spellStart"/>
      <w:r w:rsidRPr="00E11806">
        <w:rPr>
          <w:color w:val="222222"/>
          <w:shd w:val="clear" w:color="auto" w:fill="FFFFFF"/>
        </w:rPr>
        <w:t>Lijia</w:t>
      </w:r>
      <w:proofErr w:type="spellEnd"/>
      <w:r w:rsidRPr="00E11806">
        <w:rPr>
          <w:color w:val="222222"/>
          <w:shd w:val="clear" w:color="auto" w:fill="FFFFFF"/>
        </w:rPr>
        <w:t xml:space="preserve"> Ma, </w:t>
      </w:r>
      <w:r w:rsidR="00EF62BD">
        <w:rPr>
          <w:color w:val="222222"/>
          <w:shd w:val="clear" w:color="auto" w:fill="FFFFFF"/>
        </w:rPr>
        <w:t>Shan</w:t>
      </w:r>
      <w:r w:rsidRPr="00E11806">
        <w:rPr>
          <w:color w:val="222222"/>
          <w:shd w:val="clear" w:color="auto" w:fill="FFFFFF"/>
        </w:rPr>
        <w:t xml:space="preserve"> Yu, </w:t>
      </w:r>
      <w:proofErr w:type="spellStart"/>
      <w:r w:rsidRPr="00E11806">
        <w:rPr>
          <w:color w:val="222222"/>
          <w:shd w:val="clear" w:color="auto" w:fill="FFFFFF"/>
        </w:rPr>
        <w:t>Arif</w:t>
      </w:r>
      <w:proofErr w:type="spellEnd"/>
      <w:r w:rsidRPr="00E11806">
        <w:rPr>
          <w:color w:val="222222"/>
          <w:shd w:val="clear" w:color="auto" w:fill="FFFFFF"/>
        </w:rPr>
        <w:t xml:space="preserve"> </w:t>
      </w:r>
      <w:proofErr w:type="spellStart"/>
      <w:r w:rsidRPr="00E11806">
        <w:rPr>
          <w:color w:val="222222"/>
          <w:shd w:val="clear" w:color="auto" w:fill="FFFFFF"/>
        </w:rPr>
        <w:t>Harmanci</w:t>
      </w:r>
      <w:proofErr w:type="spellEnd"/>
      <w:r w:rsidRPr="00E11806">
        <w:rPr>
          <w:color w:val="222222"/>
          <w:shd w:val="clear" w:color="auto" w:fill="FFFFFF"/>
        </w:rPr>
        <w:t>, Koon-</w:t>
      </w:r>
      <w:proofErr w:type="spellStart"/>
      <w:r w:rsidRPr="00E11806">
        <w:rPr>
          <w:color w:val="222222"/>
          <w:shd w:val="clear" w:color="auto" w:fill="FFFFFF"/>
        </w:rPr>
        <w:t>kiu</w:t>
      </w:r>
      <w:proofErr w:type="spellEnd"/>
      <w:r w:rsidRPr="00E11806">
        <w:rPr>
          <w:color w:val="222222"/>
          <w:shd w:val="clear" w:color="auto" w:fill="FFFFFF"/>
        </w:rPr>
        <w:t xml:space="preserve"> Yan, Anurag </w:t>
      </w:r>
      <w:proofErr w:type="spellStart"/>
      <w:r w:rsidRPr="00E11806">
        <w:rPr>
          <w:color w:val="222222"/>
          <w:shd w:val="clear" w:color="auto" w:fill="FFFFFF"/>
        </w:rPr>
        <w:t>Sethi</w:t>
      </w:r>
      <w:proofErr w:type="spellEnd"/>
      <w:r w:rsidRPr="00E11806">
        <w:rPr>
          <w:color w:val="222222"/>
          <w:shd w:val="clear" w:color="auto" w:fill="FFFFFF"/>
        </w:rPr>
        <w:t xml:space="preserve">, Qin Cao, </w:t>
      </w:r>
      <w:proofErr w:type="spellStart"/>
      <w:r w:rsidRPr="00E11806">
        <w:rPr>
          <w:color w:val="222222"/>
          <w:shd w:val="clear" w:color="auto" w:fill="FFFFFF"/>
        </w:rPr>
        <w:t>Daifeng</w:t>
      </w:r>
      <w:proofErr w:type="spellEnd"/>
      <w:r w:rsidRPr="00E11806">
        <w:rPr>
          <w:color w:val="222222"/>
          <w:shd w:val="clear" w:color="auto" w:fill="FFFFFF"/>
        </w:rPr>
        <w:t xml:space="preserve"> Wang, Gamze </w:t>
      </w:r>
      <w:proofErr w:type="spellStart"/>
      <w:r w:rsidRPr="00E11806">
        <w:rPr>
          <w:color w:val="222222"/>
          <w:shd w:val="clear" w:color="auto" w:fill="FFFFFF"/>
        </w:rPr>
        <w:t>Gursoy</w:t>
      </w:r>
      <w:proofErr w:type="spellEnd"/>
      <w:r w:rsidRPr="00E11806">
        <w:rPr>
          <w:color w:val="222222"/>
          <w:shd w:val="clear" w:color="auto" w:fill="FFFFFF"/>
        </w:rPr>
        <w:t xml:space="preserve">, Jason Liu, </w:t>
      </w:r>
      <w:proofErr w:type="spellStart"/>
      <w:r w:rsidRPr="00E11806">
        <w:rPr>
          <w:color w:val="222222"/>
          <w:shd w:val="clear" w:color="auto" w:fill="FFFFFF"/>
        </w:rPr>
        <w:t>Xiaotong</w:t>
      </w:r>
      <w:proofErr w:type="spellEnd"/>
      <w:r w:rsidRPr="00E11806">
        <w:rPr>
          <w:color w:val="222222"/>
          <w:shd w:val="clear" w:color="auto" w:fill="FFFFFF"/>
        </w:rPr>
        <w:t xml:space="preserve"> Li, Michael </w:t>
      </w:r>
      <w:proofErr w:type="spellStart"/>
      <w:r w:rsidRPr="00E11806">
        <w:rPr>
          <w:color w:val="222222"/>
          <w:shd w:val="clear" w:color="auto" w:fill="FFFFFF"/>
        </w:rPr>
        <w:t>Rutenberg</w:t>
      </w:r>
      <w:proofErr w:type="spellEnd"/>
      <w:r w:rsidRPr="00E11806">
        <w:rPr>
          <w:color w:val="222222"/>
          <w:shd w:val="clear" w:color="auto" w:fill="FFFFFF"/>
        </w:rPr>
        <w:t xml:space="preserve"> Schoenberg, Joel </w:t>
      </w:r>
      <w:proofErr w:type="spellStart"/>
      <w:r w:rsidRPr="00E11806">
        <w:rPr>
          <w:color w:val="222222"/>
          <w:shd w:val="clear" w:color="auto" w:fill="FFFFFF"/>
        </w:rPr>
        <w:t>Rozowsky</w:t>
      </w:r>
      <w:proofErr w:type="spellEnd"/>
      <w:r w:rsidRPr="00E11806">
        <w:rPr>
          <w:color w:val="222222"/>
          <w:shd w:val="clear" w:color="auto" w:fill="FFFFFF"/>
        </w:rPr>
        <w:t>, Lilly Reich, Juan Carlos Rivera-</w:t>
      </w:r>
      <w:proofErr w:type="spellStart"/>
      <w:r w:rsidRPr="00E11806">
        <w:rPr>
          <w:color w:val="222222"/>
          <w:shd w:val="clear" w:color="auto" w:fill="FFFFFF"/>
        </w:rPr>
        <w:t>Mulia</w:t>
      </w:r>
      <w:proofErr w:type="spellEnd"/>
      <w:r w:rsidRPr="00E11806">
        <w:rPr>
          <w:color w:val="222222"/>
          <w:shd w:val="clear" w:color="auto" w:fill="FFFFFF"/>
        </w:rPr>
        <w:t xml:space="preserve">, </w:t>
      </w:r>
      <w:proofErr w:type="spellStart"/>
      <w:r w:rsidRPr="00E11806">
        <w:rPr>
          <w:color w:val="222222"/>
          <w:shd w:val="clear" w:color="auto" w:fill="FFFFFF"/>
        </w:rPr>
        <w:t>Jie</w:t>
      </w:r>
      <w:proofErr w:type="spellEnd"/>
      <w:r w:rsidRPr="00E11806">
        <w:rPr>
          <w:color w:val="222222"/>
          <w:shd w:val="clear" w:color="auto" w:fill="FFFFFF"/>
        </w:rPr>
        <w:t xml:space="preserve"> Xu, </w:t>
      </w:r>
      <w:proofErr w:type="spellStart"/>
      <w:r w:rsidRPr="00E11806">
        <w:rPr>
          <w:color w:val="222222"/>
          <w:shd w:val="clear" w:color="auto" w:fill="FFFFFF"/>
        </w:rPr>
        <w:t>Jayanth</w:t>
      </w:r>
      <w:proofErr w:type="spellEnd"/>
      <w:r w:rsidRPr="00E11806">
        <w:rPr>
          <w:color w:val="222222"/>
          <w:shd w:val="clear" w:color="auto" w:fill="FFFFFF"/>
        </w:rPr>
        <w:t xml:space="preserve"> Krishnan, </w:t>
      </w:r>
      <w:proofErr w:type="spellStart"/>
      <w:r w:rsidRPr="00E11806">
        <w:rPr>
          <w:color w:val="222222"/>
          <w:shd w:val="clear" w:color="auto" w:fill="FFFFFF"/>
        </w:rPr>
        <w:t>Yanlin</w:t>
      </w:r>
      <w:proofErr w:type="spellEnd"/>
      <w:r w:rsidRPr="00E11806">
        <w:rPr>
          <w:color w:val="222222"/>
          <w:shd w:val="clear" w:color="auto" w:fill="FFFFFF"/>
        </w:rPr>
        <w:t xml:space="preserve"> Feng, Jessica Adrian, James R Broach, Michael Bolt, Vishnu </w:t>
      </w:r>
      <w:proofErr w:type="spellStart"/>
      <w:r w:rsidRPr="00E11806">
        <w:rPr>
          <w:color w:val="222222"/>
          <w:shd w:val="clear" w:color="auto" w:fill="FFFFFF"/>
        </w:rPr>
        <w:t>Dileep</w:t>
      </w:r>
      <w:proofErr w:type="spellEnd"/>
      <w:r w:rsidRPr="00E11806">
        <w:rPr>
          <w:color w:val="222222"/>
          <w:shd w:val="clear" w:color="auto" w:fill="FFFFFF"/>
        </w:rPr>
        <w:t xml:space="preserve">, </w:t>
      </w:r>
      <w:proofErr w:type="spellStart"/>
      <w:r w:rsidRPr="00E11806">
        <w:rPr>
          <w:color w:val="222222"/>
          <w:shd w:val="clear" w:color="auto" w:fill="FFFFFF"/>
        </w:rPr>
        <w:t>Tingting</w:t>
      </w:r>
      <w:proofErr w:type="spellEnd"/>
      <w:r w:rsidRPr="00E11806">
        <w:rPr>
          <w:color w:val="222222"/>
          <w:shd w:val="clear" w:color="auto" w:fill="FFFFFF"/>
        </w:rPr>
        <w:t xml:space="preserve"> Liu, </w:t>
      </w:r>
      <w:proofErr w:type="spellStart"/>
      <w:r w:rsidRPr="00E11806">
        <w:rPr>
          <w:color w:val="222222"/>
          <w:shd w:val="clear" w:color="auto" w:fill="FFFFFF"/>
        </w:rPr>
        <w:t>Shenglin</w:t>
      </w:r>
      <w:proofErr w:type="spellEnd"/>
      <w:r w:rsidRPr="00E11806">
        <w:rPr>
          <w:color w:val="222222"/>
          <w:shd w:val="clear" w:color="auto" w:fill="FFFFFF"/>
        </w:rPr>
        <w:t xml:space="preserve"> Mei, </w:t>
      </w:r>
      <w:proofErr w:type="spellStart"/>
      <w:r w:rsidRPr="00E11806">
        <w:rPr>
          <w:color w:val="222222"/>
          <w:shd w:val="clear" w:color="auto" w:fill="FFFFFF"/>
        </w:rPr>
        <w:t>Takayo</w:t>
      </w:r>
      <w:proofErr w:type="spellEnd"/>
      <w:r w:rsidRPr="00E11806">
        <w:rPr>
          <w:color w:val="222222"/>
          <w:shd w:val="clear" w:color="auto" w:fill="FFFFFF"/>
        </w:rPr>
        <w:t xml:space="preserve"> Sasaki, </w:t>
      </w:r>
      <w:r w:rsidR="00B92138" w:rsidRPr="00E11806">
        <w:rPr>
          <w:color w:val="222222"/>
          <w:shd w:val="clear" w:color="auto" w:fill="FFFFFF"/>
        </w:rPr>
        <w:t xml:space="preserve">Claudia </w:t>
      </w:r>
      <w:proofErr w:type="spellStart"/>
      <w:r w:rsidR="00B92138" w:rsidRPr="00E11806">
        <w:rPr>
          <w:color w:val="222222"/>
          <w:shd w:val="clear" w:color="auto" w:fill="FFFFFF"/>
        </w:rPr>
        <w:t>Trevilla</w:t>
      </w:r>
      <w:proofErr w:type="spellEnd"/>
      <w:r w:rsidR="00B92138" w:rsidRPr="00E11806">
        <w:rPr>
          <w:color w:val="222222"/>
          <w:shd w:val="clear" w:color="auto" w:fill="FFFFFF"/>
        </w:rPr>
        <w:t xml:space="preserve">-Garcia, </w:t>
      </w:r>
      <w:r w:rsidRPr="00E11806">
        <w:rPr>
          <w:color w:val="222222"/>
          <w:shd w:val="clear" w:color="auto" w:fill="FFFFFF"/>
        </w:rPr>
        <w:t xml:space="preserve">Su Wang, </w:t>
      </w:r>
      <w:proofErr w:type="spellStart"/>
      <w:r w:rsidRPr="00E11806">
        <w:rPr>
          <w:color w:val="222222"/>
          <w:shd w:val="clear" w:color="auto" w:fill="FFFFFF"/>
        </w:rPr>
        <w:t>Yanli</w:t>
      </w:r>
      <w:proofErr w:type="spellEnd"/>
      <w:r w:rsidRPr="00E11806">
        <w:rPr>
          <w:color w:val="222222"/>
          <w:shd w:val="clear" w:color="auto" w:fill="FFFFFF"/>
        </w:rPr>
        <w:t xml:space="preserve"> Wang, </w:t>
      </w:r>
      <w:proofErr w:type="spellStart"/>
      <w:r w:rsidRPr="00E11806">
        <w:rPr>
          <w:color w:val="222222"/>
          <w:shd w:val="clear" w:color="auto" w:fill="FFFFFF"/>
        </w:rPr>
        <w:t>Hongbo</w:t>
      </w:r>
      <w:proofErr w:type="spellEnd"/>
      <w:r w:rsidRPr="00E11806">
        <w:rPr>
          <w:color w:val="222222"/>
          <w:shd w:val="clear" w:color="auto" w:fill="FFFFFF"/>
        </w:rPr>
        <w:t xml:space="preserve"> Yang, </w:t>
      </w:r>
      <w:proofErr w:type="spellStart"/>
      <w:r w:rsidRPr="00E11806">
        <w:rPr>
          <w:color w:val="222222"/>
          <w:shd w:val="clear" w:color="auto" w:fill="FFFFFF"/>
        </w:rPr>
        <w:t>Chongzhi</w:t>
      </w:r>
      <w:proofErr w:type="spellEnd"/>
      <w:r w:rsidRPr="00E11806">
        <w:rPr>
          <w:color w:val="222222"/>
          <w:shd w:val="clear" w:color="auto" w:fill="FFFFFF"/>
        </w:rPr>
        <w:t xml:space="preserve"> </w:t>
      </w:r>
      <w:proofErr w:type="spellStart"/>
      <w:r w:rsidRPr="00E11806">
        <w:rPr>
          <w:color w:val="222222"/>
          <w:shd w:val="clear" w:color="auto" w:fill="FFFFFF"/>
        </w:rPr>
        <w:t>Zang</w:t>
      </w:r>
      <w:proofErr w:type="spellEnd"/>
      <w:r w:rsidRPr="00E11806">
        <w:rPr>
          <w:color w:val="222222"/>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276A05E4" w14:textId="35B90B0A" w:rsidR="00211E6E" w:rsidRDefault="00211E6E" w:rsidP="00211E6E">
      <w:pPr>
        <w:pStyle w:val="NoSpacing"/>
      </w:pPr>
      <w:r w:rsidRPr="00734D12">
        <w:t xml:space="preserve">ENCODE </w:t>
      </w:r>
      <w:r>
        <w:t xml:space="preserve">now </w:t>
      </w:r>
      <w:r w:rsidRPr="00734D12">
        <w:t>comprises thousands of functional genomics data sets; it is possible to tailor these into a targeted resource for interpreting cancer genomes. In particular, this resource can</w:t>
      </w:r>
      <w:r>
        <w:t xml:space="preserve"> </w:t>
      </w:r>
      <w:r w:rsidRPr="00734D12">
        <w:t>be used</w:t>
      </w:r>
      <w:r>
        <w:t>, firstly,</w:t>
      </w:r>
      <w:r w:rsidRPr="00734D12">
        <w:t xml:space="preserve"> to measure the impact of non-coding mutations, constituting the bulk of the somatic variants. Moreover, by integrating advanced assays (e.g. STARR-seq) with many epigenetic features, we can make a more focused and refined genome annotation, </w:t>
      </w:r>
      <w:r w:rsidR="00F07FE8">
        <w:t xml:space="preserve">thereby </w:t>
      </w:r>
      <w:r w:rsidRPr="00734D12">
        <w:t>increasing the power for detecting recurrent somatic mutations in cohorts. Second, ENCODE signal data</w:t>
      </w:r>
      <w:r w:rsidR="00CB29F5">
        <w:t xml:space="preserve"> </w:t>
      </w:r>
      <w:r w:rsidR="00CB29F5" w:rsidRPr="00E8389D">
        <w:t>(e</w:t>
      </w:r>
      <w:r w:rsidR="008B0049">
        <w:t>.</w:t>
      </w:r>
      <w:r w:rsidR="00CB29F5" w:rsidRPr="00E8389D">
        <w:t>g</w:t>
      </w:r>
      <w:r w:rsidR="008B0049">
        <w:t>.</w:t>
      </w:r>
      <w:r w:rsidR="00CB29F5" w:rsidRPr="00E8389D">
        <w:t xml:space="preserve"> replication-timing data)</w:t>
      </w:r>
      <w:r w:rsidRPr="00734D12">
        <w:t xml:space="preserve"> allow</w:t>
      </w:r>
      <w:r w:rsidR="00E95022">
        <w:rPr>
          <w:rFonts w:hint="eastAsia"/>
        </w:rPr>
        <w:t xml:space="preserve"> us</w:t>
      </w:r>
      <w:r w:rsidR="00E95022">
        <w:t xml:space="preserve"> to</w:t>
      </w:r>
      <w:r w:rsidRPr="00734D12">
        <w:t xml:space="preserve"> </w:t>
      </w:r>
      <w:r w:rsidR="00E95022">
        <w:t xml:space="preserve">construct </w:t>
      </w:r>
      <w:r w:rsidRPr="00734D12">
        <w:t>c</w:t>
      </w:r>
      <w:r>
        <w:t>ell-type</w:t>
      </w:r>
      <w:r w:rsidRPr="00734D12">
        <w:t>-matched models for background 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 one can use ENCODE networks to prioritize regulators most associated with large-scale expression changes in cancer. Combining the networks with the refined annotations and background mutation models, one can develop a step-wise scheme for prioritizing non-coding mutations. Here, we show how this can be instantiated</w:t>
      </w:r>
      <w:r w:rsidR="00400969">
        <w:t>.</w:t>
      </w:r>
      <w:r w:rsidRPr="00734D12">
        <w:t xml:space="preserve"> </w:t>
      </w:r>
      <w:r w:rsidR="00400969">
        <w:t>W</w:t>
      </w:r>
      <w:r w:rsidRPr="00734D12">
        <w:t xml:space="preserve">e perform a number of </w:t>
      </w:r>
      <w:r>
        <w:t>focused experimental</w:t>
      </w:r>
      <w:r w:rsidRPr="00734D12">
        <w:t xml:space="preserve"> validations (</w:t>
      </w:r>
      <w:r w:rsidR="00B96892">
        <w:t>i</w:t>
      </w:r>
      <w:r w:rsidR="00711A50">
        <w:t>.</w:t>
      </w:r>
      <w:r w:rsidR="00B96892">
        <w:t>e</w:t>
      </w:r>
      <w:r w:rsidRPr="00734D12">
        <w:t>., luciferase assays and s</w:t>
      </w:r>
      <w:r w:rsidR="0097439E">
        <w:t>i</w:t>
      </w:r>
      <w:r w:rsidRPr="00734D12">
        <w:t>RNA knockdowns) to demonstrate how the resource can highlight mutations with significant consequences in cancer.</w:t>
      </w:r>
    </w:p>
    <w:p w14:paraId="04F096CC" w14:textId="1689E983" w:rsidR="00BD3F84" w:rsidRPr="008058A0" w:rsidRDefault="00BD3F84" w:rsidP="008058A0">
      <w:pPr>
        <w:rPr>
          <w:color w:val="FF0000"/>
          <w:lang w:eastAsia="en-US"/>
        </w:rPr>
      </w:pPr>
      <w:r w:rsidRPr="008058A0">
        <w:rPr>
          <w:color w:val="FF0000"/>
          <w:lang w:eastAsia="en-US"/>
        </w:rPr>
        <w:t xml:space="preserve">Red: more </w:t>
      </w:r>
    </w:p>
    <w:p w14:paraId="43D0005C" w14:textId="22844C54" w:rsidR="00BD3F84" w:rsidRPr="008058A0" w:rsidRDefault="00BD3F84" w:rsidP="00BD3F84">
      <w:pPr>
        <w:rPr>
          <w:color w:val="2E74B5" w:themeColor="accent1" w:themeShade="BF"/>
          <w:lang w:eastAsia="en-US"/>
        </w:rPr>
      </w:pPr>
      <w:r w:rsidRPr="008058A0">
        <w:rPr>
          <w:color w:val="2E74B5" w:themeColor="accent1" w:themeShade="BF"/>
          <w:lang w:eastAsia="en-US"/>
        </w:rPr>
        <w:t>Blue: Less</w:t>
      </w:r>
    </w:p>
    <w:p w14:paraId="15431333" w14:textId="30E6884E" w:rsidR="00BD3F84" w:rsidRPr="008058A0" w:rsidRDefault="00BD3F84" w:rsidP="00BD3F84">
      <w:pPr>
        <w:rPr>
          <w:color w:val="385623" w:themeColor="accent6" w:themeShade="80"/>
          <w:lang w:eastAsia="en-US"/>
        </w:rPr>
      </w:pPr>
      <w:r w:rsidRPr="008058A0">
        <w:rPr>
          <w:color w:val="385623" w:themeColor="accent6" w:themeShade="80"/>
          <w:lang w:eastAsia="en-US"/>
        </w:rPr>
        <w:t>Green: New</w:t>
      </w:r>
    </w:p>
    <w:p w14:paraId="76291EF9" w14:textId="56905061" w:rsidR="00792D1A" w:rsidRPr="001470F1" w:rsidRDefault="00A77EA3" w:rsidP="00E455D7">
      <w:pPr>
        <w:pStyle w:val="Heading2"/>
        <w:rPr>
          <w:rFonts w:ascii="Arial" w:hAnsi="Arial"/>
        </w:rPr>
      </w:pPr>
      <w:r w:rsidRPr="001470F1">
        <w:t>Introduction</w:t>
      </w:r>
    </w:p>
    <w:p w14:paraId="7C2176D8" w14:textId="5E971EE6" w:rsidR="00D72167" w:rsidRPr="00D72167" w:rsidRDefault="00D72167" w:rsidP="00D72167">
      <w:pPr>
        <w:pStyle w:val="NoSpacing"/>
      </w:pPr>
      <w:r w:rsidRPr="00D72167">
        <w:t>The initial ENCODE re</w:t>
      </w:r>
      <w:r w:rsidRPr="00813B2C">
        <w:t>lease in 2012</w:t>
      </w:r>
      <w:r w:rsidR="00A65557" w:rsidRPr="00813B2C">
        <w:t xml:space="preserve"> and</w:t>
      </w:r>
      <w:r w:rsidRPr="00813B2C">
        <w:t xml:space="preserve"> other targeted functional genomic data have mot</w:t>
      </w:r>
      <w:r w:rsidRPr="00D72167">
        <w:t>ivated many integrative studies, some of which have focused on cancer genomes</w:t>
      </w:r>
      <w:r w:rsidR="0040099B">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 </w:instrText>
      </w:r>
      <w:r w:rsidR="00BA5BE4">
        <w:fldChar w:fldCharType="begin">
          <w:fldData xml:space="preserve">PEVuZE5vdGU+PENpdGU+PEF1dGhvcj5DYWk8L0F1dGhvcj48WWVhcj4yMDE0PC9ZZWFyPjxSZWNO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Z2Ugb2YgTWVkaWNpbmUsIFNlb3VsLCBTb3V0aCBLb3JlYS4gWzNdIERlcGFydG1lbnQgb2YgUHJl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dHksIE5ldyBIYXZlbiwgQ1QgMDY1MjAsIFVTQS4mI3hEO0RlcGFydG1lbnQgb2YgTW9sZWN1bGFy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==
</w:fldData>
        </w:fldChar>
      </w:r>
      <w:r w:rsidR="00BA5BE4">
        <w:instrText xml:space="preserve"> ADDIN EN.CITE.DATA </w:instrText>
      </w:r>
      <w:r w:rsidR="00BA5BE4">
        <w:fldChar w:fldCharType="end"/>
      </w:r>
      <w:r w:rsidR="00BA5BE4">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EN.CITE.DATA </w:instrText>
      </w:r>
      <w:r w:rsidR="00BA5BE4">
        <w:fldChar w:fldCharType="end"/>
      </w:r>
      <w:r w:rsidR="0040099B">
        <w:fldChar w:fldCharType="separate"/>
      </w:r>
      <w:r w:rsidR="00BA5BE4" w:rsidRPr="00BA5BE4">
        <w:rPr>
          <w:noProof/>
          <w:vertAlign w:val="superscript"/>
        </w:rPr>
        <w:t>1-7</w:t>
      </w:r>
      <w:r w:rsidR="0040099B">
        <w:fldChar w:fldCharType="end"/>
      </w:r>
      <w:r w:rsidRPr="00D72167">
        <w:t xml:space="preserve">. Specifically, functional genomics data have been used to investigate cancer in three ways. First, they enable researchers to evaluate the molecular functional impact of non-coding mutations -- the vast majority of variants in cancer genomes -- and to </w:t>
      </w:r>
      <w:r w:rsidR="0056735A">
        <w:t>identify</w:t>
      </w:r>
      <w:r w:rsidR="0056735A" w:rsidRPr="00D72167">
        <w:t xml:space="preserve"> </w:t>
      </w:r>
      <w:r w:rsidRPr="00D72167">
        <w:t>non-coding annotation “elements” (e.g., enhancers)</w:t>
      </w:r>
      <w:r w:rsidR="00EF7A50">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 </w:instrText>
      </w:r>
      <w:r w:rsidR="00BA5BE4">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EN.CITE.DATA </w:instrText>
      </w:r>
      <w:r w:rsidR="00BA5BE4">
        <w:fldChar w:fldCharType="end"/>
      </w:r>
      <w:r w:rsidR="00EF7A50">
        <w:fldChar w:fldCharType="separate"/>
      </w:r>
      <w:r w:rsidR="00BA5BE4" w:rsidRPr="00BA5BE4">
        <w:rPr>
          <w:noProof/>
          <w:vertAlign w:val="superscript"/>
        </w:rPr>
        <w:t>6,8-11</w:t>
      </w:r>
      <w:r w:rsidR="00EF7A50">
        <w:fldChar w:fldCharType="end"/>
      </w:r>
      <w:r w:rsidRPr="00D72167">
        <w:t xml:space="preserve">. </w:t>
      </w:r>
      <w:r w:rsidRPr="008058A0">
        <w:rPr>
          <w:color w:val="2F5496" w:themeColor="accent5" w:themeShade="BF"/>
        </w:rPr>
        <w:t xml:space="preserve">Secondly, by incorporating genome-wide features (such as replication timing, methylation, and expression), functional genomics data sets can be used to estimate </w:t>
      </w:r>
      <w:r w:rsidRPr="008058A0">
        <w:rPr>
          <w:color w:val="2F5496" w:themeColor="accent5" w:themeShade="BF"/>
        </w:rPr>
        <w:lastRenderedPageBreak/>
        <w:t>background mutation rates (BMR), which vary widely over the genome</w:t>
      </w:r>
      <w:r w:rsidR="00DC7B95" w:rsidRPr="008058A0">
        <w:rPr>
          <w:color w:val="2F5496" w:themeColor="accent5" w:themeShade="BF"/>
        </w:rPr>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rsidRPr="008058A0">
        <w:rPr>
          <w:color w:val="2F5496" w:themeColor="accent5" w:themeShade="BF"/>
        </w:rPr>
        <w:instrText xml:space="preserve"> ADDIN EN.CITE </w:instrText>
      </w:r>
      <w:r w:rsidR="00BA5BE4" w:rsidRPr="008058A0">
        <w:rPr>
          <w:color w:val="2F5496" w:themeColor="accent5" w:themeShade="BF"/>
        </w:rPr>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rsidRPr="008058A0">
        <w:rPr>
          <w:color w:val="2F5496" w:themeColor="accent5" w:themeShade="BF"/>
        </w:rPr>
        <w:instrText xml:space="preserve"> ADDIN EN.CITE.DATA </w:instrText>
      </w:r>
      <w:r w:rsidR="00BA5BE4" w:rsidRPr="008058A0">
        <w:rPr>
          <w:color w:val="2F5496" w:themeColor="accent5" w:themeShade="BF"/>
        </w:rPr>
      </w:r>
      <w:r w:rsidR="00BA5BE4" w:rsidRPr="008058A0">
        <w:rPr>
          <w:color w:val="2F5496" w:themeColor="accent5" w:themeShade="BF"/>
        </w:rPr>
        <w:fldChar w:fldCharType="end"/>
      </w:r>
      <w:r w:rsidR="00DC7B95" w:rsidRPr="008058A0">
        <w:rPr>
          <w:color w:val="2F5496" w:themeColor="accent5" w:themeShade="BF"/>
        </w:rPr>
      </w:r>
      <w:r w:rsidR="00DC7B95" w:rsidRPr="008058A0">
        <w:rPr>
          <w:color w:val="2F5496" w:themeColor="accent5" w:themeShade="BF"/>
        </w:rPr>
        <w:fldChar w:fldCharType="separate"/>
      </w:r>
      <w:r w:rsidR="00BA5BE4" w:rsidRPr="008058A0">
        <w:rPr>
          <w:noProof/>
          <w:color w:val="2F5496" w:themeColor="accent5" w:themeShade="BF"/>
          <w:vertAlign w:val="superscript"/>
        </w:rPr>
        <w:t>12-14</w:t>
      </w:r>
      <w:r w:rsidR="00DC7B95" w:rsidRPr="008058A0">
        <w:rPr>
          <w:color w:val="2F5496" w:themeColor="accent5" w:themeShade="BF"/>
        </w:rPr>
        <w:fldChar w:fldCharType="end"/>
      </w:r>
      <w:r w:rsidRPr="008058A0">
        <w:rPr>
          <w:color w:val="2F5496" w:themeColor="accent5" w:themeShade="BF"/>
        </w:rPr>
        <w:t xml:space="preserve">. Precise BMR calibration enables us to accurately identify recurrently mutated annotation elements across cancer cohorts </w:t>
      </w:r>
      <w:r w:rsidR="001A7D9A" w:rsidRPr="008058A0">
        <w:rPr>
          <w:color w:val="2F5496" w:themeColor="accent5" w:themeShade="BF"/>
        </w:rPr>
        <w:t>for</w:t>
      </w:r>
      <w:r w:rsidRPr="008058A0">
        <w:rPr>
          <w:color w:val="2F5496" w:themeColor="accent5" w:themeShade="BF"/>
        </w:rPr>
        <w:t xml:space="preserve"> candidate drivers</w:t>
      </w:r>
      <w:r w:rsidR="00AE5EB8" w:rsidRPr="008058A0">
        <w:rPr>
          <w:color w:val="2F5496" w:themeColor="accent5" w:themeShade="BF"/>
        </w:rPr>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rsidRPr="008058A0">
        <w:rPr>
          <w:color w:val="2F5496" w:themeColor="accent5" w:themeShade="BF"/>
        </w:rPr>
        <w:instrText xml:space="preserve"> ADDIN EN.CITE </w:instrText>
      </w:r>
      <w:r w:rsidR="00BA5BE4" w:rsidRPr="008058A0">
        <w:rPr>
          <w:color w:val="2F5496" w:themeColor="accent5" w:themeShade="BF"/>
        </w:rPr>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rsidRPr="008058A0">
        <w:rPr>
          <w:color w:val="2F5496" w:themeColor="accent5" w:themeShade="BF"/>
        </w:rPr>
        <w:instrText xml:space="preserve"> ADDIN EN.CITE.DATA </w:instrText>
      </w:r>
      <w:r w:rsidR="00BA5BE4" w:rsidRPr="008058A0">
        <w:rPr>
          <w:color w:val="2F5496" w:themeColor="accent5" w:themeShade="BF"/>
        </w:rPr>
      </w:r>
      <w:r w:rsidR="00BA5BE4" w:rsidRPr="008058A0">
        <w:rPr>
          <w:color w:val="2F5496" w:themeColor="accent5" w:themeShade="BF"/>
        </w:rPr>
        <w:fldChar w:fldCharType="end"/>
      </w:r>
      <w:r w:rsidR="00AE5EB8" w:rsidRPr="008058A0">
        <w:rPr>
          <w:color w:val="2F5496" w:themeColor="accent5" w:themeShade="BF"/>
        </w:rPr>
      </w:r>
      <w:r w:rsidR="00AE5EB8" w:rsidRPr="008058A0">
        <w:rPr>
          <w:color w:val="2F5496" w:themeColor="accent5" w:themeShade="BF"/>
        </w:rPr>
        <w:fldChar w:fldCharType="separate"/>
      </w:r>
      <w:r w:rsidR="00BA5BE4" w:rsidRPr="008058A0">
        <w:rPr>
          <w:noProof/>
          <w:color w:val="2F5496" w:themeColor="accent5" w:themeShade="BF"/>
          <w:vertAlign w:val="superscript"/>
        </w:rPr>
        <w:t>15-17</w:t>
      </w:r>
      <w:r w:rsidR="00AE5EB8" w:rsidRPr="008058A0">
        <w:rPr>
          <w:color w:val="2F5496" w:themeColor="accent5" w:themeShade="BF"/>
        </w:rPr>
        <w:fldChar w:fldCharType="end"/>
      </w:r>
      <w:r w:rsidRPr="00D72167">
        <w:t xml:space="preserve">. </w:t>
      </w:r>
      <w:r w:rsidRPr="008058A0">
        <w:rPr>
          <w:color w:val="FF0000"/>
        </w:rPr>
        <w:t>Finally, ENCODE data</w:t>
      </w:r>
      <w:r w:rsidR="005D3CD0" w:rsidRPr="008058A0">
        <w:rPr>
          <w:color w:val="FF0000"/>
        </w:rPr>
        <w:t xml:space="preserve"> and other genomic</w:t>
      </w:r>
      <w:r w:rsidR="008139E6" w:rsidRPr="008058A0">
        <w:rPr>
          <w:color w:val="FF0000"/>
        </w:rPr>
        <w:t xml:space="preserve"> data</w:t>
      </w:r>
      <w:r w:rsidRPr="008058A0">
        <w:rPr>
          <w:color w:val="FF0000"/>
        </w:rPr>
        <w:t xml:space="preserve"> sets have been used to link non-coding elements and organize them into regulatory networks, which </w:t>
      </w:r>
      <w:r w:rsidR="00CC0206" w:rsidRPr="008058A0">
        <w:rPr>
          <w:color w:val="FF0000"/>
        </w:rPr>
        <w:t>can</w:t>
      </w:r>
      <w:r w:rsidRPr="008058A0">
        <w:rPr>
          <w:color w:val="FF0000"/>
        </w:rPr>
        <w:t xml:space="preserve"> be used to gain a systems-level perspective on cancer</w:t>
      </w:r>
      <w:r w:rsidR="005D3CD0" w:rsidRPr="008058A0">
        <w:rPr>
          <w:color w:val="FF0000"/>
        </w:rPr>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rsidRPr="008058A0">
        <w:rPr>
          <w:color w:val="FF0000"/>
        </w:rPr>
        <w:instrText xml:space="preserve"> ADDIN EN.CITE </w:instrText>
      </w:r>
      <w:r w:rsidR="00BA5BE4" w:rsidRPr="008058A0">
        <w:rPr>
          <w:color w:val="FF0000"/>
        </w:rPr>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rsidRPr="008058A0">
        <w:rPr>
          <w:color w:val="FF0000"/>
        </w:rPr>
        <w:instrText xml:space="preserve"> ADDIN EN.CITE.DATA </w:instrText>
      </w:r>
      <w:r w:rsidR="00BA5BE4" w:rsidRPr="008058A0">
        <w:rPr>
          <w:color w:val="FF0000"/>
        </w:rPr>
      </w:r>
      <w:r w:rsidR="00BA5BE4" w:rsidRPr="008058A0">
        <w:rPr>
          <w:color w:val="FF0000"/>
        </w:rPr>
        <w:fldChar w:fldCharType="end"/>
      </w:r>
      <w:r w:rsidR="005D3CD0" w:rsidRPr="008058A0">
        <w:rPr>
          <w:color w:val="FF0000"/>
        </w:rPr>
      </w:r>
      <w:r w:rsidR="005D3CD0" w:rsidRPr="008058A0">
        <w:rPr>
          <w:color w:val="FF0000"/>
        </w:rPr>
        <w:fldChar w:fldCharType="separate"/>
      </w:r>
      <w:r w:rsidR="00BA5BE4" w:rsidRPr="008058A0">
        <w:rPr>
          <w:noProof/>
          <w:color w:val="FF0000"/>
          <w:vertAlign w:val="superscript"/>
        </w:rPr>
        <w:t>18-20</w:t>
      </w:r>
      <w:r w:rsidR="005D3CD0" w:rsidRPr="008058A0">
        <w:rPr>
          <w:color w:val="FF0000"/>
        </w:rPr>
        <w:fldChar w:fldCharType="end"/>
      </w:r>
      <w:r w:rsidRPr="00D72167">
        <w:t>.</w:t>
      </w:r>
    </w:p>
    <w:p w14:paraId="77BCC5E5" w14:textId="4F0B7439"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instrText xml:space="preserve"> ADDIN EN.CITE </w:instrText>
      </w:r>
      <w:r w:rsidR="00BA5BE4">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instrText xml:space="preserve"> ADDIN EN.CITE.DATA </w:instrText>
      </w:r>
      <w:r w:rsidR="00BA5BE4">
        <w:fldChar w:fldCharType="end"/>
      </w:r>
      <w:r w:rsidR="00BB20B0">
        <w:fldChar w:fldCharType="separate"/>
      </w:r>
      <w:r w:rsidR="00BA5BE4" w:rsidRPr="00BA5BE4">
        <w:rPr>
          <w:noProof/>
          <w:vertAlign w:val="superscript"/>
        </w:rPr>
        <w:t>21</w:t>
      </w:r>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expanded the number of advanced assays</w:t>
      </w:r>
      <w:r w:rsidR="00350DFF">
        <w:t xml:space="preserve"> </w:t>
      </w:r>
      <w:r w:rsidR="001D216E">
        <w:t xml:space="preserve">on </w:t>
      </w:r>
      <w:r w:rsidR="001D216E" w:rsidRPr="00617E42">
        <w:t xml:space="preserve">several </w:t>
      </w:r>
      <w:r w:rsidR="001D216E">
        <w:t>"top-tie</w:t>
      </w:r>
      <w:r w:rsidR="001D216E" w:rsidRPr="00DE09A3">
        <w:t xml:space="preserve">r" cell </w:t>
      </w:r>
      <w:r w:rsidR="00607951" w:rsidRPr="00DE09A3">
        <w:t>types</w:t>
      </w:r>
      <w:r w:rsidR="00350DFF" w:rsidRPr="00DE09A3">
        <w:t xml:space="preserve"> (</w:t>
      </w:r>
      <w:r w:rsidR="00350DFF">
        <w:t>e.g.</w:t>
      </w:r>
      <w:r w:rsidR="00350DFF" w:rsidRPr="00617E42">
        <w:t xml:space="preserve"> STARR-</w:t>
      </w:r>
      <w:proofErr w:type="spellStart"/>
      <w:r w:rsidR="00350DFF" w:rsidRPr="00617E42">
        <w:t>seq</w:t>
      </w:r>
      <w:proofErr w:type="spellEnd"/>
      <w:r w:rsidR="00350DFF" w:rsidRPr="00617E42">
        <w:t xml:space="preserve">, Hi-C, </w:t>
      </w:r>
      <w:proofErr w:type="spellStart"/>
      <w:r w:rsidR="00350DFF" w:rsidRPr="00617E42">
        <w:t>ChIA</w:t>
      </w:r>
      <w:proofErr w:type="spellEnd"/>
      <w:r w:rsidR="00350DFF" w:rsidRPr="00617E42">
        <w:t xml:space="preserve">-PET, </w:t>
      </w:r>
      <w:r w:rsidR="00350DFF">
        <w:t xml:space="preserve">eCLIP </w:t>
      </w:r>
      <w:r w:rsidR="00350DFF" w:rsidRPr="00617E42">
        <w:t>and RAMPAGE</w:t>
      </w:r>
      <w:r w:rsidR="00350DFF">
        <w:t>).</w:t>
      </w:r>
      <w:r w:rsidR="001D216E">
        <w:t xml:space="preserve"> Many of </w:t>
      </w:r>
      <w:r w:rsidR="001D216E" w:rsidRPr="00DE09A3">
        <w:t>these are asso</w:t>
      </w:r>
      <w:r w:rsidR="001D216E">
        <w:t>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w:t>
      </w:r>
      <w:r w:rsidRPr="00DE09A3">
        <w:t xml:space="preserve">d </w:t>
      </w:r>
      <w:r w:rsidRPr="00DE09A3">
        <w:rPr>
          <w:i/>
          <w:u w:val="single"/>
        </w:rPr>
        <w:t>ENCODE</w:t>
      </w:r>
      <w:r w:rsidRPr="00DE09A3">
        <w:t xml:space="preserve"> companion resource for </w:t>
      </w:r>
      <w:r w:rsidR="00DE09A3" w:rsidRPr="00DE09A3">
        <w:rPr>
          <w:i/>
          <w:u w:val="single"/>
        </w:rPr>
        <w:t>C</w:t>
      </w:r>
      <w:r w:rsidRPr="00DE09A3">
        <w:t>ancer geno</w:t>
      </w:r>
      <w:r>
        <w:t>mics (</w:t>
      </w:r>
      <w:r w:rsidR="004E0E61">
        <w:t xml:space="preserve">which we </w:t>
      </w:r>
      <w:r w:rsidR="00431937" w:rsidRPr="00DE09A3">
        <w:t>call</w:t>
      </w:r>
      <w:r w:rsidR="004E0E61">
        <w:t xml:space="preserve"> </w:t>
      </w:r>
      <w:r w:rsidR="00204174">
        <w:t>EN-CODEC</w:t>
      </w:r>
      <w:r>
        <w:t xml:space="preserve">). This </w:t>
      </w:r>
      <w:r w:rsidR="00F03AA9" w:rsidRPr="001F7548">
        <w:t>resource</w:t>
      </w:r>
      <w:r w:rsidR="00F03AA9">
        <w:t xml:space="preserve"> </w:t>
      </w:r>
      <w:r>
        <w:t xml:space="preserve">consists of a set of annotation files and </w:t>
      </w:r>
      <w:r w:rsidR="00607951" w:rsidRPr="001F7548">
        <w:t>computer</w:t>
      </w:r>
      <w:r w:rsidR="00607951">
        <w:t xml:space="preserve"> </w:t>
      </w:r>
      <w:r>
        <w:t>codes available online (</w:t>
      </w:r>
      <w:r w:rsidR="004133CC">
        <w:rPr>
          <w:rStyle w:val="Hyperlink"/>
        </w:rPr>
        <w:t>encodec.encodeproject.org,</w:t>
      </w:r>
      <w:r w:rsidR="004133CC" w:rsidRPr="004C4AEF">
        <w:rPr>
          <w:rStyle w:val="Hyperlink"/>
          <w:u w:val="none"/>
        </w:rPr>
        <w:t xml:space="preserve"> </w:t>
      </w:r>
      <w:r w:rsidR="00027DE4">
        <w:t>see suppl.</w:t>
      </w:r>
      <w:r>
        <w:t xml:space="preserve">). It comprises three main parts: </w:t>
      </w:r>
      <w:r w:rsidRPr="008058A0">
        <w:rPr>
          <w:color w:val="2F5496" w:themeColor="accent5" w:themeShade="BF"/>
        </w:rPr>
        <w:t xml:space="preserve">background mutation rate </w:t>
      </w:r>
      <w:r>
        <w:t>model</w:t>
      </w:r>
      <w:r w:rsidR="00BB3ABC">
        <w:t>s</w:t>
      </w:r>
      <w:r>
        <w:t xml:space="preserve">, compact annotations, and regulatory networks. We detail each of these parts below and provide illustrations of how they may be used to </w:t>
      </w:r>
      <w:r w:rsidR="00541EFF" w:rsidRPr="001F7548">
        <w:t>interpret</w:t>
      </w:r>
      <w:r>
        <w:t xml:space="preserve"> cancer genomes after combining mutation and expression profiles from large cancer cohorts</w:t>
      </w:r>
      <w:r w:rsidR="000F1E10">
        <w:t>,</w:t>
      </w:r>
      <w:r>
        <w:t xml:space="preserve"> such as TCGA. </w:t>
      </w:r>
      <w:r w:rsidR="008058A0">
        <w:t>(</w:t>
      </w:r>
      <w:r w:rsidR="008058A0" w:rsidRPr="008058A0">
        <w:rPr>
          <w:color w:val="538135" w:themeColor="accent6" w:themeShade="BF"/>
        </w:rPr>
        <w:t>more networks and SVs</w:t>
      </w:r>
      <w:r w:rsidR="008058A0">
        <w:t>)</w:t>
      </w:r>
    </w:p>
    <w:p w14:paraId="1EC701D8" w14:textId="3C8D1A29" w:rsidR="005453CC" w:rsidRDefault="00B1517D" w:rsidP="00702B68">
      <w:pPr>
        <w:pStyle w:val="NoSpacing"/>
      </w:pPr>
      <w:proofErr w:type="gramStart"/>
      <w:r>
        <w:t>In particular, with</w:t>
      </w:r>
      <w:proofErr w:type="gramEnd"/>
      <w:r>
        <w:t xml:space="preserve"> a much wider selection of cell types</w:t>
      </w:r>
      <w:r w:rsidR="00A85055">
        <w:t xml:space="preserve">, </w:t>
      </w:r>
      <w:r w:rsidR="00204174">
        <w:t>EN-CODEC</w:t>
      </w:r>
      <w:r w:rsidR="003E1CA3">
        <w:t xml:space="preserve"> </w:t>
      </w:r>
      <w:r>
        <w:t xml:space="preserve">provides substantially more functional genomics data that can be better matched to specific cancer types of interest, </w:t>
      </w:r>
      <w:r w:rsidRPr="008058A0">
        <w:rPr>
          <w:color w:val="FF0000"/>
        </w:rPr>
        <w:t>allowing a demonstrably improved background mutation rate estimation</w:t>
      </w:r>
      <w:r>
        <w:t xml:space="preserve">. In addition, for a number of well-known cancer cell types, </w:t>
      </w:r>
      <w:r w:rsidRPr="00812A42">
        <w:t>it incorporates a large battery of data on histone marks with various more specialized assays</w:t>
      </w:r>
      <w:r w:rsidR="002E5EC6" w:rsidRPr="00812A42">
        <w:t xml:space="preserve">. For example, in several model </w:t>
      </w:r>
      <w:r w:rsidR="003C7910" w:rsidRPr="00812A42">
        <w:t>cell</w:t>
      </w:r>
      <w:r w:rsidR="002E5EC6" w:rsidRPr="00812A42">
        <w:t xml:space="preserve"> types,</w:t>
      </w:r>
      <w:r w:rsidRPr="00812A42">
        <w:t xml:space="preserve"> </w:t>
      </w:r>
      <w:r w:rsidR="002E5EC6" w:rsidRPr="00812A42">
        <w:t xml:space="preserve">we </w:t>
      </w:r>
      <w:r w:rsidR="002E5EC6" w:rsidRPr="00602A4D">
        <w:t>incorporate</w:t>
      </w:r>
      <w:r w:rsidR="002E5EC6" w:rsidRPr="00812A42">
        <w:t xml:space="preserve"> </w:t>
      </w:r>
      <w:r w:rsidRPr="00812A42">
        <w:t>STARR-</w:t>
      </w:r>
      <w:r w:rsidR="00AE23FD">
        <w:t>s</w:t>
      </w:r>
      <w:r w:rsidR="00AE23FD" w:rsidRPr="00602A4D">
        <w:t>eq</w:t>
      </w:r>
      <w:r w:rsidR="00AE23FD" w:rsidRPr="00812A42">
        <w:t xml:space="preserve"> </w:t>
      </w:r>
      <w:r w:rsidR="002E5EC6" w:rsidRPr="00812A42">
        <w:t xml:space="preserve">data, which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w:t>
      </w:r>
      <w:r w:rsidR="00C50A1F" w:rsidRPr="008058A0">
        <w:rPr>
          <w:color w:val="FF0000"/>
        </w:rPr>
        <w:t>es</w:t>
      </w:r>
      <w:r w:rsidR="002E5EC6" w:rsidRPr="008058A0">
        <w:rPr>
          <w:color w:val="FF0000"/>
        </w:rPr>
        <w:t>,</w:t>
      </w:r>
      <w:r w:rsidRPr="008058A0">
        <w:rPr>
          <w:color w:val="FF0000"/>
        </w:rPr>
        <w:t xml:space="preserve"> to </w:t>
      </w:r>
      <w:r w:rsidR="006C270D" w:rsidRPr="008058A0">
        <w:rPr>
          <w:color w:val="FF0000"/>
        </w:rPr>
        <w:t xml:space="preserve">accurately </w:t>
      </w:r>
      <w:r w:rsidRPr="008058A0">
        <w:rPr>
          <w:color w:val="FF0000"/>
        </w:rPr>
        <w:t>define core enhancers and</w:t>
      </w:r>
      <w:r w:rsidR="00AA39AC" w:rsidRPr="008058A0">
        <w:rPr>
          <w:color w:val="FF0000"/>
        </w:rPr>
        <w:t xml:space="preserve"> used Hi-C and </w:t>
      </w:r>
      <w:proofErr w:type="spellStart"/>
      <w:r w:rsidR="00AA39AC" w:rsidRPr="008058A0">
        <w:rPr>
          <w:color w:val="FF0000"/>
        </w:rPr>
        <w:t>ChIA</w:t>
      </w:r>
      <w:proofErr w:type="spellEnd"/>
      <w:r w:rsidR="00AA39AC" w:rsidRPr="008058A0">
        <w:rPr>
          <w:color w:val="FF0000"/>
        </w:rPr>
        <w:t>-PET data for accurate</w:t>
      </w:r>
      <w:r w:rsidRPr="008058A0">
        <w:rPr>
          <w:color w:val="FF0000"/>
        </w:rPr>
        <w:t xml:space="preserve"> </w:t>
      </w:r>
      <w:r w:rsidR="00AA39AC" w:rsidRPr="008058A0">
        <w:rPr>
          <w:color w:val="FF0000"/>
        </w:rPr>
        <w:t>enhancer-</w:t>
      </w:r>
      <w:r w:rsidRPr="008058A0">
        <w:rPr>
          <w:color w:val="FF0000"/>
        </w:rPr>
        <w:t>gene</w:t>
      </w:r>
      <w:r w:rsidR="00AA39AC" w:rsidRPr="008058A0">
        <w:rPr>
          <w:color w:val="FF0000"/>
        </w:rPr>
        <w:t xml:space="preserve"> linkage prediction</w:t>
      </w:r>
      <w:r w:rsidRPr="008058A0">
        <w:rPr>
          <w:color w:val="FF0000"/>
        </w:rPr>
        <w:t>. Consequently, relative to generic annotations, it constructs more compact annotations to maximize statistical power in the determination of mutationally burdened regions</w:t>
      </w:r>
      <w:r>
        <w:t xml:space="preserve">. </w:t>
      </w:r>
    </w:p>
    <w:p w14:paraId="00418090" w14:textId="55354614" w:rsidR="00B1517D" w:rsidRDefault="00B1517D" w:rsidP="005453CC">
      <w:pPr>
        <w:pStyle w:val="NoSpacing"/>
      </w:pPr>
      <w:r w:rsidRPr="008058A0">
        <w:rPr>
          <w:color w:val="FF0000"/>
        </w:rPr>
        <w:t xml:space="preserve">Finally, our resource significantly extends TF regulatory networks with </w:t>
      </w:r>
      <w:r w:rsidR="007F1617" w:rsidRPr="008058A0">
        <w:rPr>
          <w:color w:val="FF0000"/>
        </w:rPr>
        <w:t>comprehensive</w:t>
      </w:r>
      <w:r w:rsidRPr="008058A0">
        <w:rPr>
          <w:color w:val="FF0000"/>
        </w:rPr>
        <w:t xml:space="preserve"> ChIP-</w:t>
      </w:r>
      <w:r w:rsidR="00AE23FD" w:rsidRPr="008058A0">
        <w:rPr>
          <w:color w:val="FF0000"/>
        </w:rPr>
        <w:t xml:space="preserve">seq </w:t>
      </w:r>
      <w:r w:rsidRPr="008058A0">
        <w:rPr>
          <w:color w:val="FF0000"/>
        </w:rPr>
        <w:t xml:space="preserve">coverage </w:t>
      </w:r>
      <w:r w:rsidR="007F1617" w:rsidRPr="008058A0">
        <w:rPr>
          <w:color w:val="FF0000"/>
        </w:rPr>
        <w:t>across cell</w:t>
      </w:r>
      <w:r w:rsidR="003C7910" w:rsidRPr="008058A0">
        <w:rPr>
          <w:color w:val="FF0000"/>
        </w:rPr>
        <w:t xml:space="preserve"> </w:t>
      </w:r>
      <w:r w:rsidR="007F1617" w:rsidRPr="008058A0">
        <w:rPr>
          <w:color w:val="FF0000"/>
        </w:rPr>
        <w:t xml:space="preserve">types </w:t>
      </w:r>
      <w:r w:rsidRPr="008058A0">
        <w:rPr>
          <w:color w:val="FF0000"/>
        </w:rPr>
        <w:t>and constructs additional networks from more recent assays such as eCLIP and Hi</w:t>
      </w:r>
      <w:r w:rsidR="001E63E0" w:rsidRPr="008058A0">
        <w:rPr>
          <w:color w:val="FF0000"/>
        </w:rPr>
        <w:t>-</w:t>
      </w:r>
      <w:r w:rsidRPr="008058A0">
        <w:rPr>
          <w:color w:val="FF0000"/>
        </w:rPr>
        <w:t>C. For a few prominent cancer</w:t>
      </w:r>
      <w:r w:rsidR="007D3167" w:rsidRPr="008058A0">
        <w:rPr>
          <w:color w:val="FF0000"/>
        </w:rPr>
        <w:t>s</w:t>
      </w:r>
      <w:r w:rsidRPr="008058A0">
        <w:rPr>
          <w:color w:val="FF0000"/>
        </w:rPr>
        <w:t xml:space="preserve"> </w:t>
      </w:r>
      <w:r w:rsidR="005453CC" w:rsidRPr="00812A42">
        <w:t>(e</w:t>
      </w:r>
      <w:r w:rsidR="006A2908" w:rsidRPr="00812A42">
        <w:t>.</w:t>
      </w:r>
      <w:r w:rsidR="005453CC" w:rsidRPr="00812A42">
        <w:t>g</w:t>
      </w:r>
      <w:r w:rsidR="006A2908" w:rsidRPr="00812A42">
        <w:t>.</w:t>
      </w:r>
      <w:r w:rsidR="005453CC" w:rsidRPr="00812A42">
        <w:t xml:space="preserve"> bl</w:t>
      </w:r>
      <w:r w:rsidR="005453CC">
        <w:t>ood and liver cancer)</w:t>
      </w:r>
      <w:r>
        <w:t xml:space="preserve">, these provide </w:t>
      </w:r>
      <w:r w:rsidR="00B257E7">
        <w:t>cell-type specific</w:t>
      </w:r>
      <w:r>
        <w:t xml:space="preserve"> networks in model tumor and normal cells, </w:t>
      </w:r>
      <w:r w:rsidR="00CE30BF">
        <w:t xml:space="preserve">thereby </w:t>
      </w:r>
      <w:r>
        <w:t>enabling direct measurement of potential regulatory changes in oncogenesis. Furthermore</w:t>
      </w:r>
      <w:r w:rsidR="00702B68" w:rsidRPr="00126B5D">
        <w:t xml:space="preserve">, a prevailing </w:t>
      </w:r>
      <w:r w:rsidR="00CE30BF">
        <w:t xml:space="preserve">decades-old </w:t>
      </w:r>
      <w:r w:rsidR="00702B68" w:rsidRPr="00126B5D">
        <w:t xml:space="preserve">paradigm has held that at least a subpopulation of tumor cells </w:t>
      </w:r>
      <w:r w:rsidR="00456BA5" w:rsidRPr="00812A42">
        <w:t>has</w:t>
      </w:r>
      <w:r w:rsidR="00702B68" w:rsidRPr="00812A42">
        <w:t xml:space="preserve"> </w:t>
      </w:r>
      <w:r w:rsidR="00702B68" w:rsidRPr="00126B5D">
        <w:t>the ability to self-renew, differentiate, and regenerate, in a man</w:t>
      </w:r>
      <w:r w:rsidR="00702B68" w:rsidRPr="00812A42">
        <w:t>ner simila</w:t>
      </w:r>
      <w:r w:rsidR="00702B68" w:rsidRPr="00126B5D">
        <w:t>r to stem cells</w:t>
      </w:r>
      <w:r w:rsidR="00072606" w:rsidRPr="00126B5D">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instrText xml:space="preserve"> ADDIN EN.CITE </w:instrText>
      </w:r>
      <w:r w:rsidR="00BA5BE4">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instrText xml:space="preserve"> ADDIN EN.CITE.DATA </w:instrText>
      </w:r>
      <w:r w:rsidR="00BA5BE4">
        <w:fldChar w:fldCharType="end"/>
      </w:r>
      <w:r w:rsidR="00072606" w:rsidRPr="00126B5D">
        <w:fldChar w:fldCharType="separate"/>
      </w:r>
      <w:r w:rsidR="00BA5BE4" w:rsidRPr="00BA5BE4">
        <w:rPr>
          <w:noProof/>
          <w:vertAlign w:val="superscript"/>
        </w:rPr>
        <w:t>22</w:t>
      </w:r>
      <w:r w:rsidR="00072606" w:rsidRPr="00126B5D">
        <w:fldChar w:fldCharType="end"/>
      </w:r>
      <w:r w:rsidR="00702B68" w:rsidRPr="00126B5D">
        <w:t xml:space="preserve">. </w:t>
      </w:r>
      <w:r w:rsidR="00702B68" w:rsidRPr="008058A0">
        <w:rPr>
          <w:color w:val="FF0000"/>
        </w:rPr>
        <w:t xml:space="preserve">Hence, the top-tier cell line H1-hESC can serve as a valuable comparison when investigating the degree to which </w:t>
      </w:r>
      <w:r w:rsidR="001B6577" w:rsidRPr="008058A0">
        <w:rPr>
          <w:color w:val="FF0000"/>
        </w:rPr>
        <w:t>an</w:t>
      </w:r>
      <w:r w:rsidR="00702B68" w:rsidRPr="008058A0">
        <w:rPr>
          <w:color w:val="FF0000"/>
        </w:rPr>
        <w:t xml:space="preserve"> oncogenic transformation </w:t>
      </w:r>
      <w:r w:rsidR="005453CC" w:rsidRPr="008058A0">
        <w:rPr>
          <w:color w:val="FF0000"/>
        </w:rPr>
        <w:t>moves towards or away from a</w:t>
      </w:r>
      <w:r w:rsidR="00702B68" w:rsidRPr="008058A0">
        <w:rPr>
          <w:color w:val="FF0000"/>
        </w:rPr>
        <w:t xml:space="preserve"> stem-cell-like </w:t>
      </w:r>
      <w:r w:rsidR="005453CC" w:rsidRPr="008058A0">
        <w:rPr>
          <w:color w:val="FF0000"/>
        </w:rPr>
        <w:t>state</w:t>
      </w:r>
      <w:r w:rsidR="00702B68" w:rsidRPr="00126B5D">
        <w:t>.</w:t>
      </w:r>
      <w:r>
        <w:t xml:space="preserve"> More generally, our network can better explain cancer</w:t>
      </w:r>
      <w:r w:rsidR="001B6577">
        <w:t xml:space="preserve"> </w:t>
      </w:r>
      <w:r>
        <w:t xml:space="preserve">specific expression patterns in tumors from </w:t>
      </w:r>
      <w:r w:rsidR="00EF763D">
        <w:t xml:space="preserve">cancer </w:t>
      </w:r>
      <w:r>
        <w:t>resources such as TCGA, and it also helps reveal key regulators that drive large-scale tumor-to-normal expression changes.</w:t>
      </w:r>
    </w:p>
    <w:p w14:paraId="6BEDD353" w14:textId="0701486B"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r w:rsidR="00A51A22">
        <w:t xml:space="preserve">analysis </w:t>
      </w:r>
      <w:r>
        <w:t xml:space="preserve">(from the enhanced background model) to propose a step-wise prioritizing scheme </w:t>
      </w:r>
      <w:r w:rsidR="00A51A22">
        <w:t xml:space="preserve">that </w:t>
      </w:r>
      <w:r>
        <w:t>highlight</w:t>
      </w:r>
      <w:r w:rsidR="00A51A22">
        <w:t>s</w:t>
      </w:r>
      <w:r>
        <w:t xml:space="preserve"> key mutations associated with cancer progression. We validated the functional impact of prioritized mutations and elements using focused experiments such as </w:t>
      </w:r>
      <w:r w:rsidRPr="00126B5D">
        <w:t>s</w:t>
      </w:r>
      <w:r w:rsidR="00B51351">
        <w:t>i</w:t>
      </w:r>
      <w:r w:rsidRPr="00126B5D">
        <w:t>RNA</w:t>
      </w:r>
      <w:r w:rsidR="00B66117" w:rsidRPr="00126B5D">
        <w:t xml:space="preserve"> </w:t>
      </w:r>
      <w:r w:rsidR="00B66117" w:rsidRPr="00126B5D">
        <w:lastRenderedPageBreak/>
        <w:t>RNA</w:t>
      </w:r>
      <w:r w:rsidRPr="00126B5D">
        <w:t>-seq</w:t>
      </w:r>
      <w:r>
        <w:t xml:space="preserve"> and luciferase assays. Such prioritization serves as an illustration of how the new </w:t>
      </w:r>
      <w:r w:rsidR="00204174">
        <w:t>EN-CODEC</w:t>
      </w:r>
      <w:r>
        <w:t xml:space="preserve"> resource can immediately be used to help analyze existing cancer mutation data and cancer-associated gene expression.</w:t>
      </w:r>
    </w:p>
    <w:p w14:paraId="5C5EC457" w14:textId="074A1FF3" w:rsidR="008058A0" w:rsidRPr="008058A0" w:rsidRDefault="008058A0" w:rsidP="00B1517D">
      <w:pPr>
        <w:pStyle w:val="NoSpacing"/>
        <w:rPr>
          <w:color w:val="FF0000"/>
        </w:rPr>
      </w:pPr>
      <w:bookmarkStart w:id="0" w:name="_GoBack"/>
      <w:r w:rsidRPr="008058A0">
        <w:rPr>
          <w:color w:val="FF0000"/>
        </w:rPr>
        <w:t>(BMR and other features, SV here)</w:t>
      </w:r>
    </w:p>
    <w:p w14:paraId="7008DC48" w14:textId="67CF9B04" w:rsidR="00556812" w:rsidRPr="00812A42" w:rsidRDefault="00556812" w:rsidP="00556812">
      <w:pPr>
        <w:pStyle w:val="Heading2"/>
        <w:jc w:val="both"/>
      </w:pPr>
      <w:bookmarkStart w:id="1" w:name="_9gwc9xxb1y49" w:colFirst="0" w:colLast="0"/>
      <w:bookmarkEnd w:id="1"/>
      <w:bookmarkEnd w:id="0"/>
      <w:r w:rsidRPr="008058A0">
        <w:rPr>
          <w:color w:val="2F5496" w:themeColor="accent5" w:themeShade="BF"/>
        </w:rPr>
        <w:t>ENCODE data allows more accurate BMR estimation (for better cancer driver detection)</w:t>
      </w:r>
    </w:p>
    <w:p w14:paraId="11B5BE07" w14:textId="5F12578A" w:rsidR="00110536" w:rsidRPr="008058A0" w:rsidRDefault="00110536" w:rsidP="009B45A3">
      <w:pPr>
        <w:pStyle w:val="NoSpacing"/>
        <w:rPr>
          <w:color w:val="2F5496" w:themeColor="accent5" w:themeShade="BF"/>
        </w:rPr>
      </w:pPr>
      <w:r w:rsidRPr="008058A0">
        <w:rPr>
          <w:color w:val="2F5496" w:themeColor="accent5" w:themeShade="BF"/>
        </w:rPr>
        <w:t xml:space="preserve">One of the most powerful ways of identifying key elements in cancer genomes is through mutation recurrence analysis to discover regions that harbor more mutations than expected. </w:t>
      </w:r>
      <w:r w:rsidR="00F31394" w:rsidRPr="008058A0">
        <w:rPr>
          <w:color w:val="2F5496" w:themeColor="accent5" w:themeShade="BF"/>
        </w:rPr>
        <w:t xml:space="preserve">However, </w:t>
      </w:r>
      <w:r w:rsidR="009B45A3" w:rsidRPr="008058A0">
        <w:rPr>
          <w:color w:val="2F5496" w:themeColor="accent5" w:themeShade="BF"/>
        </w:rPr>
        <w:t xml:space="preserve">developing </w:t>
      </w:r>
      <w:r w:rsidR="00DE1E42" w:rsidRPr="008058A0">
        <w:rPr>
          <w:color w:val="2F5496" w:themeColor="accent5" w:themeShade="BF"/>
        </w:rPr>
        <w:t xml:space="preserve">a null </w:t>
      </w:r>
      <w:r w:rsidR="009B45A3" w:rsidRPr="008058A0">
        <w:rPr>
          <w:color w:val="2F5496" w:themeColor="accent5" w:themeShade="BF"/>
        </w:rPr>
        <w:t xml:space="preserve">expectation </w:t>
      </w:r>
      <w:r w:rsidR="00C22CB5" w:rsidRPr="008058A0">
        <w:rPr>
          <w:color w:val="2F5496" w:themeColor="accent5" w:themeShade="BF"/>
        </w:rPr>
        <w:t xml:space="preserve">for these analyses </w:t>
      </w:r>
      <w:r w:rsidR="009B45A3" w:rsidRPr="008058A0">
        <w:rPr>
          <w:color w:val="2F5496" w:themeColor="accent5" w:themeShade="BF"/>
        </w:rPr>
        <w:t xml:space="preserve">is non-trivial </w:t>
      </w:r>
      <w:r w:rsidRPr="008058A0">
        <w:rPr>
          <w:color w:val="2F5496" w:themeColor="accent5" w:themeShade="BF"/>
        </w:rPr>
        <w:t>– the somatic mutation process can be influenced by numerous confounders (in the form of both external genomic factors and local sequence context factors), and these can result in false conclusions if not appropriately corrected</w:t>
      </w:r>
      <w:r w:rsidR="000579EC" w:rsidRPr="008058A0">
        <w:rPr>
          <w:color w:val="2F5496" w:themeColor="accent5" w:themeShade="BF"/>
        </w:rPr>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rsidRPr="008058A0">
        <w:rPr>
          <w:color w:val="2F5496" w:themeColor="accent5" w:themeShade="BF"/>
        </w:rPr>
        <w:instrText xml:space="preserve"> ADDIN EN.CITE </w:instrText>
      </w:r>
      <w:r w:rsidR="00BA5BE4" w:rsidRPr="008058A0">
        <w:rPr>
          <w:color w:val="2F5496" w:themeColor="accent5" w:themeShade="BF"/>
        </w:rPr>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rsidRPr="008058A0">
        <w:rPr>
          <w:color w:val="2F5496" w:themeColor="accent5" w:themeShade="BF"/>
        </w:rPr>
        <w:instrText xml:space="preserve"> ADDIN EN.CITE.DATA </w:instrText>
      </w:r>
      <w:r w:rsidR="00BA5BE4" w:rsidRPr="008058A0">
        <w:rPr>
          <w:color w:val="2F5496" w:themeColor="accent5" w:themeShade="BF"/>
        </w:rPr>
      </w:r>
      <w:r w:rsidR="00BA5BE4" w:rsidRPr="008058A0">
        <w:rPr>
          <w:color w:val="2F5496" w:themeColor="accent5" w:themeShade="BF"/>
        </w:rPr>
        <w:fldChar w:fldCharType="end"/>
      </w:r>
      <w:r w:rsidR="000579EC" w:rsidRPr="008058A0">
        <w:rPr>
          <w:color w:val="2F5496" w:themeColor="accent5" w:themeShade="BF"/>
        </w:rPr>
      </w:r>
      <w:r w:rsidR="000579EC" w:rsidRPr="008058A0">
        <w:rPr>
          <w:color w:val="2F5496" w:themeColor="accent5" w:themeShade="BF"/>
        </w:rPr>
        <w:fldChar w:fldCharType="separate"/>
      </w:r>
      <w:r w:rsidR="00BA5BE4" w:rsidRPr="008058A0">
        <w:rPr>
          <w:noProof/>
          <w:color w:val="2F5496" w:themeColor="accent5" w:themeShade="BF"/>
          <w:vertAlign w:val="superscript"/>
        </w:rPr>
        <w:t>15</w:t>
      </w:r>
      <w:r w:rsidR="000579EC" w:rsidRPr="008058A0">
        <w:rPr>
          <w:color w:val="2F5496" w:themeColor="accent5" w:themeShade="BF"/>
        </w:rPr>
        <w:fldChar w:fldCharType="end"/>
      </w:r>
      <w:r w:rsidRPr="008058A0">
        <w:rPr>
          <w:color w:val="2F5496" w:themeColor="accent5" w:themeShade="BF"/>
        </w:rPr>
        <w:t xml:space="preserve">. </w:t>
      </w:r>
      <w:r w:rsidR="00F31394" w:rsidRPr="008058A0">
        <w:rPr>
          <w:color w:val="2F5496" w:themeColor="accent5" w:themeShade="BF"/>
        </w:rPr>
        <w:t>Hence, we demonstrate how to integrate extensive ENCODE data to construct an accurate background mutation rate model in a wide range of cancer types.</w:t>
      </w:r>
    </w:p>
    <w:p w14:paraId="545B9342" w14:textId="0B83DFAE" w:rsidR="00110536" w:rsidRPr="008058A0" w:rsidRDefault="00110536" w:rsidP="00110536">
      <w:pPr>
        <w:pStyle w:val="NoSpacing"/>
        <w:rPr>
          <w:color w:val="2F5496" w:themeColor="accent5" w:themeShade="BF"/>
        </w:rPr>
      </w:pPr>
      <w:r w:rsidRPr="008058A0">
        <w:rPr>
          <w:color w:val="2F5496" w:themeColor="accent5" w:themeShade="BF"/>
        </w:rPr>
        <w:t xml:space="preserve">We address </w:t>
      </w:r>
      <w:r w:rsidR="0053676A" w:rsidRPr="008058A0">
        <w:rPr>
          <w:color w:val="2F5496" w:themeColor="accent5" w:themeShade="BF"/>
        </w:rPr>
        <w:t>this</w:t>
      </w:r>
      <w:r w:rsidRPr="008058A0">
        <w:rPr>
          <w:color w:val="2F5496" w:themeColor="accent5" w:themeShade="BF"/>
        </w:rPr>
        <w:t xml:space="preserve"> </w:t>
      </w:r>
      <w:r w:rsidR="0053676A" w:rsidRPr="008058A0">
        <w:rPr>
          <w:color w:val="2F5496" w:themeColor="accent5" w:themeShade="BF"/>
        </w:rPr>
        <w:t>issue</w:t>
      </w:r>
      <w:r w:rsidRPr="008058A0">
        <w:rPr>
          <w:color w:val="2F5496" w:themeColor="accent5" w:themeShade="BF"/>
        </w:rPr>
        <w:t xml:space="preserve"> in a cancer-cohort-specific manner (</w:t>
      </w:r>
      <w:r w:rsidR="00027DE4" w:rsidRPr="008058A0">
        <w:rPr>
          <w:color w:val="2F5496" w:themeColor="accent5" w:themeShade="BF"/>
        </w:rPr>
        <w:t>see suppl.</w:t>
      </w:r>
      <w:r w:rsidRPr="008058A0">
        <w:rPr>
          <w:color w:val="2F5496" w:themeColor="accent5" w:themeShade="BF"/>
        </w:rPr>
        <w:t>). Specifically, we separated the whole genome into bins (1Mb) and calculated bin-wise mutation counts. We used a negative binomial regression of the mutation counts against 475 genomic features across 229 cell types, including replication timing, chromatin accessibility</w:t>
      </w:r>
      <w:r w:rsidR="00CC1B01" w:rsidRPr="008058A0">
        <w:rPr>
          <w:color w:val="2F5496" w:themeColor="accent5" w:themeShade="BF"/>
        </w:rPr>
        <w:t>, histone modifications, methylation</w:t>
      </w:r>
      <w:r w:rsidRPr="008058A0">
        <w:rPr>
          <w:color w:val="2F5496" w:themeColor="accent5" w:themeShade="BF"/>
        </w:rPr>
        <w:t>, Hi-C, and expression profiles. In contrast to methods that use data from unmatched cell types, our approach automatically selects the most relevant features, thereby providing considerable improvements in BMR estimation (Fig</w:t>
      </w:r>
      <w:r w:rsidR="007541FE" w:rsidRPr="008058A0">
        <w:rPr>
          <w:color w:val="2F5496" w:themeColor="accent5" w:themeShade="BF"/>
        </w:rPr>
        <w:t>.</w:t>
      </w:r>
      <w:r w:rsidRPr="008058A0">
        <w:rPr>
          <w:color w:val="2F5496" w:themeColor="accent5" w:themeShade="BF"/>
        </w:rPr>
        <w:t xml:space="preserve"> 2A). For example, using matched replication timing data in multiple cancer types significantly outperforms </w:t>
      </w:r>
      <w:r w:rsidR="005E01D2" w:rsidRPr="008058A0">
        <w:rPr>
          <w:color w:val="2F5496" w:themeColor="accent5" w:themeShade="BF"/>
        </w:rPr>
        <w:t xml:space="preserve">an approach in which one restricts the analysis to </w:t>
      </w:r>
      <w:r w:rsidRPr="008058A0">
        <w:rPr>
          <w:color w:val="2F5496" w:themeColor="accent5" w:themeShade="BF"/>
        </w:rPr>
        <w:t>replication timing data from the unmatched HeLa-S3 cell line. Moreover, combining many different genomic features significantly improves the estimation accuracy (Fig</w:t>
      </w:r>
      <w:r w:rsidR="007541FE" w:rsidRPr="008058A0">
        <w:rPr>
          <w:color w:val="2F5496" w:themeColor="accent5" w:themeShade="BF"/>
        </w:rPr>
        <w:t>.</w:t>
      </w:r>
      <w:r w:rsidRPr="008058A0">
        <w:rPr>
          <w:color w:val="2F5496" w:themeColor="accent5" w:themeShade="BF"/>
        </w:rPr>
        <w: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8058A0">
        <w:rPr>
          <w:color w:val="2F5496" w:themeColor="accent5" w:themeShade="BF"/>
        </w:rPr>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rsidRPr="008058A0">
        <w:rPr>
          <w:color w:val="2F5496" w:themeColor="accent5" w:themeShade="BF"/>
        </w:rPr>
        <w:instrText xml:space="preserve"> ADDIN EN.CITE </w:instrText>
      </w:r>
      <w:r w:rsidR="00BA5BE4" w:rsidRPr="008058A0">
        <w:rPr>
          <w:color w:val="2F5496" w:themeColor="accent5" w:themeShade="BF"/>
        </w:rPr>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rsidRPr="008058A0">
        <w:rPr>
          <w:color w:val="2F5496" w:themeColor="accent5" w:themeShade="BF"/>
        </w:rPr>
        <w:instrText xml:space="preserve"> ADDIN EN.CITE.DATA </w:instrText>
      </w:r>
      <w:r w:rsidR="00BA5BE4" w:rsidRPr="008058A0">
        <w:rPr>
          <w:color w:val="2F5496" w:themeColor="accent5" w:themeShade="BF"/>
        </w:rPr>
      </w:r>
      <w:r w:rsidR="00BA5BE4" w:rsidRPr="008058A0">
        <w:rPr>
          <w:color w:val="2F5496" w:themeColor="accent5" w:themeShade="BF"/>
        </w:rPr>
        <w:fldChar w:fldCharType="end"/>
      </w:r>
      <w:r w:rsidR="00072606" w:rsidRPr="008058A0">
        <w:rPr>
          <w:color w:val="2F5496" w:themeColor="accent5" w:themeShade="BF"/>
        </w:rPr>
      </w:r>
      <w:r w:rsidR="00072606" w:rsidRPr="008058A0">
        <w:rPr>
          <w:color w:val="2F5496" w:themeColor="accent5" w:themeShade="BF"/>
        </w:rPr>
        <w:fldChar w:fldCharType="separate"/>
      </w:r>
      <w:r w:rsidR="00BA5BE4" w:rsidRPr="008058A0">
        <w:rPr>
          <w:noProof/>
          <w:color w:val="2F5496" w:themeColor="accent5" w:themeShade="BF"/>
          <w:vertAlign w:val="superscript"/>
        </w:rPr>
        <w:t>12-14</w:t>
      </w:r>
      <w:r w:rsidR="00072606" w:rsidRPr="008058A0">
        <w:rPr>
          <w:color w:val="2F5496" w:themeColor="accent5" w:themeShade="BF"/>
        </w:rPr>
        <w:fldChar w:fldCharType="end"/>
      </w:r>
      <w:r w:rsidRPr="008058A0">
        <w:rPr>
          <w:color w:val="2F5496" w:themeColor="accent5" w:themeShade="BF"/>
        </w:rPr>
        <w:t>. Also, due to the correlated nature of genomic features across cell types, even approximate matching of a specific cancer type to a particular ENCODE cell line can still improve BMR estimation (</w:t>
      </w:r>
      <w:r w:rsidR="00027DE4" w:rsidRPr="008058A0">
        <w:rPr>
          <w:color w:val="2F5496" w:themeColor="accent5" w:themeShade="BF"/>
        </w:rPr>
        <w:t>see suppl.</w:t>
      </w:r>
      <w:r w:rsidRPr="008058A0">
        <w:rPr>
          <w:color w:val="2F5496" w:themeColor="accent5" w:themeShade="BF"/>
        </w:rPr>
        <w:t>). Hence, our analyses may easily be extended to many cancer types.</w:t>
      </w:r>
    </w:p>
    <w:p w14:paraId="4337A578" w14:textId="2A1AB0EF" w:rsidR="000E2BB7" w:rsidRPr="000E2BB7" w:rsidRDefault="000E2BB7" w:rsidP="000E2BB7">
      <w:pPr>
        <w:pStyle w:val="Heading2"/>
        <w:jc w:val="both"/>
      </w:pPr>
      <w:r w:rsidRPr="000E2BB7">
        <w:t xml:space="preserve">A focused, compact annotation </w:t>
      </w:r>
      <w:r w:rsidRPr="00812A42">
        <w:t>increases</w:t>
      </w:r>
      <w:r w:rsidRPr="000E2BB7">
        <w:t xml:space="preserve"> power for detecting cancer drivers</w:t>
      </w:r>
    </w:p>
    <w:p w14:paraId="5FE2E965" w14:textId="456CEA42"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see suppl.</w:t>
      </w:r>
      <w:r w:rsidR="00FF46FF" w:rsidRPr="00126B5D">
        <w:t>)</w:t>
      </w:r>
      <w:r w:rsidRPr="00126B5D">
        <w:t>. Here, we aim to increase the power of burden tests by creating a focused, compact annotation for a given cell type.</w:t>
      </w:r>
    </w:p>
    <w:p w14:paraId="43741DF9" w14:textId="5CF258D6"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see suppl.</w:t>
      </w:r>
      <w:r w:rsidRPr="00126B5D">
        <w:t>). Hence, we</w:t>
      </w:r>
      <w:r w:rsidR="00C942F2">
        <w:t xml:space="preserve"> </w:t>
      </w:r>
      <w:r w:rsidRPr="00126B5D">
        <w:t xml:space="preserve">trimmed the conventional annotations to key "functional </w:t>
      </w:r>
      <w:r w:rsidRPr="00126B5D">
        <w:lastRenderedPageBreak/>
        <w:t xml:space="preserve">territories" by using the well-known small territories of TF-binding sites and the shapes of various genomic signals (e.g., the well-known double-hump of H3K27ac around enhancers, </w:t>
      </w:r>
      <w:r w:rsidR="00027DE4">
        <w:t>see suppl.</w:t>
      </w:r>
      <w:r w:rsidRPr="00126B5D">
        <w:t>).</w:t>
      </w:r>
    </w:p>
    <w:p w14:paraId="40D67FA5" w14:textId="648C4CEB"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DNase-seq </w:t>
      </w:r>
      <w:r w:rsidR="00FD300A">
        <w:t xml:space="preserve">experiments </w:t>
      </w:r>
      <w:r w:rsidRPr="00126B5D">
        <w:t>and a battery of up to 10 histone modification marks</w:t>
      </w:r>
      <w:r w:rsidR="009949C6">
        <w:t xml:space="preserve"> to predict enhancers</w:t>
      </w:r>
      <w:r w:rsidRPr="00126B5D">
        <w:t xml:space="preserve">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see suppl.</w:t>
      </w:r>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see suppl.</w:t>
      </w:r>
      <w:r w:rsidRPr="003353C4">
        <w:rPr>
          <w:color w:val="000000" w:themeColor="text1"/>
        </w:rPr>
        <w:t>).</w:t>
      </w:r>
    </w:p>
    <w:p w14:paraId="50FDC669" w14:textId="56332B30" w:rsidR="00ED641D" w:rsidRPr="00ED641D" w:rsidRDefault="00D44355" w:rsidP="00ED641D">
      <w:pPr>
        <w:pStyle w:val="Heading2"/>
        <w:jc w:val="both"/>
      </w:pPr>
      <w:r>
        <w:t xml:space="preserve">An </w:t>
      </w:r>
      <w:r w:rsidR="00ED641D" w:rsidRPr="00ED641D">
        <w:t xml:space="preserve">extended gene annotation </w:t>
      </w:r>
      <w:r>
        <w:t>by l</w:t>
      </w:r>
      <w:r w:rsidRPr="00ED641D">
        <w:t>inking non-coding elements</w:t>
      </w:r>
      <w:r w:rsidR="005D037B">
        <w:t xml:space="preserve"> to genes</w:t>
      </w:r>
      <w:r w:rsidRPr="00ED641D">
        <w:t xml:space="preserve"> </w:t>
      </w:r>
      <w:r w:rsidR="00ED641D" w:rsidRPr="00ED641D">
        <w:t>(for better cancer driver detection)</w:t>
      </w:r>
    </w:p>
    <w:p w14:paraId="704EFF87" w14:textId="3CC4B7E7" w:rsidR="0076222A" w:rsidRPr="0076222A" w:rsidRDefault="0076222A" w:rsidP="0076222A">
      <w:pPr>
        <w:pStyle w:val="NoSpacing"/>
        <w:rPr>
          <w:color w:val="000000" w:themeColor="text1"/>
        </w:rPr>
      </w:pPr>
      <w:r w:rsidRPr="0076222A">
        <w:rPr>
          <w:color w:val="000000" w:themeColor="text1"/>
        </w:rPr>
        <w:t>To increase statistical power, a final part of our "compact" annotation entails linking non</w:t>
      </w:r>
      <w:r w:rsidR="00E64082">
        <w:rPr>
          <w:color w:val="000000" w:themeColor="text1"/>
        </w:rPr>
        <w:t>-</w:t>
      </w:r>
      <w:r w:rsidRPr="0076222A">
        <w:rPr>
          <w:color w:val="000000" w:themeColor="text1"/>
        </w:rPr>
        <w:t xml:space="preserve">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431E7738" w14:textId="73C7F51D" w:rsidR="00317A7B" w:rsidRPr="008058A0" w:rsidRDefault="0076222A" w:rsidP="00B27754">
      <w:pPr>
        <w:pStyle w:val="NoSpacing"/>
        <w:rPr>
          <w:color w:val="2F5496" w:themeColor="accent5" w:themeShade="BF"/>
        </w:rPr>
      </w:pPr>
      <w:r w:rsidRPr="008058A0">
        <w:rPr>
          <w:color w:val="2F5496" w:themeColor="accent5" w:themeShade="BF"/>
        </w:rPr>
        <w:t>By integrating our compact annotation sets, BMR estimates, and accurate extended gene definitions, we were able to obtain maximal power for detecting genomic regions (coding and non-coding) that are mutationally burdened. Fig. 2</w:t>
      </w:r>
      <w:r w:rsidR="00C15E6E" w:rsidRPr="008058A0">
        <w:rPr>
          <w:color w:val="2F5496" w:themeColor="accent5" w:themeShade="BF"/>
        </w:rPr>
        <w:t>D</w:t>
      </w:r>
      <w:r w:rsidRPr="008058A0">
        <w:rPr>
          <w:color w:val="2F5496" w:themeColor="accent5" w:themeShade="BF"/>
        </w:rPr>
        <w:t xml:space="preserve"> illustrates the greater power in detecting mutationally burdened non-coding regions in several well-known cancer cohorts. For example, in the context of chronic lymphocytic leukemia (CLL), our analyses identified well-known highly mutated genes (such as TP53 and ATM</w:t>
      </w:r>
      <w:r w:rsidR="00F97C16" w:rsidRPr="008058A0">
        <w:rPr>
          <w:color w:val="2F5496" w:themeColor="accent5" w:themeShade="BF"/>
        </w:rPr>
        <w:t>)</w:t>
      </w:r>
      <w:r w:rsidRPr="008058A0">
        <w:rPr>
          <w:color w:val="2F5496" w:themeColor="accent5" w:themeShade="BF"/>
        </w:rPr>
        <w:t xml:space="preserve"> that have been reported from previous analyses</w:t>
      </w:r>
      <w:r w:rsidR="00DF4EBF" w:rsidRPr="008058A0">
        <w:rPr>
          <w:color w:val="2F5496" w:themeColor="accent5" w:themeShade="BF"/>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sidRPr="008058A0">
        <w:rPr>
          <w:color w:val="2F5496" w:themeColor="accent5" w:themeShade="BF"/>
        </w:rPr>
        <w:instrText xml:space="preserve"> ADDIN EN.CITE </w:instrText>
      </w:r>
      <w:r w:rsidR="00615327" w:rsidRPr="008058A0">
        <w:rPr>
          <w:color w:val="2F5496" w:themeColor="accent5" w:themeShade="BF"/>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sidRPr="008058A0">
        <w:rPr>
          <w:color w:val="2F5496" w:themeColor="accent5" w:themeShade="BF"/>
        </w:rPr>
        <w:instrText xml:space="preserve"> ADDIN EN.CITE.DATA </w:instrText>
      </w:r>
      <w:r w:rsidR="00615327" w:rsidRPr="008058A0">
        <w:rPr>
          <w:color w:val="2F5496" w:themeColor="accent5" w:themeShade="BF"/>
        </w:rPr>
      </w:r>
      <w:r w:rsidR="00615327" w:rsidRPr="008058A0">
        <w:rPr>
          <w:color w:val="2F5496" w:themeColor="accent5" w:themeShade="BF"/>
        </w:rPr>
        <w:fldChar w:fldCharType="end"/>
      </w:r>
      <w:r w:rsidR="00DF4EBF" w:rsidRPr="008058A0">
        <w:rPr>
          <w:color w:val="2F5496" w:themeColor="accent5" w:themeShade="BF"/>
        </w:rPr>
      </w:r>
      <w:r w:rsidR="00DF4EBF" w:rsidRPr="008058A0">
        <w:rPr>
          <w:color w:val="2F5496" w:themeColor="accent5" w:themeShade="BF"/>
        </w:rPr>
        <w:fldChar w:fldCharType="separate"/>
      </w:r>
      <w:r w:rsidR="00615327" w:rsidRPr="008058A0">
        <w:rPr>
          <w:noProof/>
          <w:color w:val="2F5496" w:themeColor="accent5" w:themeShade="BF"/>
          <w:vertAlign w:val="superscript"/>
        </w:rPr>
        <w:t>23,24</w:t>
      </w:r>
      <w:r w:rsidR="00DF4EBF" w:rsidRPr="008058A0">
        <w:rPr>
          <w:color w:val="2F5496" w:themeColor="accent5" w:themeShade="BF"/>
        </w:rPr>
        <w:fldChar w:fldCharType="end"/>
      </w:r>
      <w:r w:rsidRPr="008058A0">
        <w:rPr>
          <w:color w:val="2F5496" w:themeColor="accent5" w:themeShade="BF"/>
        </w:rPr>
        <w:t xml:space="preserve">. </w:t>
      </w:r>
      <w:r w:rsidR="00106AC6" w:rsidRPr="008058A0">
        <w:rPr>
          <w:color w:val="2F5496" w:themeColor="accent5" w:themeShade="BF"/>
        </w:rPr>
        <w:t xml:space="preserve">More importantly, the increased power provided by the extended-gene annotation allowed us to detect genes that would otherwise be missed by an exclusively coding analysis. An example of this is the well-known cancer gene BCL6, which may be associated with patient survival </w:t>
      </w:r>
      <w:r w:rsidR="00324C9F" w:rsidRPr="008058A0">
        <w:rPr>
          <w:color w:val="2F5496" w:themeColor="accent5" w:themeShade="BF"/>
        </w:rPr>
        <w:t>(Fig. 2</w:t>
      </w:r>
      <w:r w:rsidR="0000681A" w:rsidRPr="008058A0">
        <w:rPr>
          <w:color w:val="2F5496" w:themeColor="accent5" w:themeShade="BF"/>
        </w:rPr>
        <w:t>E</w:t>
      </w:r>
      <w:r w:rsidR="00B4023D" w:rsidRPr="008058A0">
        <w:rPr>
          <w:color w:val="2F5496" w:themeColor="accent5" w:themeShade="BF"/>
        </w:rPr>
        <w:t xml:space="preserve"> and refs. </w:t>
      </w:r>
      <w:r w:rsidR="00B27754" w:rsidRPr="008058A0">
        <w:rPr>
          <w:color w:val="2F5496" w:themeColor="accent5" w:themeShade="BF"/>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sidRPr="008058A0">
        <w:rPr>
          <w:color w:val="2F5496" w:themeColor="accent5" w:themeShade="BF"/>
        </w:rPr>
        <w:instrText xml:space="preserve"> ADDIN EN.CITE </w:instrText>
      </w:r>
      <w:r w:rsidR="00615327" w:rsidRPr="008058A0">
        <w:rPr>
          <w:color w:val="2F5496" w:themeColor="accent5" w:themeShade="BF"/>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sidRPr="008058A0">
        <w:rPr>
          <w:color w:val="2F5496" w:themeColor="accent5" w:themeShade="BF"/>
        </w:rPr>
        <w:instrText xml:space="preserve"> ADDIN EN.CITE.DATA </w:instrText>
      </w:r>
      <w:r w:rsidR="00615327" w:rsidRPr="008058A0">
        <w:rPr>
          <w:color w:val="2F5496" w:themeColor="accent5" w:themeShade="BF"/>
        </w:rPr>
      </w:r>
      <w:r w:rsidR="00615327" w:rsidRPr="008058A0">
        <w:rPr>
          <w:color w:val="2F5496" w:themeColor="accent5" w:themeShade="BF"/>
        </w:rPr>
        <w:fldChar w:fldCharType="end"/>
      </w:r>
      <w:r w:rsidR="00B27754" w:rsidRPr="008058A0">
        <w:rPr>
          <w:color w:val="2F5496" w:themeColor="accent5" w:themeShade="BF"/>
        </w:rPr>
      </w:r>
      <w:r w:rsidR="00B27754" w:rsidRPr="008058A0">
        <w:rPr>
          <w:color w:val="2F5496" w:themeColor="accent5" w:themeShade="BF"/>
        </w:rPr>
        <w:fldChar w:fldCharType="separate"/>
      </w:r>
      <w:r w:rsidR="00615327" w:rsidRPr="008058A0">
        <w:rPr>
          <w:noProof/>
          <w:color w:val="2F5496" w:themeColor="accent5" w:themeShade="BF"/>
          <w:vertAlign w:val="superscript"/>
        </w:rPr>
        <w:t>25-27</w:t>
      </w:r>
      <w:r w:rsidR="00B27754" w:rsidRPr="008058A0">
        <w:rPr>
          <w:color w:val="2F5496" w:themeColor="accent5" w:themeShade="BF"/>
        </w:rPr>
        <w:fldChar w:fldCharType="end"/>
      </w:r>
      <w:r w:rsidR="00B4023D" w:rsidRPr="008058A0">
        <w:rPr>
          <w:color w:val="2F5496" w:themeColor="accent5" w:themeShade="BF"/>
        </w:rPr>
        <w:t>)</w:t>
      </w:r>
      <w:r w:rsidR="00324C9F" w:rsidRPr="008058A0">
        <w:rPr>
          <w:color w:val="2F5496" w:themeColor="accent5" w:themeShade="BF"/>
        </w:rPr>
        <w:t>.</w:t>
      </w:r>
    </w:p>
    <w:p w14:paraId="3008E6C1" w14:textId="5D28D752" w:rsidR="00E80642" w:rsidRDefault="00E80642" w:rsidP="00E80642">
      <w:pPr>
        <w:pStyle w:val="Heading2"/>
        <w:jc w:val="both"/>
      </w:pPr>
      <w:r w:rsidRPr="00E80642">
        <w:t xml:space="preserve">Interpreting tumor expression profiles using ENCODE networks identifies key regulators </w:t>
      </w:r>
    </w:p>
    <w:p w14:paraId="1D91676E" w14:textId="405F5EE9" w:rsidR="00F54A55" w:rsidRPr="00F54A55" w:rsidRDefault="00F54A55" w:rsidP="00F54A55">
      <w:pPr>
        <w:pStyle w:val="NoSpacing"/>
        <w:rPr>
          <w:color w:val="000000" w:themeColor="text1"/>
        </w:rPr>
      </w:pPr>
      <w:r w:rsidRPr="00244A21">
        <w:rPr>
          <w:color w:val="000000" w:themeColor="text1"/>
        </w:rPr>
        <w:t xml:space="preserve">Building on the extended gene annotation, </w:t>
      </w:r>
      <w:r w:rsidR="00E22171" w:rsidRPr="00244A21">
        <w:rPr>
          <w:color w:val="000000" w:themeColor="text1"/>
        </w:rPr>
        <w:t xml:space="preserve">we </w:t>
      </w:r>
      <w:r w:rsidRPr="00244A21">
        <w:rPr>
          <w:color w:val="000000" w:themeColor="text1"/>
        </w:rPr>
        <w:t xml:space="preserve">provide detailed regulatory networks. Specifically, for TF networks, we incorporated both distal and proximal networks by linking TFs to genes, either directly by TF-promoter binding or indirectly via TF-enhancer-gene interactions </w:t>
      </w:r>
      <w:r w:rsidRPr="00244A21">
        <w:rPr>
          <w:color w:val="000000" w:themeColor="text1"/>
        </w:rPr>
        <w:lastRenderedPageBreak/>
        <w:t>in each cell type (</w:t>
      </w:r>
      <w:r w:rsidR="00027DE4" w:rsidRPr="00244A21">
        <w:rPr>
          <w:color w:val="000000" w:themeColor="text1"/>
        </w:rPr>
        <w:t>see suppl.</w:t>
      </w:r>
      <w:r w:rsidR="00525C6A">
        <w:rPr>
          <w:rStyle w:val="FootnoteReference"/>
          <w:color w:val="000000" w:themeColor="text1"/>
        </w:rPr>
        <w:footnoteReference w:id="2"/>
      </w:r>
      <w:r w:rsidR="00E22171" w:rsidRPr="00244A21">
        <w:rPr>
          <w:color w:val="000000" w:themeColor="text1"/>
        </w:rPr>
        <w:t xml:space="preserve">). </w:t>
      </w:r>
      <w:r w:rsidRPr="00244A21">
        <w:rPr>
          <w:color w:val="000000" w:themeColor="text1"/>
        </w:rPr>
        <w:t>We then pruned these networks to include only the strongest edges using a signal shape algorithm</w:t>
      </w:r>
      <w:r w:rsidR="00072606" w:rsidRPr="00244A21">
        <w:rPr>
          <w:color w:val="000000" w:themeColor="text1"/>
        </w:rPr>
        <w:fldChar w:fldCharType="begin"/>
      </w:r>
      <w:r w:rsidR="00615327" w:rsidRPr="00244A21">
        <w:rPr>
          <w:color w:val="000000" w:themeColor="text1"/>
        </w:rPr>
        <w:instrText xml:space="preserve"> ADDIN EN.CITE &lt;EndNote&gt;&lt;Cite&gt;&lt;Author&gt;Cheng&lt;/Author&gt;&lt;Year&gt;2011&lt;/Year&gt;&lt;RecNum&gt;19&lt;/RecNum&gt;&lt;DisplayText&gt;&lt;style face="superscript"&gt;28&lt;/style&gt;&lt;/DisplayText&gt;&lt;record&gt;&lt;rec-number&gt;19&lt;/rec-number&gt;&lt;foreign-keys&gt;&lt;key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sidRPr="00244A21">
        <w:rPr>
          <w:color w:val="000000" w:themeColor="text1"/>
        </w:rPr>
        <w:fldChar w:fldCharType="separate"/>
      </w:r>
      <w:r w:rsidR="00615327" w:rsidRPr="00244A21">
        <w:rPr>
          <w:noProof/>
          <w:color w:val="000000" w:themeColor="text1"/>
          <w:vertAlign w:val="superscript"/>
        </w:rPr>
        <w:t>28</w:t>
      </w:r>
      <w:r w:rsidR="00072606" w:rsidRPr="00244A21">
        <w:rPr>
          <w:color w:val="000000" w:themeColor="text1"/>
        </w:rPr>
        <w:fldChar w:fldCharType="end"/>
      </w:r>
      <w:r w:rsidR="007E7750" w:rsidRPr="00244A21">
        <w:rPr>
          <w:color w:val="000000" w:themeColor="text1"/>
        </w:rPr>
        <w:t xml:space="preserve"> (see suppl.)</w:t>
      </w:r>
      <w:r w:rsidRPr="00244A21">
        <w:rPr>
          <w:color w:val="000000" w:themeColor="text1"/>
        </w:rPr>
        <w:t>.</w:t>
      </w:r>
      <w:r w:rsidRPr="00F54A55">
        <w:rPr>
          <w:color w:val="000000" w:themeColor="text1"/>
        </w:rPr>
        <w:t xml:space="preserve"> In addition, we reconciled all our </w:t>
      </w:r>
      <w:r w:rsidR="00B257E7">
        <w:rPr>
          <w:color w:val="000000" w:themeColor="text1"/>
        </w:rPr>
        <w:t>cell-type specific</w:t>
      </w:r>
      <w:r w:rsidRPr="00F54A55">
        <w:rPr>
          <w:color w:val="000000" w:themeColor="text1"/>
        </w:rPr>
        <w:t xml:space="preserve">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from eCLIP experiments</w:t>
      </w:r>
      <w:r w:rsidR="00B4023D">
        <w:rPr>
          <w:color w:val="000000" w:themeColor="text1"/>
        </w:rPr>
        <w:t>. (eCLIP</w:t>
      </w:r>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A8346F">
        <w:rPr>
          <w:color w:val="000000" w:themeColor="text1"/>
        </w:rPr>
      </w:r>
      <w:r w:rsidR="00A8346F">
        <w:rPr>
          <w:color w:val="000000" w:themeColor="text1"/>
        </w:rPr>
        <w:fldChar w:fldCharType="separate"/>
      </w:r>
      <w:r w:rsidR="00615327" w:rsidRPr="00615327">
        <w:rPr>
          <w:noProof/>
          <w:color w:val="000000" w:themeColor="text1"/>
          <w:vertAlign w:val="superscript"/>
        </w:rPr>
        <w:t>29</w:t>
      </w:r>
      <w:r w:rsidR="00A8346F">
        <w:rPr>
          <w:color w:val="000000" w:themeColor="text1"/>
        </w:rPr>
        <w:fldChar w:fldCharType="end"/>
      </w:r>
      <w:r w:rsidR="00B4023D">
        <w:rPr>
          <w:color w:val="000000" w:themeColor="text1"/>
        </w:rPr>
        <w:t>)</w:t>
      </w:r>
      <w:r w:rsidR="0055597C" w:rsidRPr="0055597C">
        <w:rPr>
          <w:color w:val="000000" w:themeColor="text1"/>
        </w:rPr>
        <w:t xml:space="preserve">. </w:t>
      </w:r>
      <w:r w:rsidRPr="00F54A55">
        <w:rPr>
          <w:color w:val="000000" w:themeColor="text1"/>
        </w:rPr>
        <w:t xml:space="preserve">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5C1FFB8B" w:rsidR="00F54A55" w:rsidRPr="00F54A55" w:rsidRDefault="002B1739" w:rsidP="00F54A55">
      <w:pPr>
        <w:pStyle w:val="NoSpacing"/>
        <w:rPr>
          <w:color w:val="000000" w:themeColor="text1"/>
        </w:rPr>
      </w:pPr>
      <w:r w:rsidRPr="002B1739">
        <w:rPr>
          <w:color w:val="000000" w:themeColor="text1"/>
        </w:rPr>
        <w:t>ENCODE networks are useful for interpreting gene-expression data from tumor samples. To enable this, we integrated 8,202 tumor expression profiles from TCGA, using a regression-based approach, to systematically search for the TFs and RBPs that most strongly drive tumor-specific expression (see suppl.).</w:t>
      </w:r>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49A1AD69" w:rsidR="008B0305" w:rsidRPr="008B0305" w:rsidRDefault="008058A0" w:rsidP="008B0305">
      <w:pPr>
        <w:pStyle w:val="NoSpacing"/>
        <w:rPr>
          <w:color w:val="000000" w:themeColor="text1"/>
        </w:rPr>
      </w:pPr>
      <w:r w:rsidRPr="008058A0">
        <w:rPr>
          <w:color w:val="538135" w:themeColor="accent6" w:themeShade="BF"/>
        </w:rPr>
        <w:t xml:space="preserve">(ADD MYC on other platforms) </w:t>
      </w:r>
      <w:r w:rsidR="00F54A55" w:rsidRPr="00E4620F">
        <w:rPr>
          <w:color w:val="000000" w:themeColor="text1"/>
        </w:rPr>
        <w:t>As expected</w:t>
      </w:r>
      <w:r w:rsidR="00295512">
        <w:rPr>
          <w:color w:val="000000" w:themeColor="text1"/>
        </w:rPr>
        <w:t>,</w:t>
      </w:r>
      <w:r w:rsidR="00F54A55" w:rsidRPr="00E4620F">
        <w:rPr>
          <w:color w:val="000000" w:themeColor="text1"/>
        </w:rPr>
        <w:t xml:space="preserve"> we found that the target genes of MYC are significantly up-regu</w:t>
      </w:r>
      <w:r w:rsidR="00B6347D" w:rsidRPr="00E4620F">
        <w:rPr>
          <w:color w:val="000000" w:themeColor="text1"/>
        </w:rPr>
        <w:t>lated in numerous cancer types,</w:t>
      </w:r>
      <w:r w:rsidR="00F54A55"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615327" w:rsidRPr="00615327">
        <w:rPr>
          <w:noProof/>
          <w:color w:val="000000" w:themeColor="text1"/>
          <w:vertAlign w:val="superscript"/>
        </w:rPr>
        <w:t>30,31</w:t>
      </w:r>
      <w:r w:rsidR="00072606" w:rsidRPr="00E4620F">
        <w:rPr>
          <w:color w:val="000000" w:themeColor="text1"/>
        </w:rPr>
        <w:fldChar w:fldCharType="end"/>
      </w:r>
      <w:r w:rsidR="00F54A55" w:rsidRPr="00E4620F">
        <w:rPr>
          <w:color w:val="000000" w:themeColor="text1"/>
        </w:rPr>
        <w:t>.</w:t>
      </w:r>
      <w:r w:rsidR="00F54A55" w:rsidRPr="00F54A55">
        <w:rPr>
          <w:color w:val="000000" w:themeColor="text1"/>
        </w:rPr>
        <w:t xml:space="preserve"> We further validated MYC's regulatory effects using knockdown experiments in breast cancer (Fig</w:t>
      </w:r>
      <w:r w:rsidR="00A8346F">
        <w:rPr>
          <w:color w:val="000000" w:themeColor="text1"/>
        </w:rPr>
        <w:t>.</w:t>
      </w:r>
      <w:r w:rsidR="00F54A55"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00F54A55" w:rsidRPr="00F54A55">
        <w:rPr>
          <w:color w:val="000000" w:themeColor="text1"/>
        </w:rPr>
        <w:t xml:space="preserve"> 3B). We then used the regulatory network to investigate how MYC works with other TFs. We first looked at MYC's target genes </w:t>
      </w:r>
      <w:r w:rsidR="00B6347D">
        <w:rPr>
          <w:color w:val="000000" w:themeColor="text1"/>
        </w:rPr>
        <w:t>co-regulated</w:t>
      </w:r>
      <w:r w:rsidR="00F54A55" w:rsidRPr="00F54A55">
        <w:rPr>
          <w:color w:val="000000" w:themeColor="text1"/>
        </w:rPr>
        <w:t xml:space="preserve"> </w:t>
      </w:r>
      <w:r w:rsidR="00B6347D">
        <w:rPr>
          <w:color w:val="000000" w:themeColor="text1"/>
        </w:rPr>
        <w:t>by</w:t>
      </w:r>
      <w:r w:rsidR="00F54A55" w:rsidRPr="00F54A55">
        <w:rPr>
          <w:color w:val="000000" w:themeColor="text1"/>
        </w:rPr>
        <w:t xml:space="preserve"> a second TF, as shown in the triplets in Fig</w:t>
      </w:r>
      <w:r w:rsidR="00A8346F">
        <w:rPr>
          <w:color w:val="000000" w:themeColor="text1"/>
        </w:rPr>
        <w:t>.</w:t>
      </w:r>
      <w:r w:rsidR="00F54A55" w:rsidRPr="00F54A55">
        <w:rPr>
          <w:color w:val="000000" w:themeColor="text1"/>
        </w:rPr>
        <w:t xml:space="preserve"> 3C. </w:t>
      </w:r>
      <w:r w:rsidR="00F54A55" w:rsidRPr="008058A0">
        <w:rPr>
          <w:color w:val="2F5496" w:themeColor="accent5" w:themeShade="BF"/>
        </w:rPr>
        <w:t>In all cancer types, we found that the shared target genes' expression</w:t>
      </w:r>
      <w:r w:rsidR="00DB18EA" w:rsidRPr="008058A0">
        <w:rPr>
          <w:color w:val="2F5496" w:themeColor="accent5" w:themeShade="BF"/>
        </w:rPr>
        <w:t>s</w:t>
      </w:r>
      <w:r w:rsidR="00F54A55" w:rsidRPr="008058A0">
        <w:rPr>
          <w:color w:val="2F5496" w:themeColor="accent5" w:themeShade="BF"/>
        </w:rPr>
        <w:t xml:space="preserve"> are strongly positively correlated with MYC, while they showed only limited correlation with the second TF (as determined by partial correlation analysis, </w:t>
      </w:r>
      <w:r w:rsidR="00027DE4" w:rsidRPr="008058A0">
        <w:rPr>
          <w:color w:val="2F5496" w:themeColor="accent5" w:themeShade="BF"/>
        </w:rPr>
        <w:t>see suppl.</w:t>
      </w:r>
      <w:r w:rsidR="00DB18EA" w:rsidRPr="008058A0">
        <w:rPr>
          <w:color w:val="2F5496" w:themeColor="accent5" w:themeShade="BF"/>
        </w:rPr>
        <w:t>).</w:t>
      </w:r>
      <w:r w:rsidR="00FE74FC" w:rsidRPr="008058A0">
        <w:rPr>
          <w:color w:val="2F5496" w:themeColor="accent5" w:themeShade="BF"/>
        </w:rPr>
        <w:t xml:space="preserve"> </w:t>
      </w:r>
      <w:r w:rsidR="00F54A55" w:rsidRPr="008058A0">
        <w:rPr>
          <w:color w:val="2F5496" w:themeColor="accent5" w:themeShade="BF"/>
        </w:rPr>
        <w:t>We further investigated the exact structure of these regulatory triplets. The most common one is the well-understood feed-forward loop (FFL). In this case, MYC regulates both another TF and a common target of both MYC and that TF (Fig</w:t>
      </w:r>
      <w:r w:rsidR="00A8346F" w:rsidRPr="008058A0">
        <w:rPr>
          <w:color w:val="2F5496" w:themeColor="accent5" w:themeShade="BF"/>
        </w:rPr>
        <w:t>.</w:t>
      </w:r>
      <w:r w:rsidR="00F54A55" w:rsidRPr="008058A0">
        <w:rPr>
          <w:color w:val="2F5496" w:themeColor="accent5" w:themeShade="BF"/>
        </w:rPr>
        <w:t xml:space="preserve"> 3C). Since MYC amplification </w:t>
      </w:r>
      <w:r w:rsidR="00D65796" w:rsidRPr="008058A0">
        <w:rPr>
          <w:color w:val="2F5496" w:themeColor="accent5" w:themeShade="BF"/>
        </w:rPr>
        <w:t>has been discovered in</w:t>
      </w:r>
      <w:r w:rsidR="00F54A55" w:rsidRPr="008058A0">
        <w:rPr>
          <w:color w:val="2F5496" w:themeColor="accent5" w:themeShade="BF"/>
        </w:rPr>
        <w:t xml:space="preserve"> many cancers, understanding which TFs appear to further amplify its effects may yield insights for efforts aimed at MYC inhibition</w:t>
      </w:r>
      <w:r w:rsidR="00072606" w:rsidRPr="008058A0">
        <w:rPr>
          <w:color w:val="2F5496" w:themeColor="accent5" w:themeShade="BF"/>
        </w:rPr>
        <w:fldChar w:fldCharType="begin"/>
      </w:r>
      <w:r w:rsidR="00615327" w:rsidRPr="008058A0">
        <w:rPr>
          <w:color w:val="2F5496" w:themeColor="accent5" w:themeShade="BF"/>
        </w:rPr>
        <w:instrText xml:space="preserve"> ADDIN EN.CITE &lt;EndNote&gt;&lt;Cite&gt;&lt;Author&gt;McKeown&lt;/Author&gt;&lt;Year&gt;2014&lt;/Year&gt;&lt;RecNum&gt;21&lt;/RecNum&gt;&lt;DisplayText&gt;&lt;style face="superscript"&gt;31&lt;/style&gt;&lt;/DisplayText&gt;&lt;record&gt;&lt;rec-number&gt;21&lt;/rec-number&gt;&lt;foreign-keys&gt;&lt;key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sidRPr="008058A0">
        <w:rPr>
          <w:color w:val="2F5496" w:themeColor="accent5" w:themeShade="BF"/>
        </w:rPr>
        <w:fldChar w:fldCharType="separate"/>
      </w:r>
      <w:r w:rsidR="00615327" w:rsidRPr="008058A0">
        <w:rPr>
          <w:noProof/>
          <w:color w:val="2F5496" w:themeColor="accent5" w:themeShade="BF"/>
          <w:vertAlign w:val="superscript"/>
        </w:rPr>
        <w:t>31</w:t>
      </w:r>
      <w:r w:rsidR="00072606" w:rsidRPr="008058A0">
        <w:rPr>
          <w:color w:val="2F5496" w:themeColor="accent5" w:themeShade="BF"/>
        </w:rPr>
        <w:fldChar w:fldCharType="end"/>
      </w:r>
      <w:r w:rsidR="00F54A55" w:rsidRPr="008058A0">
        <w:rPr>
          <w:color w:val="2F5496" w:themeColor="accent5" w:themeShade="BF"/>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sidRPr="008058A0">
        <w:rPr>
          <w:color w:val="2F5496" w:themeColor="accent5" w:themeShade="BF"/>
        </w:rPr>
        <w:t>pression represents the output</w:t>
      </w:r>
      <w:r w:rsidR="00072606" w:rsidRPr="008058A0">
        <w:rPr>
          <w:color w:val="2F5496" w:themeColor="accent5" w:themeShade="BF"/>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sidRPr="008058A0">
        <w:rPr>
          <w:color w:val="2F5496" w:themeColor="accent5" w:themeShade="BF"/>
        </w:rPr>
        <w:instrText xml:space="preserve"> ADDIN EN.CITE </w:instrText>
      </w:r>
      <w:r w:rsidR="00615327" w:rsidRPr="008058A0">
        <w:rPr>
          <w:color w:val="2F5496" w:themeColor="accent5" w:themeShade="BF"/>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sidRPr="008058A0">
        <w:rPr>
          <w:color w:val="2F5496" w:themeColor="accent5" w:themeShade="BF"/>
        </w:rPr>
        <w:instrText xml:space="preserve"> ADDIN EN.CITE.DATA </w:instrText>
      </w:r>
      <w:r w:rsidR="00615327" w:rsidRPr="008058A0">
        <w:rPr>
          <w:color w:val="2F5496" w:themeColor="accent5" w:themeShade="BF"/>
        </w:rPr>
      </w:r>
      <w:r w:rsidR="00615327" w:rsidRPr="008058A0">
        <w:rPr>
          <w:color w:val="2F5496" w:themeColor="accent5" w:themeShade="BF"/>
        </w:rPr>
        <w:fldChar w:fldCharType="end"/>
      </w:r>
      <w:r w:rsidR="00072606" w:rsidRPr="008058A0">
        <w:rPr>
          <w:color w:val="2F5496" w:themeColor="accent5" w:themeShade="BF"/>
        </w:rPr>
      </w:r>
      <w:r w:rsidR="00072606" w:rsidRPr="008058A0">
        <w:rPr>
          <w:color w:val="2F5496" w:themeColor="accent5" w:themeShade="BF"/>
        </w:rPr>
        <w:fldChar w:fldCharType="separate"/>
      </w:r>
      <w:r w:rsidR="00615327" w:rsidRPr="008058A0">
        <w:rPr>
          <w:noProof/>
          <w:color w:val="2F5496" w:themeColor="accent5" w:themeShade="BF"/>
          <w:vertAlign w:val="superscript"/>
        </w:rPr>
        <w:t>32</w:t>
      </w:r>
      <w:r w:rsidR="00072606" w:rsidRPr="008058A0">
        <w:rPr>
          <w:color w:val="2F5496" w:themeColor="accent5" w:themeShade="BF"/>
        </w:rPr>
        <w:fldChar w:fldCharType="end"/>
      </w:r>
      <w:r w:rsidR="00F54A55" w:rsidRPr="008058A0">
        <w:rPr>
          <w:color w:val="2F5496" w:themeColor="accent5" w:themeShade="BF"/>
        </w:rPr>
        <w:t xml:space="preserve"> (see suppl.). We show that most of these gates follow either an OR </w:t>
      </w:r>
      <w:proofErr w:type="spellStart"/>
      <w:r w:rsidR="00F54A55" w:rsidRPr="008058A0">
        <w:rPr>
          <w:color w:val="2F5496" w:themeColor="accent5" w:themeShade="BF"/>
        </w:rPr>
        <w:t>or</w:t>
      </w:r>
      <w:proofErr w:type="spellEnd"/>
      <w:r w:rsidR="00F54A55" w:rsidRPr="008058A0">
        <w:rPr>
          <w:color w:val="2F5496" w:themeColor="accent5" w:themeShade="BF"/>
        </w:rPr>
        <w:t xml:space="preserve"> MYC-always-dominant logic gate.</w:t>
      </w:r>
      <w:r w:rsidR="008B0305" w:rsidRPr="008058A0">
        <w:rPr>
          <w:color w:val="2F5496" w:themeColor="accent5" w:themeShade="BF"/>
        </w:rPr>
        <w:t xml:space="preserve"> </w:t>
      </w:r>
      <w:r w:rsidR="008B0305" w:rsidRPr="000B2757">
        <w:rPr>
          <w:color w:val="000000" w:themeColor="text1"/>
        </w:rPr>
        <w:t>Thus, the ENCODE regulatory network not only helps identify key regulators, but also illustrates how these may work in combination.</w:t>
      </w:r>
    </w:p>
    <w:p w14:paraId="1A6C9136" w14:textId="511FB232" w:rsidR="00F54A55" w:rsidRDefault="008058A0" w:rsidP="00F54A55">
      <w:pPr>
        <w:pStyle w:val="NoSpacing"/>
        <w:rPr>
          <w:color w:val="000000" w:themeColor="text1"/>
        </w:rPr>
      </w:pPr>
      <w:r w:rsidRPr="008058A0">
        <w:rPr>
          <w:color w:val="538135" w:themeColor="accent6" w:themeShade="BF"/>
        </w:rPr>
        <w:t>(more SUB1 and RBFOX2)</w:t>
      </w:r>
      <w:r>
        <w:rPr>
          <w:color w:val="000000" w:themeColor="text1"/>
        </w:rPr>
        <w:t xml:space="preserve"> </w:t>
      </w:r>
      <w:r w:rsidR="00F54A55" w:rsidRPr="00F54A55">
        <w:rPr>
          <w:color w:val="000000" w:themeColor="text1"/>
        </w:rPr>
        <w:t xml:space="preserve">We analyzed the RBP network </w:t>
      </w:r>
      <w:r w:rsidR="00A15B78">
        <w:rPr>
          <w:color w:val="000000" w:themeColor="text1"/>
        </w:rPr>
        <w:t>in a similar manner</w:t>
      </w:r>
      <w:r w:rsidR="00A15B78" w:rsidRPr="00F54A55">
        <w:rPr>
          <w:color w:val="000000" w:themeColor="text1"/>
        </w:rPr>
        <w:t xml:space="preserve"> </w:t>
      </w:r>
      <w:r w:rsidR="00F54A55" w:rsidRPr="00F54A55">
        <w:rPr>
          <w:color w:val="000000" w:themeColor="text1"/>
        </w:rPr>
        <w:t>to the TF network, finding key regulators associated with cancer (see suppl.).</w:t>
      </w:r>
      <w:r w:rsidR="0055597C">
        <w:rPr>
          <w:color w:val="000000" w:themeColor="text1"/>
        </w:rPr>
        <w:t xml:space="preserve"> </w:t>
      </w:r>
      <w:r w:rsidR="00F54A55" w:rsidRPr="00F54A55">
        <w:rPr>
          <w:color w:val="000000" w:themeColor="text1"/>
        </w:rPr>
        <w:t>For example, the ENCODE eCLIP profile for the RBP SUB1 has peaks enriched on the 3'UTR regions of genes, and the predicted targets of SUB1 were significantly up-regulated in many cancer types (Fig. 3</w:t>
      </w:r>
      <w:r w:rsidR="00F410DD">
        <w:rPr>
          <w:color w:val="000000" w:themeColor="text1"/>
        </w:rPr>
        <w:t>D</w:t>
      </w:r>
      <w:r w:rsidR="00F54A55" w:rsidRPr="00F54A55">
        <w:rPr>
          <w:color w:val="000000" w:themeColor="text1"/>
        </w:rPr>
        <w:t xml:space="preserve">). As an RBP, SUB1 has not previously been associated with cancer, so we sought to validate its role. </w:t>
      </w:r>
      <w:r w:rsidR="00F54A55" w:rsidRPr="008058A0">
        <w:rPr>
          <w:color w:val="2F5496" w:themeColor="accent5" w:themeShade="BF"/>
        </w:rPr>
        <w:t>Knocking down SUB1 in HepG2 cells significantly down-regulated its targets (Fig. 3D), and the decay rate of SUB1 targets is significantly lower than those of non-targets (</w:t>
      </w:r>
      <w:r w:rsidR="00027DE4" w:rsidRPr="008058A0">
        <w:rPr>
          <w:color w:val="2F5496" w:themeColor="accent5" w:themeShade="BF"/>
        </w:rPr>
        <w:t>see suppl.</w:t>
      </w:r>
      <w:r w:rsidR="00F54A55" w:rsidRPr="008058A0">
        <w:rPr>
          <w:color w:val="2F5496" w:themeColor="accent5" w:themeShade="BF"/>
        </w:rPr>
        <w:t xml:space="preserve">). Moreover, </w:t>
      </w:r>
      <w:r w:rsidR="007B73AC" w:rsidRPr="008058A0">
        <w:rPr>
          <w:color w:val="2F5496" w:themeColor="accent5" w:themeShade="BF"/>
        </w:rPr>
        <w:lastRenderedPageBreak/>
        <w:t>we found</w:t>
      </w:r>
      <w:r w:rsidR="00BB3FE7" w:rsidRPr="008058A0">
        <w:rPr>
          <w:color w:val="2F5496" w:themeColor="accent5" w:themeShade="BF"/>
        </w:rPr>
        <w:t xml:space="preserve"> that </w:t>
      </w:r>
      <w:r w:rsidR="00F54A55" w:rsidRPr="008058A0">
        <w:rPr>
          <w:color w:val="2F5496" w:themeColor="accent5" w:themeShade="BF"/>
        </w:rPr>
        <w:t xml:space="preserve">up-regulation of SUB1 targets </w:t>
      </w:r>
      <w:r w:rsidR="00ED3BFD" w:rsidRPr="008058A0">
        <w:rPr>
          <w:color w:val="2F5496" w:themeColor="accent5" w:themeShade="BF"/>
        </w:rPr>
        <w:t>may</w:t>
      </w:r>
      <w:r w:rsidR="007B73AC" w:rsidRPr="008058A0">
        <w:rPr>
          <w:color w:val="2F5496" w:themeColor="accent5" w:themeShade="BF"/>
        </w:rPr>
        <w:t xml:space="preserve"> indicate</w:t>
      </w:r>
      <w:r w:rsidR="00F54A55" w:rsidRPr="008058A0">
        <w:rPr>
          <w:color w:val="2F5496" w:themeColor="accent5" w:themeShade="BF"/>
        </w:rPr>
        <w:t xml:space="preserve"> a poorer patient survival in some cancer types (Fig. 3D).</w:t>
      </w:r>
    </w:p>
    <w:p w14:paraId="57A0571F" w14:textId="21E02DF6"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r w:rsidR="00A8346F">
        <w:rPr>
          <w:color w:val="000000" w:themeColor="text1"/>
        </w:rPr>
        <w:t>.</w:t>
      </w:r>
      <w:r w:rsidRPr="00F54A55">
        <w:rPr>
          <w:color w:val="000000" w:themeColor="text1"/>
        </w:rPr>
        <w:t xml:space="preserve"> 4</w:t>
      </w:r>
      <w:r w:rsidR="007541FE">
        <w:rPr>
          <w:color w:val="000000" w:themeColor="text1"/>
        </w:rPr>
        <w:t>A</w:t>
      </w:r>
      <w:r w:rsidRPr="00F54A55">
        <w:rPr>
          <w:color w:val="000000" w:themeColor="text1"/>
        </w:rPr>
        <w:t>). Here, TFs are placed at different levels such that those in the middle tend to regulate TFs below them and, in turn, are more regulated by TFs above them</w:t>
      </w:r>
      <w:r w:rsidR="007E5BE8"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instrText xml:space="preserve"> ADDIN EN.CITE </w:instrText>
      </w:r>
      <w:r w:rsidR="0061532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instrText xml:space="preserve"> ADDIN EN.CITE.DATA </w:instrText>
      </w:r>
      <w:r w:rsidR="00615327">
        <w:rPr>
          <w:color w:val="000000" w:themeColor="text1"/>
          <w:vertAlign w:val="superscript"/>
        </w:rPr>
      </w:r>
      <w:r w:rsidR="00615327">
        <w:rPr>
          <w:color w:val="000000" w:themeColor="text1"/>
          <w:vertAlign w:val="superscript"/>
        </w:rPr>
        <w:fldChar w:fldCharType="end"/>
      </w:r>
      <w:r w:rsidR="007E5BE8" w:rsidRPr="000B2757">
        <w:rPr>
          <w:color w:val="000000" w:themeColor="text1"/>
          <w:vertAlign w:val="superscript"/>
        </w:rPr>
      </w:r>
      <w:r w:rsidR="007E5BE8" w:rsidRPr="000B2757">
        <w:rPr>
          <w:color w:val="000000" w:themeColor="text1"/>
          <w:vertAlign w:val="superscript"/>
        </w:rPr>
        <w:fldChar w:fldCharType="separate"/>
      </w:r>
      <w:r w:rsidR="00615327">
        <w:rPr>
          <w:noProof/>
          <w:color w:val="000000" w:themeColor="text1"/>
          <w:vertAlign w:val="superscript"/>
        </w:rPr>
        <w:t>33</w:t>
      </w:r>
      <w:r w:rsidR="007E5BE8" w:rsidRPr="000B2757">
        <w:rPr>
          <w:color w:val="000000" w:themeColor="text1"/>
          <w:vertAlign w:val="superscript"/>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w:t>
      </w:r>
      <w:r w:rsidRPr="000B2757">
        <w:rPr>
          <w:color w:val="000000" w:themeColor="text1"/>
        </w:rPr>
        <w:t>significantly drive differential expression</w:t>
      </w:r>
      <w:r w:rsidR="00ED3BFD" w:rsidRPr="000B2757">
        <w:rPr>
          <w:color w:val="000000" w:themeColor="text1"/>
        </w:rPr>
        <w:t xml:space="preserve"> </w:t>
      </w:r>
      <w:r w:rsidRPr="000B2757">
        <w:rPr>
          <w:color w:val="000000" w:themeColor="text1"/>
        </w:rPr>
        <w:t xml:space="preserve">in </w:t>
      </w:r>
      <w:r w:rsidR="00324ED5" w:rsidRPr="000B2757">
        <w:rPr>
          <w:color w:val="000000" w:themeColor="text1"/>
        </w:rPr>
        <w:t>model</w:t>
      </w:r>
      <w:r w:rsidR="007F5341" w:rsidRPr="000B2757">
        <w:rPr>
          <w:color w:val="000000" w:themeColor="text1"/>
        </w:rPr>
        <w:t xml:space="preserve"> cell types.</w:t>
      </w:r>
    </w:p>
    <w:p w14:paraId="12B3316D" w14:textId="4F3BD0B4" w:rsidR="00A357D3" w:rsidRPr="000B2757" w:rsidRDefault="00A357D3" w:rsidP="00A357D3">
      <w:pPr>
        <w:rPr>
          <w:b/>
          <w:sz w:val="32"/>
          <w:highlight w:val="white"/>
        </w:rPr>
      </w:pPr>
      <w:r w:rsidRPr="0050325C">
        <w:rPr>
          <w:b/>
          <w:sz w:val="32"/>
          <w:highlight w:val="white"/>
        </w:rPr>
        <w:t>Cell</w:t>
      </w:r>
      <w:r w:rsidR="00D51CA4">
        <w:rPr>
          <w:b/>
          <w:sz w:val="32"/>
          <w:highlight w:val="white"/>
        </w:rPr>
        <w:t>-</w:t>
      </w:r>
      <w:r w:rsidR="00B25E72" w:rsidRPr="000B4A0E">
        <w:rPr>
          <w:b/>
          <w:sz w:val="32"/>
          <w:highlight w:val="white"/>
        </w:rPr>
        <w:t>type</w:t>
      </w:r>
      <w:r w:rsidR="00C40424">
        <w:rPr>
          <w:b/>
          <w:sz w:val="32"/>
          <w:highlight w:val="white"/>
        </w:rPr>
        <w:t xml:space="preserve"> </w:t>
      </w:r>
      <w:r w:rsidRPr="000B4A0E">
        <w:rPr>
          <w:b/>
          <w:sz w:val="32"/>
          <w:highlight w:val="white"/>
        </w:rPr>
        <w:t>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2811E622" w:rsidR="00412BA3" w:rsidRPr="00412BA3" w:rsidRDefault="00412BA3" w:rsidP="00412BA3">
      <w:pPr>
        <w:pStyle w:val="NoSpacing"/>
        <w:rPr>
          <w:color w:val="000000" w:themeColor="text1"/>
        </w:rPr>
      </w:pPr>
      <w:r w:rsidRPr="00412BA3">
        <w:rPr>
          <w:color w:val="000000" w:themeColor="text1"/>
        </w:rPr>
        <w:t xml:space="preserve">For the top-tier cell types with numerous TF ChIP-seq experiments, our resource contains </w:t>
      </w:r>
      <w:r w:rsidR="00B257E7">
        <w:rPr>
          <w:color w:val="000000" w:themeColor="text1"/>
        </w:rPr>
        <w:t>cell-type specific</w:t>
      </w:r>
      <w:r w:rsidRPr="00412BA3">
        <w:rPr>
          <w:color w:val="000000" w:themeColor="text1"/>
        </w:rPr>
        <w:t xml:space="preserve"> regulatory networks, which enable direct comparison with networks built from their paired normal cell types. To achieve the best </w:t>
      </w:r>
      <w:r w:rsidR="00DB05E5">
        <w:rPr>
          <w:color w:val="000000" w:themeColor="text1"/>
        </w:rPr>
        <w:t>pairing</w:t>
      </w:r>
      <w:r w:rsidRPr="00412BA3">
        <w:rPr>
          <w:color w:val="000000" w:themeColor="text1"/>
        </w:rPr>
        <w:t xml:space="preserve">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cancer on a large scale.</w:t>
      </w:r>
    </w:p>
    <w:p w14:paraId="66D24FCA" w14:textId="598466B9" w:rsidR="00412BA3" w:rsidRDefault="008058A0" w:rsidP="00412BA3">
      <w:pPr>
        <w:pStyle w:val="NoSpacing"/>
        <w:rPr>
          <w:color w:val="000000" w:themeColor="text1"/>
        </w:rPr>
      </w:pPr>
      <w:r>
        <w:rPr>
          <w:color w:val="000000" w:themeColor="text1"/>
        </w:rPr>
        <w:t>(</w:t>
      </w:r>
      <w:r w:rsidRPr="008058A0">
        <w:rPr>
          <w:color w:val="385623" w:themeColor="accent6" w:themeShade="80"/>
          <w:highlight w:val="darkGreen"/>
        </w:rPr>
        <w:t>More KD here, imputed network here</w:t>
      </w:r>
      <w:r>
        <w:rPr>
          <w:color w:val="000000" w:themeColor="text1"/>
        </w:rPr>
        <w:t xml:space="preserve">) </w:t>
      </w:r>
      <w:proofErr w:type="gramStart"/>
      <w:r w:rsidR="00412BA3" w:rsidRPr="00412BA3">
        <w:rPr>
          <w:color w:val="000000" w:themeColor="text1"/>
        </w:rPr>
        <w:t>In particular, in</w:t>
      </w:r>
      <w:proofErr w:type="gramEnd"/>
      <w:r w:rsidR="00412BA3" w:rsidRPr="00412BA3">
        <w:rPr>
          <w:color w:val="000000" w:themeColor="text1"/>
        </w:rPr>
        <w:t xml:space="preserve">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00412BA3" w:rsidRPr="00412BA3">
        <w:rPr>
          <w:color w:val="000000" w:themeColor="text1"/>
        </w:rPr>
        <w:t xml:space="preserve"> 5A). </w:t>
      </w:r>
      <w:r w:rsidR="00412BA3"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7D27">
        <w:rPr>
          <w:color w:val="000000" w:themeColor="text1"/>
        </w:rPr>
      </w:r>
      <w:r w:rsidR="00B27D27">
        <w:rPr>
          <w:color w:val="000000" w:themeColor="text1"/>
        </w:rPr>
        <w:fldChar w:fldCharType="separate"/>
      </w:r>
      <w:r w:rsidR="00615327" w:rsidRPr="00615327">
        <w:rPr>
          <w:noProof/>
          <w:color w:val="000000" w:themeColor="text1"/>
          <w:vertAlign w:val="superscript"/>
        </w:rPr>
        <w:t>34,35</w:t>
      </w:r>
      <w:r w:rsidR="00B27D27">
        <w:rPr>
          <w:color w:val="000000" w:themeColor="text1"/>
        </w:rPr>
        <w:fldChar w:fldCharType="end"/>
      </w:r>
      <w:r w:rsidR="00412BA3" w:rsidRPr="00B27D27">
        <w:rPr>
          <w:color w:val="000000" w:themeColor="text1"/>
        </w:rPr>
        <w:t>.</w:t>
      </w:r>
      <w:r w:rsidR="00412BA3" w:rsidRPr="00412BA3">
        <w:rPr>
          <w:color w:val="000000" w:themeColor="text1"/>
        </w:rPr>
        <w:t xml:space="preserve"> We observed a similar rewiring trend using distal, proximal, and combined networks (details in </w:t>
      </w:r>
      <w:r w:rsidR="00D9032C" w:rsidRPr="00412BA3">
        <w:rPr>
          <w:color w:val="000000" w:themeColor="text1"/>
        </w:rPr>
        <w:t>suppl</w:t>
      </w:r>
      <w:r w:rsidR="00D9032C">
        <w:rPr>
          <w:color w:val="000000" w:themeColor="text1"/>
        </w:rPr>
        <w:t>.</w:t>
      </w:r>
      <w:r w:rsidR="00412BA3" w:rsidRPr="00412BA3">
        <w:rPr>
          <w:color w:val="000000" w:themeColor="text1"/>
        </w:rPr>
        <w:t>). This trend was also consistent across a number of cancers: highly rewired TFs such as BHLHE40, JUND, and MYC behaved similarly in lung, liver, and breast cancers (Fig</w:t>
      </w:r>
      <w:r w:rsidR="00A8346F">
        <w:rPr>
          <w:color w:val="000000" w:themeColor="text1"/>
        </w:rPr>
        <w:t>.</w:t>
      </w:r>
      <w:r w:rsidR="00412BA3" w:rsidRPr="00412BA3">
        <w:rPr>
          <w:color w:val="000000" w:themeColor="text1"/>
        </w:rPr>
        <w:t xml:space="preserve"> 5).</w:t>
      </w:r>
    </w:p>
    <w:p w14:paraId="75DAB4FB" w14:textId="44C27822" w:rsidR="00B676A5" w:rsidRPr="00B676A5" w:rsidRDefault="00412BA3" w:rsidP="00B676A5">
      <w:pPr>
        <w:pStyle w:val="NoSpacing"/>
        <w:rPr>
          <w:color w:val="000000" w:themeColor="text1"/>
        </w:rPr>
      </w:pPr>
      <w:r w:rsidRPr="00412BA3">
        <w:rPr>
          <w:color w:val="000000" w:themeColor="text1"/>
        </w:rPr>
        <w:t>In addition to direct TF-to-gene connections, we also measured rewiring using a more complex gene-community model. Here, the targets within the regulatory network were characterized in terms of heterogeneous modules (so called "gene communities"), which come from multiple genes. Instead of directly measuring the changes in a TF's targets between tumor and normal cells, we determined the changes in its gene communities via a mixed-membership model (</w:t>
      </w:r>
      <w:r w:rsidR="00D9032C">
        <w:rPr>
          <w:color w:val="000000" w:themeColor="text1"/>
        </w:rPr>
        <w:t>s</w:t>
      </w:r>
      <w:r w:rsidR="00D9032C" w:rsidRPr="00412BA3">
        <w:rPr>
          <w:color w:val="000000" w:themeColor="text1"/>
        </w:rPr>
        <w:t xml:space="preserve">ee </w:t>
      </w:r>
      <w:r w:rsidRPr="00412BA3">
        <w:rPr>
          <w:color w:val="000000" w:themeColor="text1"/>
        </w:rPr>
        <w:t>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4955ACC" w14:textId="78D1B139" w:rsidR="00412BA3" w:rsidRDefault="008058A0" w:rsidP="00412BA3">
      <w:pPr>
        <w:pStyle w:val="NoSpacing"/>
        <w:rPr>
          <w:color w:val="000000" w:themeColor="text1"/>
        </w:rPr>
      </w:pPr>
      <w:r w:rsidRPr="008058A0">
        <w:rPr>
          <w:color w:val="385623" w:themeColor="accent6" w:themeShade="80"/>
          <w:highlight w:val="darkGreen"/>
        </w:rPr>
        <w:t>(More stem here, but maybe think about how to incorporate the RNA-</w:t>
      </w:r>
      <w:proofErr w:type="spellStart"/>
      <w:r w:rsidRPr="008058A0">
        <w:rPr>
          <w:color w:val="385623" w:themeColor="accent6" w:themeShade="80"/>
          <w:highlight w:val="darkGreen"/>
        </w:rPr>
        <w:t>seq</w:t>
      </w:r>
      <w:proofErr w:type="spellEnd"/>
      <w:r w:rsidRPr="008058A0">
        <w:rPr>
          <w:color w:val="385623" w:themeColor="accent6" w:themeShade="80"/>
          <w:highlight w:val="darkGreen"/>
        </w:rPr>
        <w:t xml:space="preserve"> data here)</w:t>
      </w:r>
      <w:r w:rsidRPr="008058A0">
        <w:rPr>
          <w:color w:val="385623" w:themeColor="accent6" w:themeShade="80"/>
        </w:rPr>
        <w:t xml:space="preserve"> </w:t>
      </w:r>
      <w:r w:rsidR="00412BA3" w:rsidRPr="00A66F3D">
        <w:rPr>
          <w:color w:val="000000" w:themeColor="text1"/>
        </w:rPr>
        <w:t xml:space="preserve">We next tested whether the gain or loss events from normal-to-tumor transitions result in a network that </w:t>
      </w:r>
      <w:proofErr w:type="gramStart"/>
      <w:r w:rsidR="00412BA3" w:rsidRPr="00A66F3D">
        <w:rPr>
          <w:color w:val="000000" w:themeColor="text1"/>
        </w:rPr>
        <w:t>is more or less</w:t>
      </w:r>
      <w:proofErr w:type="gramEnd"/>
      <w:r w:rsidR="00412BA3" w:rsidRPr="00A66F3D">
        <w:rPr>
          <w:color w:val="000000" w:themeColor="text1"/>
        </w:rPr>
        <w:t xml:space="preserve"> similar to that in stem cells like H1-hESC. Interestingly, the gainer TF group tends to "rewire away" from the stem cell's regulatory network, while the loser group is more likely to rewire in such a way that it becomes more stem-like.</w:t>
      </w:r>
      <w:r w:rsidR="007D0712">
        <w:rPr>
          <w:color w:val="000000" w:themeColor="text1"/>
        </w:rPr>
        <w:t xml:space="preserve"> </w:t>
      </w:r>
    </w:p>
    <w:p w14:paraId="7D4A2223" w14:textId="4B59FFF4" w:rsidR="00412BA3" w:rsidRDefault="0000689E" w:rsidP="00D253DC">
      <w:pPr>
        <w:pStyle w:val="NoSpacing"/>
        <w:rPr>
          <w:color w:val="000000" w:themeColor="text1"/>
        </w:rPr>
      </w:pPr>
      <w:r>
        <w:rPr>
          <w:color w:val="000000" w:themeColor="text1"/>
        </w:rPr>
        <w:t xml:space="preserve">We found that </w:t>
      </w:r>
      <w:proofErr w:type="gramStart"/>
      <w:r>
        <w:rPr>
          <w:color w:val="000000" w:themeColor="text1"/>
        </w:rPr>
        <w:t>t</w:t>
      </w:r>
      <w:r w:rsidRPr="00412BA3">
        <w:rPr>
          <w:color w:val="000000" w:themeColor="text1"/>
        </w:rPr>
        <w:t xml:space="preserve">he </w:t>
      </w:r>
      <w:r w:rsidR="00412BA3" w:rsidRPr="00412BA3">
        <w:rPr>
          <w:color w:val="000000" w:themeColor="text1"/>
        </w:rPr>
        <w:t>majority of</w:t>
      </w:r>
      <w:proofErr w:type="gramEnd"/>
      <w:r w:rsidR="00412BA3" w:rsidRPr="00412BA3">
        <w:rPr>
          <w:color w:val="000000" w:themeColor="text1"/>
        </w:rPr>
        <w:t xml:space="preserve"> rewiring events were associated with noticeable </w:t>
      </w:r>
      <w:r w:rsidR="00412BA3" w:rsidRPr="00B054F4">
        <w:rPr>
          <w:color w:val="000000" w:themeColor="text1"/>
        </w:rPr>
        <w:t>gene</w:t>
      </w:r>
      <w:r w:rsidR="00ED3BFD" w:rsidRPr="00B054F4">
        <w:rPr>
          <w:color w:val="000000" w:themeColor="text1"/>
        </w:rPr>
        <w:t>-</w:t>
      </w:r>
      <w:r w:rsidR="00412BA3" w:rsidRPr="00B054F4">
        <w:rPr>
          <w:color w:val="000000" w:themeColor="text1"/>
        </w:rPr>
        <w:t>expression and chromatin</w:t>
      </w:r>
      <w:r w:rsidR="00ED3BFD" w:rsidRPr="00B054F4">
        <w:rPr>
          <w:color w:val="000000" w:themeColor="text1"/>
        </w:rPr>
        <w:t>-</w:t>
      </w:r>
      <w:r w:rsidR="00412BA3" w:rsidRPr="00B054F4">
        <w:rPr>
          <w:color w:val="000000" w:themeColor="text1"/>
        </w:rPr>
        <w:t>status</w:t>
      </w:r>
      <w:r w:rsidR="00412BA3" w:rsidRPr="00412BA3">
        <w:rPr>
          <w:color w:val="000000" w:themeColor="text1"/>
        </w:rPr>
        <w:t xml:space="preserve"> changes, but not necessarily with mutation-induced motif loss or gain events (Fig. 5A).</w:t>
      </w:r>
      <w:r w:rsidR="00B054F4">
        <w:rPr>
          <w:color w:val="000000" w:themeColor="text1"/>
        </w:rPr>
        <w:t xml:space="preserve"> </w:t>
      </w:r>
      <w:r w:rsidR="008058A0" w:rsidRPr="008058A0">
        <w:rPr>
          <w:color w:val="385623" w:themeColor="accent6" w:themeShade="80"/>
          <w:highlight w:val="darkGreen"/>
        </w:rPr>
        <w:t>(SV and rewiring here)</w:t>
      </w:r>
      <w:r w:rsidR="008058A0" w:rsidRPr="008058A0">
        <w:rPr>
          <w:color w:val="385623" w:themeColor="accent6" w:themeShade="80"/>
        </w:rPr>
        <w:t xml:space="preserve"> </w:t>
      </w:r>
      <w:r w:rsidR="00B054F4" w:rsidRPr="00412BA3">
        <w:rPr>
          <w:color w:val="000000" w:themeColor="text1"/>
        </w:rPr>
        <w:t>For example, JUND is a top gainer in K562. The majority of its gained targets in tumor cells demonstrate higher gene expression, stronger active and weaker repressive histone modification mark signals, yet few of its binding sites are mutated.</w:t>
      </w:r>
      <w:r w:rsidR="00412BA3" w:rsidRPr="00412BA3">
        <w:rPr>
          <w:color w:val="000000" w:themeColor="text1"/>
        </w:rPr>
        <w:t xml:space="preserve"> </w:t>
      </w:r>
      <w:r w:rsidR="00412BA3" w:rsidRPr="00B054F4">
        <w:rPr>
          <w:color w:val="000000" w:themeColor="text1"/>
        </w:rPr>
        <w:lastRenderedPageBreak/>
        <w:t>This is consistent with previous work that most non-coding risk variants are not well-explained by the current 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528E" w:rsidRPr="00B054F4">
        <w:rPr>
          <w:color w:val="000000" w:themeColor="text1"/>
        </w:rPr>
      </w:r>
      <w:r w:rsidR="00B2528E" w:rsidRPr="00B054F4">
        <w:rPr>
          <w:color w:val="000000" w:themeColor="text1"/>
        </w:rPr>
        <w:fldChar w:fldCharType="separate"/>
      </w:r>
      <w:r w:rsidR="00615327" w:rsidRPr="00615327">
        <w:rPr>
          <w:noProof/>
          <w:color w:val="000000" w:themeColor="text1"/>
          <w:vertAlign w:val="superscript"/>
        </w:rPr>
        <w:t>36</w:t>
      </w:r>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r w:rsidR="00412BA3" w:rsidRPr="00412BA3">
        <w:rPr>
          <w:color w:val="000000" w:themeColor="text1"/>
        </w:rPr>
        <w:t>With a few notable exceptions (</w:t>
      </w:r>
      <w:r w:rsidR="00027DE4">
        <w:rPr>
          <w:color w:val="000000" w:themeColor="text1"/>
        </w:rPr>
        <w:t>see suppl.</w:t>
      </w:r>
      <w:r w:rsidR="00412BA3" w:rsidRPr="00412BA3">
        <w:rPr>
          <w:color w:val="000000" w:themeColor="text1"/>
        </w:rPr>
        <w:t xml:space="preserve">), we found a similar trend for the rewiring events associated with JUND in liver cancer and, largely, for other factors in a variety of cancers. On a related note, we organized the </w:t>
      </w:r>
      <w:r w:rsidR="00B257E7">
        <w:rPr>
          <w:color w:val="000000" w:themeColor="text1"/>
        </w:rPr>
        <w:t>cell-type specific</w:t>
      </w:r>
      <w:r w:rsidR="00412BA3" w:rsidRPr="00412BA3">
        <w:rPr>
          <w:color w:val="000000" w:themeColor="text1"/>
        </w:rPr>
        <w:t xml:space="preserve"> networks into hierarchies, as shown in Fig</w:t>
      </w:r>
      <w:r w:rsidR="00A8346F">
        <w:rPr>
          <w:color w:val="000000" w:themeColor="text1"/>
        </w:rPr>
        <w:t>.</w:t>
      </w:r>
      <w:r w:rsidR="00412BA3" w:rsidRPr="00412BA3">
        <w:rPr>
          <w:color w:val="000000" w:themeColor="text1"/>
        </w:rPr>
        <w:t xml:space="preserve"> 4</w:t>
      </w:r>
      <w:r w:rsidR="007541FE">
        <w:rPr>
          <w:color w:val="000000" w:themeColor="text1"/>
        </w:rPr>
        <w:t>B</w:t>
      </w:r>
      <w:r w:rsidR="00412BA3"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3F1EC6D1" w:rsidR="00792D1A" w:rsidRPr="001470F1" w:rsidRDefault="00A77EA3" w:rsidP="001470F1">
      <w:pPr>
        <w:pStyle w:val="Heading2"/>
        <w:jc w:val="both"/>
      </w:pPr>
      <w:bookmarkStart w:id="2" w:name="_nzna5xcssc3w" w:colFirst="0" w:colLast="0"/>
      <w:bookmarkStart w:id="3" w:name="_b5wur3klbbsm" w:colFirst="0" w:colLast="0"/>
      <w:bookmarkEnd w:id="2"/>
      <w:bookmarkEnd w:id="3"/>
      <w:r w:rsidRPr="001470F1">
        <w:t>Step-wise prioritization scheme pinpoint</w:t>
      </w:r>
      <w:r w:rsidR="00A357D3">
        <w:t>s</w:t>
      </w:r>
      <w:r w:rsidRPr="001470F1">
        <w:t xml:space="preserve"> deleterious SNVs in cancer</w:t>
      </w:r>
    </w:p>
    <w:p w14:paraId="62CEC471" w14:textId="68D553EE"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r w:rsidRPr="00951F12">
        <w:rPr>
          <w:color w:val="000000" w:themeColor="text1"/>
        </w:rPr>
        <w:t>Fig.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w:t>
      </w:r>
      <w:r w:rsidR="00B257E7">
        <w:rPr>
          <w:color w:val="000000" w:themeColor="text1"/>
        </w:rPr>
        <w:t>cell-type specific</w:t>
      </w:r>
      <w:r w:rsidRPr="001D5494">
        <w:rPr>
          <w:color w:val="000000" w:themeColor="text1"/>
        </w:rPr>
        <w:t xml:space="preserve">,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E8F9B14" w14:textId="33ED7D55" w:rsidR="00D51CA4" w:rsidRPr="00D51CA4" w:rsidRDefault="00D51CA4" w:rsidP="00D51CA4">
      <w:pPr>
        <w:pStyle w:val="Heading2"/>
        <w:jc w:val="both"/>
      </w:pPr>
      <w:r w:rsidRPr="00D51CA4">
        <w:t>Small-scale validation experiments on prioritized genomic elements and variants</w:t>
      </w:r>
    </w:p>
    <w:p w14:paraId="554127BC" w14:textId="51032064" w:rsidR="00951F12" w:rsidRPr="001D5494" w:rsidRDefault="00951F12" w:rsidP="00951F12">
      <w:pPr>
        <w:pStyle w:val="NoSpacing"/>
        <w:rPr>
          <w:color w:val="000000" w:themeColor="text1"/>
        </w:rPr>
      </w:pPr>
      <w:bookmarkStart w:id="4" w:name="_yhiuisza6bc0"/>
      <w:bookmarkEnd w:id="4"/>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validated the results. In particular, as described above, we subjected some key regulators, such as MYC and SUB1, to knockdown experiments to validate their regulatory effects (Fig</w:t>
      </w:r>
      <w:r w:rsidR="007541FE">
        <w:rPr>
          <w:color w:val="000000" w:themeColor="text1"/>
        </w:rPr>
        <w:t>.</w:t>
      </w:r>
      <w:r w:rsidRPr="001D5494">
        <w:rPr>
          <w:color w:val="000000" w:themeColor="text1"/>
        </w:rPr>
        <w:t xml:space="preserve"> 3</w:t>
      </w:r>
      <w:r w:rsidR="002D206D">
        <w:rPr>
          <w:color w:val="000000" w:themeColor="text1"/>
        </w:rPr>
        <w:t>B</w:t>
      </w:r>
      <w:r w:rsidR="00D66D5F">
        <w:rPr>
          <w:color w:val="000000" w:themeColor="text1"/>
        </w:rPr>
        <w:t xml:space="preserve"> and 3</w:t>
      </w:r>
      <w:r w:rsidRPr="001D5494">
        <w:rPr>
          <w:color w:val="000000" w:themeColor="text1"/>
        </w:rPr>
        <w:t xml:space="preserve">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t>
      </w:r>
      <w:r w:rsidR="0000689E">
        <w:rPr>
          <w:color w:val="000000" w:themeColor="text1"/>
        </w:rPr>
        <w:t xml:space="preserve">and motif disruption scores </w:t>
      </w:r>
      <w:r w:rsidRPr="001D5494">
        <w:rPr>
          <w:color w:val="000000" w:themeColor="text1"/>
        </w:rPr>
        <w:t xml:space="preserve">within these enhancers that are important for controlling gene expression. Of the eight motif-disrupting SNVs that we tested, six exhibited consistent up- or down-regulation relative to the wild-type in multiple biological replicates. </w:t>
      </w:r>
    </w:p>
    <w:p w14:paraId="6FD7CE01" w14:textId="7158581C"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w:t>
      </w:r>
      <w:r w:rsidRPr="001D5494">
        <w:rPr>
          <w:color w:val="000000" w:themeColor="text1"/>
        </w:rPr>
        <w:lastRenderedPageBreak/>
        <w:t xml:space="preserve">enhancer in MCF-7. This was further confirmed by STARR-seq (Fig. </w:t>
      </w:r>
      <w:r w:rsidR="00183A60">
        <w:rPr>
          <w:color w:val="000000" w:themeColor="text1"/>
        </w:rPr>
        <w:t>6C</w:t>
      </w:r>
      <w:r w:rsidRPr="00951F12">
        <w:rPr>
          <w:color w:val="000000" w:themeColor="text1"/>
        </w:rPr>
        <w:t>).</w:t>
      </w:r>
      <w:r w:rsidRPr="001D5494">
        <w:rPr>
          <w:color w:val="000000" w:themeColor="text1"/>
        </w:rPr>
        <w:t xml:space="preserve"> Hi-C and </w:t>
      </w:r>
      <w:proofErr w:type="spellStart"/>
      <w:r w:rsidRPr="001D5494">
        <w:rPr>
          <w:color w:val="000000" w:themeColor="text1"/>
        </w:rPr>
        <w:t>ChIA</w:t>
      </w:r>
      <w:proofErr w:type="spellEnd"/>
      <w:r w:rsidRPr="001D5494">
        <w:rPr>
          <w:color w:val="000000" w:themeColor="text1"/>
        </w:rPr>
        <w:t xml:space="preserve">-PET </w:t>
      </w:r>
      <w:r w:rsidRPr="00951F12">
        <w:rPr>
          <w:color w:val="000000" w:themeColor="text1"/>
        </w:rPr>
        <w:t>linkages</w:t>
      </w:r>
      <w:r w:rsidRPr="001D5494">
        <w:rPr>
          <w:color w:val="000000" w:themeColor="text1"/>
        </w:rPr>
        <w:t xml:space="preserve"> indicated that the region is within a topologically associated domain</w:t>
      </w:r>
      <w:r w:rsidR="00A15B78">
        <w:rPr>
          <w:color w:val="000000" w:themeColor="text1"/>
        </w:rPr>
        <w:t xml:space="preserve"> (i.e., a “TAD”)</w:t>
      </w:r>
      <w:r w:rsidRPr="001D5494">
        <w:rPr>
          <w:color w:val="000000" w:themeColor="text1"/>
        </w:rPr>
        <w:t xml:space="preserve"> and validated a regulatory </w:t>
      </w:r>
      <w:r w:rsidRPr="00951F12">
        <w:rPr>
          <w:color w:val="000000" w:themeColor="text1"/>
        </w:rPr>
        <w:t>connection</w:t>
      </w:r>
      <w:r w:rsidRPr="001D5494">
        <w:rPr>
          <w:color w:val="000000" w:themeColor="text1"/>
        </w:rPr>
        <w:t xml:space="preserve"> to the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1A1487">
        <w:rPr>
          <w:color w:val="000000" w:themeColor="text1"/>
        </w:rPr>
      </w:r>
      <w:r w:rsidR="001A1487">
        <w:rPr>
          <w:color w:val="000000" w:themeColor="text1"/>
        </w:rPr>
        <w:fldChar w:fldCharType="separate"/>
      </w:r>
      <w:r w:rsidR="00615327" w:rsidRPr="00615327">
        <w:rPr>
          <w:noProof/>
          <w:color w:val="000000" w:themeColor="text1"/>
          <w:vertAlign w:val="superscript"/>
        </w:rPr>
        <w:t>37</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w:t>
      </w:r>
      <w:r w:rsidR="00B92EF5">
        <w:rPr>
          <w:color w:val="000000" w:themeColor="text1"/>
        </w:rPr>
        <w:t>C</w:t>
      </w:r>
      <w:r w:rsidRPr="001D5494">
        <w:rPr>
          <w:color w:val="000000" w:themeColor="text1"/>
        </w:rPr>
        <w:t>).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t>Conclusion</w:t>
      </w:r>
    </w:p>
    <w:p w14:paraId="5D77ADA6" w14:textId="539C2C6C" w:rsidR="00B30EED" w:rsidRPr="00AF6B73" w:rsidRDefault="0038138A" w:rsidP="0038138A">
      <w:pPr>
        <w:pStyle w:val="NoSpacing"/>
        <w:rPr>
          <w:color w:val="auto"/>
        </w:rPr>
      </w:pPr>
      <w:r>
        <w:t xml:space="preserve">This </w:t>
      </w:r>
      <w:r w:rsidRPr="00AF6B73">
        <w:t xml:space="preserve">study highlights the </w:t>
      </w:r>
      <w:r w:rsidRPr="00AF6B73">
        <w:rPr>
          <w:color w:val="auto"/>
        </w:rPr>
        <w:t xml:space="preserve">value of ENCODE data as an aid to interpreting cancer genomes. It presents the </w:t>
      </w:r>
      <w:r w:rsidR="00204174" w:rsidRPr="00AF6B73">
        <w:rPr>
          <w:color w:val="auto"/>
        </w:rPr>
        <w:t>EN-CODEC</w:t>
      </w:r>
      <w:r w:rsidRPr="00AF6B73">
        <w:rPr>
          <w:color w:val="auto"/>
        </w:rPr>
        <w:t xml:space="preserve"> companion resource, which </w:t>
      </w:r>
      <w:r w:rsidR="003F04A7" w:rsidRPr="00AF6B73">
        <w:rPr>
          <w:color w:val="auto"/>
        </w:rPr>
        <w:t>tailors</w:t>
      </w:r>
      <w:r w:rsidRPr="00AF6B73">
        <w:rPr>
          <w:color w:val="auto"/>
        </w:rPr>
        <w:t xml:space="preserve"> the ENCODE annotation to cancer. </w:t>
      </w:r>
      <w:r w:rsidR="00374C7E" w:rsidRPr="00AF6B73">
        <w:rPr>
          <w:color w:val="auto"/>
        </w:rPr>
        <w:t>This</w:t>
      </w:r>
      <w:r w:rsidRPr="00AF6B73">
        <w:rPr>
          <w:color w:val="auto"/>
        </w:rPr>
        <w:t xml:space="preserve"> </w:t>
      </w:r>
      <w:r w:rsidR="00374C7E" w:rsidRPr="00AF6B73">
        <w:rPr>
          <w:color w:val="auto"/>
        </w:rPr>
        <w:t>has</w:t>
      </w:r>
      <w:r w:rsidRPr="00AF6B73">
        <w:rPr>
          <w:color w:val="auto"/>
        </w:rPr>
        <w:t xml:space="preserve"> three parts</w:t>
      </w:r>
      <w:r w:rsidR="008C4133" w:rsidRPr="00AF6B73">
        <w:rPr>
          <w:color w:val="auto"/>
        </w:rPr>
        <w:t>: 1) cancer-specific BMR models with significantly increased accuracy;</w:t>
      </w:r>
      <w:r w:rsidRPr="00AF6B73">
        <w:rPr>
          <w:color w:val="auto"/>
        </w:rPr>
        <w:t xml:space="preserve"> </w:t>
      </w:r>
      <w:r w:rsidR="008C4133" w:rsidRPr="00AF6B73">
        <w:rPr>
          <w:color w:val="auto"/>
        </w:rPr>
        <w:t>2</w:t>
      </w:r>
      <w:r w:rsidRPr="00AF6B73">
        <w:rPr>
          <w:color w:val="auto"/>
        </w:rPr>
        <w:t xml:space="preserve">) compact annotations that </w:t>
      </w:r>
      <w:r w:rsidR="00374C7E" w:rsidRPr="00AF6B73">
        <w:rPr>
          <w:color w:val="auto"/>
        </w:rPr>
        <w:t xml:space="preserve">by maximize statistical power </w:t>
      </w:r>
      <w:r w:rsidRPr="00AF6B73">
        <w:rPr>
          <w:color w:val="auto"/>
        </w:rPr>
        <w:t>for recurrent-mutation detection; and 3) various regulatory networks and hierarchies for both pan-cancer and cancer-specific studies.</w:t>
      </w:r>
    </w:p>
    <w:p w14:paraId="2554DD73" w14:textId="6B01470A" w:rsidR="00AF6B73" w:rsidRDefault="00AF6B73" w:rsidP="00B217BB">
      <w:pPr>
        <w:pStyle w:val="NoSpacing"/>
      </w:pPr>
      <w:r w:rsidRPr="00AF6B73">
        <w:t xml:space="preserve">A key caveat related to our resource concerns the rewiring in </w:t>
      </w:r>
      <w:r w:rsidR="00B257E7">
        <w:t>cell-type specific</w:t>
      </w:r>
      <w:r w:rsidRPr="00AF6B73">
        <w:t xml:space="preserve"> networks</w:t>
      </w:r>
      <w:r w:rsidR="00683EE5">
        <w:t>.</w:t>
      </w:r>
      <w:r w:rsidRPr="00AF6B73">
        <w:t xml:space="preserve"> The utility of these networks is based on associating them to particular cancer types and then pairing a specific cancer network with a composite normal. Both of these "correspondences" are approximate. Nevertheless, we feel that the EN-CODEC networks currently provide the best available view of the regulatory changes in oncogenesis. No other system has this scale of TF-</w:t>
      </w:r>
      <w:proofErr w:type="spellStart"/>
      <w:r w:rsidRPr="00AF6B73">
        <w:t>ChIP</w:t>
      </w:r>
      <w:proofErr w:type="spellEnd"/>
      <w:r w:rsidRPr="00AF6B73">
        <w:t xml:space="preserve"> data</w:t>
      </w:r>
      <w:r w:rsidR="00B217BB" w:rsidRPr="00B217BB">
        <w:t>. Moreover, the heterogeneous nature of cancer means that even tumor cells from a given patient usually show distinct molecular, morphological, and genetic profiles</w:t>
      </w:r>
      <w:r w:rsidR="00F45FBA">
        <w:fldChar w:fldCharType="begin"/>
      </w:r>
      <w:r w:rsidR="00615327">
        <w:instrText xml:space="preserve"> ADDIN EN.CITE &lt;EndNote&gt;&lt;Cite&gt;&lt;Author&gt;Meacham&lt;/Author&gt;&lt;Year&gt;2013&lt;/Year&gt;&lt;RecNum&gt;46&lt;/RecNum&gt;&lt;DisplayText&gt;&lt;style face="superscript"&gt;38&lt;/style&gt;&lt;/DisplayText&gt;&lt;record&gt;&lt;rec-number&gt;46&lt;/rec-number&gt;&lt;foreign-keys&gt;&lt;key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615327" w:rsidRPr="00615327">
        <w:rPr>
          <w:noProof/>
          <w:vertAlign w:val="superscript"/>
        </w:rPr>
        <w:t>38</w:t>
      </w:r>
      <w:r w:rsidR="00F45FBA">
        <w:fldChar w:fldCharType="end"/>
      </w:r>
      <w:r w:rsidR="00B217BB" w:rsidRPr="00B217BB">
        <w:t>. It will be difficult to obtain a "perfect" match even from real tumor and normal tissues taken from a single patient.</w:t>
      </w:r>
    </w:p>
    <w:p w14:paraId="1B14FD3F" w14:textId="7A122CEC" w:rsidR="00B217BB" w:rsidRDefault="00B217BB" w:rsidP="00B217BB">
      <w:pPr>
        <w:pStyle w:val="NoSpacing"/>
      </w:pPr>
      <w:r w:rsidRPr="00B217BB">
        <w:t>In general, our</w:t>
      </w:r>
      <w:r w:rsidRPr="0050325C">
        <w:t xml:space="preserve"> study underscores the value of large-scale data integration, and we note that expanding the scale of our </w:t>
      </w:r>
      <w:r w:rsidRPr="009D3860">
        <w:t xml:space="preserve">approach in a number of dimensions is straightforward. </w:t>
      </w:r>
      <w:r w:rsidRPr="008058A0">
        <w:rPr>
          <w:color w:val="2F5496" w:themeColor="accent5" w:themeShade="BF"/>
        </w:rPr>
        <w:t xml:space="preserve">For example, we observed increased accuracy in BMR estimation with additional genomic features; we expect that this accuracy will increase further still with more features. </w:t>
      </w:r>
      <w:r w:rsidRPr="009D3860">
        <w:t xml:space="preserve">We successfully formed compact annotations and regulatory networks for model systems already replete with advanced functional assays like eCLIP and STARR-seq; our methods can be readily extended to </w:t>
      </w:r>
      <w:r w:rsidR="00837E33" w:rsidRPr="009D3860">
        <w:t>further</w:t>
      </w:r>
      <w:r w:rsidRPr="009D3860">
        <w:t xml:space="preserve"> model systems when they are similarly assayed in the future.</w:t>
      </w:r>
      <w:r w:rsidR="00F45FBA" w:rsidRPr="009D3860">
        <w:t xml:space="preserve"> </w:t>
      </w:r>
      <w:r w:rsidRPr="009D3860">
        <w:t xml:space="preserve">Given the rewiring formalism presented here, it should be straightforward to expand the analysis to greater numbers of TFs. (In fact, the re-wiring formalism </w:t>
      </w:r>
      <w:r w:rsidR="00837E33" w:rsidRPr="009D3860">
        <w:t xml:space="preserve">actually </w:t>
      </w:r>
      <w:r w:rsidRPr="009D3860">
        <w:t xml:space="preserve">provides a way of selecting candidate TFs and cell types.) This will give us a greater sense of which regulators </w:t>
      </w:r>
      <w:r w:rsidR="00837E33" w:rsidRPr="009D3860">
        <w:t>are</w:t>
      </w:r>
      <w:r w:rsidRPr="009D3860">
        <w:t xml:space="preserve"> affected by extensive chromatin changes and thus help prioritize research efforts in cancer. </w:t>
      </w:r>
    </w:p>
    <w:p w14:paraId="1F88D118" w14:textId="1171F8B4" w:rsidR="008058A0" w:rsidRPr="008058A0" w:rsidRDefault="008058A0" w:rsidP="00B217BB">
      <w:pPr>
        <w:pStyle w:val="NoSpacing"/>
        <w:rPr>
          <w:color w:val="FF0000"/>
        </w:rPr>
      </w:pPr>
      <w:r w:rsidRPr="008058A0">
        <w:rPr>
          <w:color w:val="FF0000"/>
        </w:rPr>
        <w:t>(Single cells here)</w:t>
      </w:r>
    </w:p>
    <w:p w14:paraId="6388C656" w14:textId="4F898ADF" w:rsidR="00792D1A" w:rsidRDefault="00B217BB" w:rsidP="0098308D">
      <w:pPr>
        <w:pStyle w:val="NoSpacing"/>
      </w:pPr>
      <w:r w:rsidRPr="009D3860">
        <w:t>Finally, we demonstrated the utility of our resource for assisting in the detection of potential cancer drivers in limited publically available cohorts; we anticipate that linking it with the large cohorts currently being assembled (e</w:t>
      </w:r>
      <w:r w:rsidR="00261C88" w:rsidRPr="009D3860">
        <w:t>.</w:t>
      </w:r>
      <w:r w:rsidRPr="009D3860">
        <w:t>g</w:t>
      </w:r>
      <w:r w:rsidR="00261C88" w:rsidRPr="009D3860">
        <w:t>.,</w:t>
      </w:r>
      <w:r w:rsidRPr="009D3860">
        <w:t xml:space="preserve"> PCAWG, </w:t>
      </w:r>
      <w:hyperlink r:id="rId19" w:tgtFrame="_blank" w:history="1">
        <w:r w:rsidRPr="009D3860">
          <w:t>pancaner.info</w:t>
        </w:r>
      </w:hyperlink>
      <w:r w:rsidRPr="009D3860">
        <w:t xml:space="preserve">) will more fully utilize </w:t>
      </w:r>
      <w:r w:rsidR="00837E33" w:rsidRPr="009D3860">
        <w:t>EN-CODEC</w:t>
      </w:r>
      <w:r w:rsidRPr="009D3860">
        <w:t xml:space="preserve"> and provide</w:t>
      </w:r>
      <w:r w:rsidRPr="00B217BB">
        <w:t xml:space="preserve"> even greater value</w:t>
      </w:r>
      <w:r w:rsidRPr="0050325C">
        <w:t>.</w:t>
      </w:r>
    </w:p>
    <w:p w14:paraId="2142E229" w14:textId="77777777" w:rsidR="007C1FBE" w:rsidRPr="0098308D" w:rsidRDefault="007C1FBE" w:rsidP="0098308D">
      <w:pPr>
        <w:pStyle w:val="NoSpacing"/>
      </w:pPr>
    </w:p>
    <w:p w14:paraId="5305D17F" w14:textId="43563B5E" w:rsidR="000430CE" w:rsidRDefault="007C1FBE">
      <w:pPr>
        <w:spacing w:line="276" w:lineRule="auto"/>
      </w:pPr>
      <w:r>
        <w:br w:type="page"/>
      </w:r>
    </w:p>
    <w:p w14:paraId="63E0C9A2" w14:textId="77777777" w:rsidR="000430CE" w:rsidRPr="005F57A4" w:rsidRDefault="000430CE" w:rsidP="005F57A4">
      <w:pPr>
        <w:pStyle w:val="Heading2"/>
      </w:pPr>
      <w:r w:rsidRPr="005F57A4">
        <w:lastRenderedPageBreak/>
        <w:t>Figure Legend</w:t>
      </w:r>
    </w:p>
    <w:p w14:paraId="73ABFD64" w14:textId="77777777" w:rsidR="000430CE" w:rsidRPr="007D7A5F" w:rsidRDefault="000430CE" w:rsidP="000430CE">
      <w:r w:rsidRPr="007D7A5F">
        <w:rPr>
          <w:b/>
          <w:bCs/>
          <w:color w:val="000000"/>
          <w:sz w:val="28"/>
          <w:szCs w:val="28"/>
        </w:rPr>
        <w:t>Figure 1</w:t>
      </w:r>
    </w:p>
    <w:p w14:paraId="2824DB32" w14:textId="04636951" w:rsidR="000430CE" w:rsidRPr="002C3017" w:rsidRDefault="000430CE" w:rsidP="000430CE">
      <w:pPr>
        <w:jc w:val="both"/>
        <w:rPr>
          <w:color w:val="000000"/>
        </w:rPr>
      </w:pPr>
      <w:r w:rsidRPr="002C3017">
        <w:rPr>
          <w:b/>
          <w:color w:val="000000"/>
        </w:rPr>
        <w:t>Schematic of the EN-CODEC resource.</w:t>
      </w:r>
      <w:r w:rsidRPr="002C3017">
        <w:rPr>
          <w:color w:val="000000"/>
        </w:rPr>
        <w:t xml:space="preserve"> Columns list cell types and rows list assays. </w:t>
      </w:r>
      <w:r w:rsidRPr="002C3017">
        <w:rPr>
          <w:b/>
          <w:color w:val="000000"/>
        </w:rPr>
        <w:t>Pink</w:t>
      </w:r>
      <w:r w:rsidRPr="002C3017">
        <w:rPr>
          <w:color w:val="000000"/>
        </w:rPr>
        <w:t xml:space="preserve"> </w:t>
      </w:r>
      <w:r w:rsidRPr="002C3017">
        <w:rPr>
          <w:b/>
          <w:color w:val="000000"/>
        </w:rPr>
        <w:t>box</w:t>
      </w:r>
      <w:r w:rsidRPr="002C3017">
        <w:rPr>
          <w:color w:val="000000"/>
        </w:rPr>
        <w:t xml:space="preserve">: “Top-tier” cancer-associated resources in ENCODE highlighting the depth of the resource. </w:t>
      </w:r>
      <w:r w:rsidRPr="002C3017">
        <w:rPr>
          <w:b/>
          <w:color w:val="000000"/>
        </w:rPr>
        <w:t>Yellow box</w:t>
      </w:r>
      <w:r w:rsidRPr="002C3017">
        <w:rPr>
          <w:color w:val="000000"/>
        </w:rPr>
        <w:t xml:space="preserve">: Cell types with several assays in the main ENCODE Encyclopedia highlighting the breadth of the resource. </w:t>
      </w:r>
      <w:r w:rsidRPr="002C3017">
        <w:rPr>
          <w:b/>
          <w:color w:val="000000"/>
        </w:rPr>
        <w:t>Green box</w:t>
      </w:r>
      <w:r w:rsidRPr="002C3017">
        <w:rPr>
          <w:color w:val="000000"/>
        </w:rPr>
        <w:t xml:space="preserve">: </w:t>
      </w:r>
      <w:r w:rsidR="00B257E7" w:rsidRPr="002C3017">
        <w:rPr>
          <w:color w:val="000000"/>
        </w:rPr>
        <w:t>Cell-type specific</w:t>
      </w:r>
      <w:r w:rsidRPr="002C3017">
        <w:rPr>
          <w:color w:val="000000"/>
        </w:rPr>
        <w:t xml:space="preserve"> analyses based on deep annotations of top-tier cell lines. </w:t>
      </w:r>
      <w:r w:rsidRPr="002C3017">
        <w:rPr>
          <w:b/>
          <w:color w:val="000000"/>
        </w:rPr>
        <w:t>Blue box</w:t>
      </w:r>
      <w:r w:rsidRPr="002C3017">
        <w:rPr>
          <w:color w:val="000000"/>
        </w:rPr>
        <w:t>: Merged analyses based on wide-coverage of many cell types. The actual content of our resources (annotations, background mutation rate, networks) are shown in the dotted black box.</w:t>
      </w:r>
    </w:p>
    <w:p w14:paraId="28F9C3A3" w14:textId="77777777" w:rsidR="000430CE" w:rsidRPr="007D7A5F" w:rsidRDefault="000430CE" w:rsidP="000430CE">
      <w:pPr>
        <w:jc w:val="both"/>
      </w:pPr>
    </w:p>
    <w:p w14:paraId="10D32015" w14:textId="77777777" w:rsidR="000430CE" w:rsidRPr="007D7A5F" w:rsidRDefault="000430CE" w:rsidP="000430CE">
      <w:r w:rsidRPr="007D7A5F">
        <w:rPr>
          <w:b/>
          <w:bCs/>
          <w:color w:val="000000"/>
          <w:sz w:val="28"/>
          <w:szCs w:val="28"/>
        </w:rPr>
        <w:t>Figure 2</w:t>
      </w:r>
    </w:p>
    <w:p w14:paraId="0E826D45" w14:textId="0C293C00" w:rsidR="000430CE" w:rsidRPr="002C3017" w:rsidRDefault="000430CE" w:rsidP="000430CE">
      <w:pPr>
        <w:jc w:val="both"/>
        <w:rPr>
          <w:color w:val="000000"/>
        </w:rPr>
      </w:pPr>
      <w:r w:rsidRPr="002C3017">
        <w:rPr>
          <w:b/>
          <w:color w:val="000000"/>
        </w:rPr>
        <w:t>BMR modeling and mutation burden analysis.</w:t>
      </w:r>
      <w:r w:rsidRPr="002C3017">
        <w:rPr>
          <w:color w:val="000000"/>
        </w:rPr>
        <w:t xml:space="preserve"> </w:t>
      </w:r>
      <w:r w:rsidRPr="002C3017">
        <w:rPr>
          <w:b/>
          <w:color w:val="000000"/>
        </w:rPr>
        <w:t>(</w:t>
      </w:r>
      <w:proofErr w:type="spellStart"/>
      <w:r w:rsidRPr="002C3017">
        <w:rPr>
          <w:b/>
          <w:color w:val="000000"/>
        </w:rPr>
        <w:t>A</w:t>
      </w:r>
      <w:proofErr w:type="spellEnd"/>
      <w:r w:rsidRPr="002C3017">
        <w:rPr>
          <w:b/>
          <w:color w:val="000000"/>
        </w:rPr>
        <w:t>)</w:t>
      </w:r>
      <w:r w:rsidRPr="002C3017">
        <w:rPr>
          <w:color w:val="000000"/>
        </w:rPr>
        <w:t xml:space="preserve"> Improvement of BMR estimation by accumulation of principal components of multiple genomic features. </w:t>
      </w:r>
      <w:r w:rsidRPr="002C3017">
        <w:rPr>
          <w:b/>
          <w:color w:val="000000"/>
        </w:rPr>
        <w:t>(B)</w:t>
      </w:r>
      <w:r w:rsidRPr="002C3017">
        <w:rPr>
          <w:color w:val="000000"/>
        </w:rPr>
        <w:t xml:space="preserve"> </w:t>
      </w:r>
      <w:r w:rsidR="00321241" w:rsidRPr="002C3017">
        <w:rPr>
          <w:color w:val="000000"/>
        </w:rPr>
        <w:t>In breast cancer, r</w:t>
      </w:r>
      <w:r w:rsidRPr="002C3017">
        <w:rPr>
          <w:color w:val="000000"/>
        </w:rPr>
        <w:t xml:space="preserve">egression coefficients of remaining features after incorporating MCF-7 replication timing. </w:t>
      </w:r>
      <w:r w:rsidRPr="002C3017">
        <w:rPr>
          <w:b/>
          <w:color w:val="000000"/>
        </w:rPr>
        <w:t>(C)</w:t>
      </w:r>
      <w:r w:rsidRPr="002C3017">
        <w:rPr>
          <w:color w:val="000000"/>
        </w:rPr>
        <w:t xml:space="preserve"> Schematic of extended gene</w:t>
      </w:r>
      <w:r w:rsidR="00D8645E" w:rsidRPr="002C3017">
        <w:rPr>
          <w:color w:val="000000"/>
        </w:rPr>
        <w:t xml:space="preserve"> definition</w:t>
      </w:r>
      <w:r w:rsidRPr="002C3017">
        <w:rPr>
          <w:color w:val="000000"/>
        </w:rPr>
        <w:t xml:space="preserve">. </w:t>
      </w:r>
      <w:r w:rsidRPr="002C3017">
        <w:rPr>
          <w:b/>
          <w:color w:val="000000"/>
        </w:rPr>
        <w:t>(D)</w:t>
      </w:r>
      <w:r w:rsidRPr="002C3017">
        <w:rPr>
          <w:color w:val="000000"/>
        </w:rPr>
        <w:t xml:space="preserve"> Significantly burdened genes using noncoding elements (TSS), coding regions (CDS) and extended genes, alongside germline mutational status in liver cancer. </w:t>
      </w:r>
      <w:r w:rsidRPr="002C3017">
        <w:rPr>
          <w:b/>
          <w:color w:val="000000"/>
        </w:rPr>
        <w:t>(E)</w:t>
      </w:r>
      <w:r w:rsidRPr="002C3017">
        <w:rPr>
          <w:color w:val="000000"/>
        </w:rPr>
        <w:t xml:space="preserve"> Expression of BCL6, which is only identified as recurrently mutated using extended genes, is correlated with patient survival.</w:t>
      </w:r>
    </w:p>
    <w:p w14:paraId="3CA6A6EA" w14:textId="77777777" w:rsidR="000430CE" w:rsidRPr="007D7A5F" w:rsidRDefault="000430CE" w:rsidP="000430CE"/>
    <w:p w14:paraId="605E3759" w14:textId="77777777" w:rsidR="000430CE" w:rsidRPr="007D7A5F" w:rsidRDefault="000430CE" w:rsidP="000430CE">
      <w:r w:rsidRPr="007D7A5F">
        <w:rPr>
          <w:b/>
          <w:bCs/>
          <w:color w:val="000000"/>
          <w:sz w:val="28"/>
          <w:szCs w:val="28"/>
        </w:rPr>
        <w:t>Figure 3</w:t>
      </w:r>
    </w:p>
    <w:p w14:paraId="197E3118" w14:textId="56B8C475" w:rsidR="000430CE" w:rsidRPr="002C3017" w:rsidRDefault="000430CE" w:rsidP="000430CE">
      <w:pPr>
        <w:jc w:val="both"/>
        <w:rPr>
          <w:color w:val="000000"/>
        </w:rPr>
      </w:pPr>
      <w:r w:rsidRPr="002C3017">
        <w:rPr>
          <w:b/>
          <w:color w:val="000000"/>
        </w:rPr>
        <w:t>Integration of ENCODE networks with expression profiles.</w:t>
      </w:r>
      <w:r w:rsidRPr="002C3017">
        <w:rPr>
          <w:color w:val="000000"/>
        </w:rPr>
        <w:t xml:space="preserve"> </w:t>
      </w:r>
      <w:r w:rsidRPr="002C3017">
        <w:rPr>
          <w:b/>
          <w:color w:val="000000"/>
        </w:rPr>
        <w:t>(A)</w:t>
      </w:r>
      <w:r w:rsidRPr="002C3017">
        <w:rPr>
          <w:color w:val="000000"/>
        </w:rPr>
        <w:t xml:space="preserve"> Heatmap of regulatory potentials of TFs/RBPs to drive tumor-to-normal expression changes; red </w:t>
      </w:r>
      <w:r w:rsidR="0042540F" w:rsidRPr="002C3017">
        <w:rPr>
          <w:color w:val="000000"/>
        </w:rPr>
        <w:t xml:space="preserve">and blue </w:t>
      </w:r>
      <w:r w:rsidRPr="002C3017">
        <w:rPr>
          <w:color w:val="000000"/>
        </w:rPr>
        <w:t>indicate up</w:t>
      </w:r>
      <w:r w:rsidR="0042540F" w:rsidRPr="002C3017">
        <w:rPr>
          <w:color w:val="000000"/>
        </w:rPr>
        <w:t>- and down-</w:t>
      </w:r>
      <w:r w:rsidRPr="002C3017">
        <w:rPr>
          <w:color w:val="000000"/>
        </w:rPr>
        <w:t xml:space="preserve"> regulation. </w:t>
      </w:r>
      <w:r w:rsidRPr="002C3017">
        <w:rPr>
          <w:b/>
          <w:color w:val="000000"/>
        </w:rPr>
        <w:t>(B)</w:t>
      </w:r>
      <w:r w:rsidRPr="002C3017">
        <w:rPr>
          <w:color w:val="000000"/>
        </w:rPr>
        <w:t xml:space="preserve"> Elevated MYC regulation activity is associated with reduced disease specific survival (DSS) in breast cancer (top); MYC knockdown in MCF-7 leads to significantly larger expression reduction in MYC target genes (bottom). </w:t>
      </w:r>
      <w:r w:rsidRPr="002C3017">
        <w:rPr>
          <w:b/>
          <w:color w:val="000000"/>
        </w:rPr>
        <w:t>(C)</w:t>
      </w:r>
      <w:r w:rsidRPr="002C3017">
        <w:rPr>
          <w:color w:val="000000"/>
        </w:rPr>
        <w:t xml:space="preserve"> </w:t>
      </w:r>
      <w:r w:rsidRPr="002C3017">
        <w:rPr>
          <w:b/>
          <w:color w:val="000000"/>
        </w:rPr>
        <w:t>(</w:t>
      </w:r>
      <w:proofErr w:type="spellStart"/>
      <w:r w:rsidRPr="002C3017">
        <w:rPr>
          <w:b/>
          <w:color w:val="000000"/>
        </w:rPr>
        <w:t>i</w:t>
      </w:r>
      <w:proofErr w:type="spellEnd"/>
      <w:r w:rsidRPr="002C3017">
        <w:rPr>
          <w:b/>
          <w:color w:val="000000"/>
        </w:rPr>
        <w:t>)</w:t>
      </w:r>
      <w:r w:rsidRPr="002C3017">
        <w:rPr>
          <w:color w:val="000000"/>
        </w:rPr>
        <w:t xml:space="preserve"> MYC expression is more positively correlated with its target genes as compared to other TFs; </w:t>
      </w:r>
      <w:r w:rsidRPr="002C3017">
        <w:rPr>
          <w:b/>
          <w:color w:val="000000"/>
        </w:rPr>
        <w:t>(ii)</w:t>
      </w:r>
      <w:r w:rsidRPr="002C3017">
        <w:rPr>
          <w:color w:val="000000"/>
        </w:rPr>
        <w:t xml:space="preserve"> MYC frequently form FFLs with NRF1, and these are mostly coherent; </w:t>
      </w:r>
      <w:r w:rsidRPr="002C3017">
        <w:rPr>
          <w:b/>
          <w:color w:val="000000"/>
        </w:rPr>
        <w:t>(iii)</w:t>
      </w:r>
      <w:r w:rsidRPr="002C3017">
        <w:rPr>
          <w:color w:val="000000"/>
        </w:rPr>
        <w:t xml:space="preserve"> In the MYC-NRF1 FFLs, OR-gate logic predominates. (</w:t>
      </w:r>
      <w:r w:rsidRPr="002C3017">
        <w:rPr>
          <w:b/>
          <w:color w:val="000000"/>
        </w:rPr>
        <w:t>D</w:t>
      </w:r>
      <w:r w:rsidRPr="002C3017">
        <w:rPr>
          <w:color w:val="000000"/>
        </w:rPr>
        <w:t xml:space="preserve">) Elevated SUB1 regulation activity is associated with </w:t>
      </w:r>
      <w:r w:rsidR="0039493C" w:rsidRPr="002C3017">
        <w:rPr>
          <w:color w:val="000000"/>
        </w:rPr>
        <w:t>reduced</w:t>
      </w:r>
      <w:r w:rsidRPr="002C3017">
        <w:rPr>
          <w:color w:val="000000"/>
        </w:rPr>
        <w:t xml:space="preserve"> overall survival (OS) in lung cancer (top); SUB1 knockdown in HepG2 leads to reduced target gene expressions (bottom).</w:t>
      </w:r>
    </w:p>
    <w:p w14:paraId="192E1E71" w14:textId="77777777" w:rsidR="000430CE" w:rsidRPr="00C21E6F" w:rsidRDefault="000430CE" w:rsidP="000430CE">
      <w:pPr>
        <w:jc w:val="both"/>
        <w:rPr>
          <w:color w:val="000000"/>
          <w:sz w:val="28"/>
          <w:szCs w:val="28"/>
        </w:rPr>
      </w:pPr>
    </w:p>
    <w:p w14:paraId="19529BC9" w14:textId="77777777" w:rsidR="000430CE" w:rsidRPr="007D7A5F" w:rsidRDefault="000430CE" w:rsidP="000430CE">
      <w:r w:rsidRPr="007D7A5F">
        <w:rPr>
          <w:b/>
          <w:bCs/>
          <w:color w:val="000000"/>
          <w:sz w:val="28"/>
          <w:szCs w:val="28"/>
        </w:rPr>
        <w:t>Figure 4</w:t>
      </w:r>
    </w:p>
    <w:p w14:paraId="112F337B" w14:textId="7DDDE29F" w:rsidR="000430CE" w:rsidRPr="002C3017" w:rsidRDefault="000430CE" w:rsidP="000430CE">
      <w:pPr>
        <w:jc w:val="both"/>
        <w:rPr>
          <w:color w:val="000000"/>
        </w:rPr>
      </w:pPr>
      <w:r w:rsidRPr="002C3017">
        <w:rPr>
          <w:b/>
          <w:color w:val="000000"/>
        </w:rPr>
        <w:t>Regulatory network hierarchies.</w:t>
      </w:r>
      <w:r w:rsidRPr="002C3017">
        <w:rPr>
          <w:color w:val="000000"/>
        </w:rPr>
        <w:t xml:space="preserve"> TFs are organized into layers such that </w:t>
      </w:r>
      <w:r w:rsidR="008D54D1" w:rsidRPr="002C3017">
        <w:rPr>
          <w:color w:val="000000"/>
        </w:rPr>
        <w:t xml:space="preserve">top layer </w:t>
      </w:r>
      <w:r w:rsidRPr="002C3017">
        <w:rPr>
          <w:color w:val="000000"/>
        </w:rPr>
        <w:t>TFs tend to regulate other</w:t>
      </w:r>
      <w:r w:rsidR="008D54D1" w:rsidRPr="002C3017">
        <w:rPr>
          <w:color w:val="000000"/>
        </w:rPr>
        <w:t>s</w:t>
      </w:r>
      <w:r w:rsidRPr="002C3017">
        <w:rPr>
          <w:color w:val="000000"/>
        </w:rPr>
        <w:t xml:space="preserve">, while </w:t>
      </w:r>
      <w:r w:rsidR="00ED571B" w:rsidRPr="002C3017">
        <w:rPr>
          <w:color w:val="000000"/>
        </w:rPr>
        <w:t xml:space="preserve">bottom layer </w:t>
      </w:r>
      <w:r w:rsidR="00A26F63" w:rsidRPr="002C3017">
        <w:rPr>
          <w:color w:val="000000"/>
        </w:rPr>
        <w:t xml:space="preserve">TFs </w:t>
      </w:r>
      <w:r w:rsidRPr="002C3017">
        <w:rPr>
          <w:color w:val="000000"/>
        </w:rPr>
        <w:t>tend to be regulated by other</w:t>
      </w:r>
      <w:r w:rsidR="00ED571B" w:rsidRPr="002C3017">
        <w:rPr>
          <w:color w:val="000000"/>
        </w:rPr>
        <w:t>s</w:t>
      </w:r>
      <w:r w:rsidRPr="002C3017">
        <w:rPr>
          <w:color w:val="000000"/>
        </w:rPr>
        <w:t xml:space="preserve">. </w:t>
      </w:r>
      <w:r w:rsidRPr="002C3017">
        <w:rPr>
          <w:b/>
          <w:color w:val="000000"/>
        </w:rPr>
        <w:t>(A)</w:t>
      </w:r>
      <w:r w:rsidRPr="002C3017">
        <w:rPr>
          <w:color w:val="000000"/>
        </w:rPr>
        <w:t xml:space="preserve"> Generalized network: </w:t>
      </w:r>
      <w:r w:rsidR="001B23EA" w:rsidRPr="002C3017">
        <w:rPr>
          <w:color w:val="000000"/>
        </w:rPr>
        <w:t xml:space="preserve">top layer </w:t>
      </w:r>
      <w:r w:rsidRPr="002C3017">
        <w:rPr>
          <w:color w:val="000000"/>
        </w:rPr>
        <w:t xml:space="preserve">TFs are enriched with cancer associated genes and demonstrate larger regulation potentials to drive tumor-to-normal gene expression changes. </w:t>
      </w:r>
      <w:r w:rsidRPr="002C3017">
        <w:rPr>
          <w:b/>
          <w:color w:val="000000"/>
        </w:rPr>
        <w:t>(B)</w:t>
      </w:r>
      <w:r w:rsidRPr="002C3017">
        <w:rPr>
          <w:color w:val="000000"/>
        </w:rPr>
        <w:t xml:space="preserve"> Cell</w:t>
      </w:r>
      <w:r w:rsidR="00CB265A" w:rsidRPr="002C3017">
        <w:rPr>
          <w:color w:val="000000"/>
        </w:rPr>
        <w:t>-</w:t>
      </w:r>
      <w:r w:rsidRPr="002C3017">
        <w:rPr>
          <w:color w:val="000000"/>
        </w:rPr>
        <w:t>type specific network using K562 and GM12878: top layer TFs significantly drive tumor-normal differential expression; bottom layer TFs are more often associated with burdened binding sites.</w:t>
      </w:r>
    </w:p>
    <w:p w14:paraId="5AD6B7C5" w14:textId="77777777" w:rsidR="000430CE" w:rsidRPr="007D7A5F" w:rsidRDefault="000430CE" w:rsidP="000430CE">
      <w:r w:rsidRPr="007D7A5F">
        <w:t> </w:t>
      </w:r>
    </w:p>
    <w:p w14:paraId="7A54E258" w14:textId="77777777" w:rsidR="000430CE" w:rsidRPr="007D7A5F" w:rsidRDefault="000430CE" w:rsidP="000430CE">
      <w:r w:rsidRPr="007D7A5F">
        <w:rPr>
          <w:b/>
          <w:bCs/>
          <w:color w:val="000000"/>
          <w:sz w:val="28"/>
          <w:szCs w:val="28"/>
        </w:rPr>
        <w:t>Figure 5</w:t>
      </w:r>
    </w:p>
    <w:p w14:paraId="257C4BBF" w14:textId="77777777" w:rsidR="000430CE" w:rsidRPr="002C3017" w:rsidRDefault="000430CE" w:rsidP="000430CE">
      <w:pPr>
        <w:jc w:val="both"/>
        <w:rPr>
          <w:color w:val="000000"/>
        </w:rPr>
      </w:pPr>
      <w:r w:rsidRPr="002C3017">
        <w:rPr>
          <w:b/>
          <w:color w:val="000000"/>
        </w:rPr>
        <w:t>TF-Gene network rewiring.</w:t>
      </w:r>
      <w:r w:rsidRPr="002C3017">
        <w:rPr>
          <w:color w:val="000000"/>
        </w:rPr>
        <w:t xml:space="preserve"> Green and red arrows designate edge gain and loss, respectively. </w:t>
      </w:r>
      <w:r w:rsidRPr="002C3017">
        <w:rPr>
          <w:b/>
          <w:color w:val="000000"/>
        </w:rPr>
        <w:t>(A)</w:t>
      </w:r>
      <w:r w:rsidRPr="002C3017">
        <w:rPr>
          <w:color w:val="000000"/>
        </w:rPr>
        <w:t xml:space="preserve"> Rewiring index in a model for CML by direct edge counts using both proximal and distal networks (top) and by gene community analysis (bottom). TFs that gain edges tend to rewire away from stem cell-like state while TFs that lose edges tend to rewire toward stem cell-like state. </w:t>
      </w:r>
      <w:r w:rsidRPr="002C3017">
        <w:rPr>
          <w:b/>
          <w:color w:val="000000"/>
        </w:rPr>
        <w:t>(B)</w:t>
      </w:r>
      <w:r w:rsidRPr="002C3017">
        <w:rPr>
          <w:color w:val="000000"/>
        </w:rPr>
        <w:t xml:space="preserve"> </w:t>
      </w:r>
      <w:r w:rsidRPr="002C3017">
        <w:rPr>
          <w:color w:val="000000"/>
        </w:rPr>
        <w:lastRenderedPageBreak/>
        <w:t xml:space="preserve">Examples of network rewiring for specific TFs in multiple cancer types. </w:t>
      </w:r>
      <w:r w:rsidRPr="002C3017">
        <w:rPr>
          <w:b/>
          <w:color w:val="000000"/>
        </w:rPr>
        <w:t>(C)</w:t>
      </w:r>
      <w:r w:rsidRPr="002C3017">
        <w:rPr>
          <w:color w:val="000000"/>
        </w:rPr>
        <w:t xml:space="preserve"> Conceptual schematic for rewiring towards or away from a stem cell-like state. </w:t>
      </w:r>
      <w:r w:rsidRPr="002C3017">
        <w:rPr>
          <w:b/>
          <w:color w:val="000000"/>
        </w:rPr>
        <w:t>(D)</w:t>
      </w:r>
      <w:r w:rsidRPr="002C3017">
        <w:rPr>
          <w:color w:val="000000"/>
        </w:rPr>
        <w:t xml:space="preserve"> Genomic features associated with gained or lost edges.</w:t>
      </w:r>
    </w:p>
    <w:p w14:paraId="2C72A8F1" w14:textId="77777777" w:rsidR="000430CE" w:rsidRPr="007D7A5F" w:rsidRDefault="000430CE" w:rsidP="000430CE">
      <w:r w:rsidRPr="007D7A5F">
        <w:t> </w:t>
      </w:r>
    </w:p>
    <w:p w14:paraId="45C7F520" w14:textId="77777777" w:rsidR="000430CE" w:rsidRPr="007D7A5F" w:rsidRDefault="000430CE" w:rsidP="000430CE">
      <w:r w:rsidRPr="007D7A5F">
        <w:rPr>
          <w:b/>
          <w:bCs/>
          <w:color w:val="000000"/>
          <w:sz w:val="28"/>
          <w:szCs w:val="28"/>
        </w:rPr>
        <w:t>Figure 6</w:t>
      </w:r>
    </w:p>
    <w:p w14:paraId="2313A2B8" w14:textId="3D87EA96" w:rsidR="000430CE" w:rsidRPr="002C3017" w:rsidRDefault="000430CE" w:rsidP="000430CE">
      <w:pPr>
        <w:jc w:val="both"/>
        <w:rPr>
          <w:color w:val="000000"/>
        </w:rPr>
      </w:pPr>
      <w:r w:rsidRPr="002C3017">
        <w:rPr>
          <w:b/>
          <w:color w:val="000000"/>
        </w:rPr>
        <w:t>Variant prioritization and validation.</w:t>
      </w:r>
      <w:r w:rsidRPr="002C3017">
        <w:rPr>
          <w:color w:val="000000"/>
        </w:rPr>
        <w:t xml:space="preserve"> </w:t>
      </w:r>
      <w:r w:rsidRPr="002C3017">
        <w:rPr>
          <w:b/>
          <w:color w:val="000000"/>
        </w:rPr>
        <w:t>(A)</w:t>
      </w:r>
      <w:r w:rsidRPr="002C3017">
        <w:rPr>
          <w:color w:val="000000"/>
        </w:rPr>
        <w:t xml:space="preserve"> Stepwise variant prioritization scheme utilizing EN-CODEC resources. We prioritize large-scale regulators based on network and expression analysis; </w:t>
      </w:r>
      <w:r w:rsidR="00646BF5" w:rsidRPr="002C3017">
        <w:rPr>
          <w:color w:val="000000"/>
        </w:rPr>
        <w:t xml:space="preserve">regulatory </w:t>
      </w:r>
      <w:r w:rsidRPr="002C3017">
        <w:rPr>
          <w:color w:val="000000"/>
        </w:rPr>
        <w:t>element</w:t>
      </w:r>
      <w:r w:rsidR="00646BF5" w:rsidRPr="002C3017">
        <w:rPr>
          <w:color w:val="000000"/>
        </w:rPr>
        <w:t>s</w:t>
      </w:r>
      <w:r w:rsidRPr="002C3017">
        <w:rPr>
          <w:color w:val="000000"/>
        </w:rPr>
        <w:t xml:space="preserve"> based on mutation burden; then single nucleotide </w:t>
      </w:r>
      <w:r w:rsidR="00646BF5" w:rsidRPr="002C3017">
        <w:rPr>
          <w:color w:val="000000"/>
        </w:rPr>
        <w:t xml:space="preserve">by </w:t>
      </w:r>
      <w:r w:rsidRPr="002C3017">
        <w:rPr>
          <w:color w:val="000000"/>
        </w:rPr>
        <w:t xml:space="preserve">motif </w:t>
      </w:r>
      <w:r w:rsidR="00646BF5" w:rsidRPr="002C3017">
        <w:rPr>
          <w:color w:val="000000"/>
        </w:rPr>
        <w:t xml:space="preserve">gain/loss </w:t>
      </w:r>
      <w:r w:rsidRPr="002C3017">
        <w:rPr>
          <w:color w:val="000000"/>
        </w:rPr>
        <w:t>and conservation</w:t>
      </w:r>
      <w:r w:rsidR="00646BF5" w:rsidRPr="002C3017">
        <w:rPr>
          <w:color w:val="000000"/>
        </w:rPr>
        <w:t xml:space="preserve"> score</w:t>
      </w:r>
      <w:r w:rsidRPr="002C3017">
        <w:rPr>
          <w:color w:val="000000"/>
        </w:rPr>
        <w:t xml:space="preserve">. </w:t>
      </w:r>
      <w:r w:rsidRPr="002C3017">
        <w:rPr>
          <w:b/>
          <w:color w:val="000000"/>
        </w:rPr>
        <w:t>(B)</w:t>
      </w:r>
      <w:r w:rsidRPr="002C3017">
        <w:rPr>
          <w:color w:val="000000"/>
        </w:rPr>
        <w:t xml:space="preserve"> Small-scale validation of prioritized </w:t>
      </w:r>
      <w:r w:rsidR="00663F09" w:rsidRPr="002C3017">
        <w:rPr>
          <w:color w:val="000000"/>
        </w:rPr>
        <w:t>variants</w:t>
      </w:r>
      <w:r w:rsidRPr="002C3017">
        <w:rPr>
          <w:color w:val="000000"/>
        </w:rPr>
        <w:t xml:space="preserve"> using luciferase reporter assay. </w:t>
      </w:r>
      <w:r w:rsidRPr="002C3017">
        <w:rPr>
          <w:b/>
          <w:color w:val="000000"/>
        </w:rPr>
        <w:t>(C)</w:t>
      </w:r>
      <w:r w:rsidRPr="002C3017">
        <w:rPr>
          <w:color w:val="000000"/>
        </w:rPr>
        <w:t xml:space="preserve"> Multiscale integrative analysis on Sample 5 with assorted functional genomics data. We start from large-scale Hi-C linkages, and then zoom into element level by highlighting signal tracks of histone modification marks and DNase hypersensitivity together with various TF binding events. At the nucleotide level, FOSL2 </w:t>
      </w:r>
      <w:r w:rsidR="008B2FBA" w:rsidRPr="002C3017">
        <w:rPr>
          <w:color w:val="000000"/>
        </w:rPr>
        <w:t xml:space="preserve">motif </w:t>
      </w:r>
      <w:r w:rsidRPr="002C3017">
        <w:rPr>
          <w:color w:val="000000"/>
        </w:rPr>
        <w:t>is disrupted.</w:t>
      </w:r>
    </w:p>
    <w:p w14:paraId="5E0E4102" w14:textId="77777777" w:rsidR="007C1FBE" w:rsidRDefault="007C1FBE">
      <w:pPr>
        <w:spacing w:line="276" w:lineRule="auto"/>
        <w:rPr>
          <w:rFonts w:cs="Arial"/>
          <w:b/>
          <w:color w:val="000000"/>
          <w:sz w:val="32"/>
          <w:szCs w:val="32"/>
          <w:lang w:eastAsia="en-US"/>
        </w:rPr>
      </w:pPr>
    </w:p>
    <w:p w14:paraId="25280A33" w14:textId="77777777" w:rsidR="00583008" w:rsidRDefault="00583008">
      <w:pPr>
        <w:spacing w:line="276" w:lineRule="auto"/>
        <w:rPr>
          <w:rFonts w:cs="Arial"/>
          <w:b/>
          <w:color w:val="000000"/>
          <w:sz w:val="32"/>
          <w:szCs w:val="32"/>
          <w:lang w:eastAsia="en-US"/>
        </w:rPr>
      </w:pPr>
      <w:r>
        <w:br w:type="page"/>
      </w:r>
    </w:p>
    <w:p w14:paraId="5E84FA87" w14:textId="61AC2C30" w:rsidR="005551C2" w:rsidRPr="001470F1" w:rsidRDefault="005551C2" w:rsidP="00A80B23">
      <w:pPr>
        <w:pStyle w:val="Heading2"/>
      </w:pPr>
      <w:r w:rsidRPr="001470F1">
        <w:lastRenderedPageBreak/>
        <w:t>Reference</w:t>
      </w:r>
    </w:p>
    <w:p w14:paraId="7F18301B" w14:textId="77777777" w:rsidR="004B1319" w:rsidRPr="001470F1" w:rsidRDefault="004B1319" w:rsidP="00792D1A">
      <w:pPr>
        <w:pStyle w:val="NoSpacing"/>
        <w:rPr>
          <w:sz w:val="28"/>
          <w:szCs w:val="28"/>
        </w:rPr>
      </w:pPr>
    </w:p>
    <w:p w14:paraId="5BD9FE31" w14:textId="77777777" w:rsidR="00615327" w:rsidRPr="00615327" w:rsidRDefault="004B1319" w:rsidP="00615327">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615327" w:rsidRPr="00615327">
        <w:rPr>
          <w:noProof/>
        </w:rPr>
        <w:t>1</w:t>
      </w:r>
      <w:r w:rsidR="00615327" w:rsidRPr="00615327">
        <w:rPr>
          <w:noProof/>
        </w:rPr>
        <w:tab/>
        <w:t>Cai, Q.</w:t>
      </w:r>
      <w:r w:rsidR="00615327" w:rsidRPr="00615327">
        <w:rPr>
          <w:i/>
          <w:noProof/>
        </w:rPr>
        <w:t xml:space="preserve"> et al.</w:t>
      </w:r>
      <w:r w:rsidR="00615327" w:rsidRPr="00615327">
        <w:rPr>
          <w:noProof/>
        </w:rPr>
        <w:t xml:space="preserve"> Genome-wide association analysis in East Asians identifies breast cancer susceptibility loci at 1q32.1, 5q14.3 and 15q26.1. </w:t>
      </w:r>
      <w:r w:rsidR="00615327" w:rsidRPr="00615327">
        <w:rPr>
          <w:i/>
          <w:noProof/>
        </w:rPr>
        <w:t>Nat Genet</w:t>
      </w:r>
      <w:r w:rsidR="00615327" w:rsidRPr="00615327">
        <w:rPr>
          <w:noProof/>
        </w:rPr>
        <w:t xml:space="preserve"> </w:t>
      </w:r>
      <w:r w:rsidR="00615327" w:rsidRPr="00615327">
        <w:rPr>
          <w:b/>
          <w:noProof/>
        </w:rPr>
        <w:t>46</w:t>
      </w:r>
      <w:r w:rsidR="00615327" w:rsidRPr="00615327">
        <w:rPr>
          <w:noProof/>
        </w:rPr>
        <w:t>, 886-890, doi:10.1038/ng.3041 (2014).</w:t>
      </w:r>
    </w:p>
    <w:p w14:paraId="419AB127" w14:textId="77777777" w:rsidR="00615327" w:rsidRPr="00615327" w:rsidRDefault="00615327" w:rsidP="00615327">
      <w:pPr>
        <w:pStyle w:val="EndNoteBibliography"/>
        <w:ind w:left="720" w:hanging="720"/>
        <w:rPr>
          <w:noProof/>
        </w:rPr>
      </w:pPr>
      <w:r w:rsidRPr="00615327">
        <w:rPr>
          <w:noProof/>
        </w:rPr>
        <w:t>2</w:t>
      </w:r>
      <w:r w:rsidRPr="00615327">
        <w:rPr>
          <w:noProof/>
        </w:rPr>
        <w:tab/>
        <w:t>Jager, R.</w:t>
      </w:r>
      <w:r w:rsidRPr="00615327">
        <w:rPr>
          <w:i/>
          <w:noProof/>
        </w:rPr>
        <w:t xml:space="preserve"> et al.</w:t>
      </w:r>
      <w:r w:rsidRPr="00615327">
        <w:rPr>
          <w:noProof/>
        </w:rPr>
        <w:t xml:space="preserve"> Capture Hi-C identifies the chromatin interactome of colorectal cancer risk loci. </w:t>
      </w:r>
      <w:r w:rsidRPr="00615327">
        <w:rPr>
          <w:i/>
          <w:noProof/>
        </w:rPr>
        <w:t>Nat Commun</w:t>
      </w:r>
      <w:r w:rsidRPr="00615327">
        <w:rPr>
          <w:noProof/>
        </w:rPr>
        <w:t xml:space="preserve"> </w:t>
      </w:r>
      <w:r w:rsidRPr="00615327">
        <w:rPr>
          <w:b/>
          <w:noProof/>
        </w:rPr>
        <w:t>6</w:t>
      </w:r>
      <w:r w:rsidRPr="00615327">
        <w:rPr>
          <w:noProof/>
        </w:rPr>
        <w:t>, 6178, doi:10.1038/ncomms7178 (2015).</w:t>
      </w:r>
    </w:p>
    <w:p w14:paraId="24AF6CE4" w14:textId="77777777" w:rsidR="00615327" w:rsidRPr="00615327" w:rsidRDefault="00615327" w:rsidP="00615327">
      <w:pPr>
        <w:pStyle w:val="EndNoteBibliography"/>
        <w:ind w:left="720" w:hanging="720"/>
        <w:rPr>
          <w:noProof/>
        </w:rPr>
      </w:pPr>
      <w:r w:rsidRPr="00615327">
        <w:rPr>
          <w:noProof/>
        </w:rPr>
        <w:t>3</w:t>
      </w:r>
      <w:r w:rsidRPr="00615327">
        <w:rPr>
          <w:noProof/>
        </w:rPr>
        <w:tab/>
        <w:t xml:space="preserve">Fredriksson, N. J., Ny, L., Nilsson, J. A. &amp; Larsson, E. Systematic analysis of noncoding somatic mutations and gene expression alterations across 14 tumor types. </w:t>
      </w:r>
      <w:r w:rsidRPr="00615327">
        <w:rPr>
          <w:i/>
          <w:noProof/>
        </w:rPr>
        <w:t>Nat Genet</w:t>
      </w:r>
      <w:r w:rsidRPr="00615327">
        <w:rPr>
          <w:noProof/>
        </w:rPr>
        <w:t xml:space="preserve"> </w:t>
      </w:r>
      <w:r w:rsidRPr="00615327">
        <w:rPr>
          <w:b/>
          <w:noProof/>
        </w:rPr>
        <w:t>46</w:t>
      </w:r>
      <w:r w:rsidRPr="00615327">
        <w:rPr>
          <w:noProof/>
        </w:rPr>
        <w:t>, 1258-1263, doi:10.1038/ng.3141 (2014).</w:t>
      </w:r>
    </w:p>
    <w:p w14:paraId="55FAE374" w14:textId="77777777" w:rsidR="00615327" w:rsidRPr="00615327" w:rsidRDefault="00615327" w:rsidP="00615327">
      <w:pPr>
        <w:pStyle w:val="EndNoteBibliography"/>
        <w:ind w:left="720" w:hanging="720"/>
        <w:rPr>
          <w:noProof/>
        </w:rPr>
      </w:pPr>
      <w:r w:rsidRPr="00615327">
        <w:rPr>
          <w:noProof/>
        </w:rPr>
        <w:t>4</w:t>
      </w:r>
      <w:r w:rsidRPr="00615327">
        <w:rPr>
          <w:noProof/>
        </w:rPr>
        <w:tab/>
        <w:t>Cancer Genome Atlas Research, N.</w:t>
      </w:r>
      <w:r w:rsidRPr="00615327">
        <w:rPr>
          <w:i/>
          <w:noProof/>
        </w:rPr>
        <w:t xml:space="preserve"> et al.</w:t>
      </w:r>
      <w:r w:rsidRPr="00615327">
        <w:rPr>
          <w:noProof/>
        </w:rPr>
        <w:t xml:space="preserve"> Integrated genomic and molecular characterization of cervical cancer. </w:t>
      </w:r>
      <w:r w:rsidRPr="00615327">
        <w:rPr>
          <w:i/>
          <w:noProof/>
        </w:rPr>
        <w:t>Nature</w:t>
      </w:r>
      <w:r w:rsidRPr="00615327">
        <w:rPr>
          <w:noProof/>
        </w:rPr>
        <w:t xml:space="preserve"> </w:t>
      </w:r>
      <w:r w:rsidRPr="00615327">
        <w:rPr>
          <w:b/>
          <w:noProof/>
        </w:rPr>
        <w:t>543</w:t>
      </w:r>
      <w:r w:rsidRPr="00615327">
        <w:rPr>
          <w:noProof/>
        </w:rPr>
        <w:t>, 378-384, doi:10.1038/nature21386 (2017).</w:t>
      </w:r>
    </w:p>
    <w:p w14:paraId="4C78AD64" w14:textId="77777777" w:rsidR="00615327" w:rsidRPr="00615327" w:rsidRDefault="00615327" w:rsidP="00615327">
      <w:pPr>
        <w:pStyle w:val="EndNoteBibliography"/>
        <w:ind w:left="720" w:hanging="720"/>
        <w:rPr>
          <w:noProof/>
        </w:rPr>
      </w:pPr>
      <w:r w:rsidRPr="00615327">
        <w:rPr>
          <w:noProof/>
        </w:rPr>
        <w:t>5</w:t>
      </w:r>
      <w:r w:rsidRPr="00615327">
        <w:rPr>
          <w:noProof/>
        </w:rPr>
        <w:tab/>
        <w:t>Hoadley, K. A.</w:t>
      </w:r>
      <w:r w:rsidRPr="00615327">
        <w:rPr>
          <w:i/>
          <w:noProof/>
        </w:rPr>
        <w:t xml:space="preserve"> et al.</w:t>
      </w:r>
      <w:r w:rsidRPr="00615327">
        <w:rPr>
          <w:noProof/>
        </w:rPr>
        <w:t xml:space="preserve"> Multiplatform analysis of 12 cancer types reveals molecular classification within and across tissues of origin. </w:t>
      </w:r>
      <w:r w:rsidRPr="00615327">
        <w:rPr>
          <w:i/>
          <w:noProof/>
        </w:rPr>
        <w:t>Cell</w:t>
      </w:r>
      <w:r w:rsidRPr="00615327">
        <w:rPr>
          <w:noProof/>
        </w:rPr>
        <w:t xml:space="preserve"> </w:t>
      </w:r>
      <w:r w:rsidRPr="00615327">
        <w:rPr>
          <w:b/>
          <w:noProof/>
        </w:rPr>
        <w:t>158</w:t>
      </w:r>
      <w:r w:rsidRPr="00615327">
        <w:rPr>
          <w:noProof/>
        </w:rPr>
        <w:t>, 929-944, doi:10.1016/j.cell.2014.06.049 (2014).</w:t>
      </w:r>
    </w:p>
    <w:p w14:paraId="6A7863C6" w14:textId="77777777" w:rsidR="00615327" w:rsidRPr="00615327" w:rsidRDefault="00615327" w:rsidP="00615327">
      <w:pPr>
        <w:pStyle w:val="EndNoteBibliography"/>
        <w:ind w:left="720" w:hanging="720"/>
        <w:rPr>
          <w:noProof/>
        </w:rPr>
      </w:pPr>
      <w:r w:rsidRPr="00615327">
        <w:rPr>
          <w:noProof/>
        </w:rPr>
        <w:t>6</w:t>
      </w:r>
      <w:r w:rsidRPr="00615327">
        <w:rPr>
          <w:noProof/>
        </w:rPr>
        <w:tab/>
        <w:t>Khurana, E.</w:t>
      </w:r>
      <w:r w:rsidRPr="00615327">
        <w:rPr>
          <w:i/>
          <w:noProof/>
        </w:rPr>
        <w:t xml:space="preserve"> et al.</w:t>
      </w:r>
      <w:r w:rsidRPr="00615327">
        <w:rPr>
          <w:noProof/>
        </w:rPr>
        <w:t xml:space="preserve"> Integrative annotation of variants from 1092 humans: application to cancer genomics. </w:t>
      </w:r>
      <w:r w:rsidRPr="00615327">
        <w:rPr>
          <w:i/>
          <w:noProof/>
        </w:rPr>
        <w:t>Science</w:t>
      </w:r>
      <w:r w:rsidRPr="00615327">
        <w:rPr>
          <w:noProof/>
        </w:rPr>
        <w:t xml:space="preserve"> </w:t>
      </w:r>
      <w:r w:rsidRPr="00615327">
        <w:rPr>
          <w:b/>
          <w:noProof/>
        </w:rPr>
        <w:t>342</w:t>
      </w:r>
      <w:r w:rsidRPr="00615327">
        <w:rPr>
          <w:noProof/>
        </w:rPr>
        <w:t>, 1235587, doi:10.1126/science.1235587 (2013).</w:t>
      </w:r>
    </w:p>
    <w:p w14:paraId="7E356B35" w14:textId="77777777" w:rsidR="00615327" w:rsidRPr="00615327" w:rsidRDefault="00615327" w:rsidP="00615327">
      <w:pPr>
        <w:pStyle w:val="EndNoteBibliography"/>
        <w:ind w:left="720" w:hanging="720"/>
        <w:rPr>
          <w:noProof/>
        </w:rPr>
      </w:pPr>
      <w:r w:rsidRPr="00615327">
        <w:rPr>
          <w:noProof/>
        </w:rPr>
        <w:t>7</w:t>
      </w:r>
      <w:r w:rsidRPr="00615327">
        <w:rPr>
          <w:noProof/>
        </w:rPr>
        <w:tab/>
        <w:t>Torchia, J.</w:t>
      </w:r>
      <w:r w:rsidRPr="00615327">
        <w:rPr>
          <w:i/>
          <w:noProof/>
        </w:rPr>
        <w:t xml:space="preserve"> et al.</w:t>
      </w:r>
      <w:r w:rsidRPr="00615327">
        <w:rPr>
          <w:noProof/>
        </w:rPr>
        <w:t xml:space="preserve"> Integrated (epi)-Genomic Analyses Identify Subgroup-Specific Therapeutic Targets in CNS Rhabdoid Tumors. </w:t>
      </w:r>
      <w:r w:rsidRPr="00615327">
        <w:rPr>
          <w:i/>
          <w:noProof/>
        </w:rPr>
        <w:t>Cancer Cell</w:t>
      </w:r>
      <w:r w:rsidRPr="00615327">
        <w:rPr>
          <w:noProof/>
        </w:rPr>
        <w:t xml:space="preserve"> </w:t>
      </w:r>
      <w:r w:rsidRPr="00615327">
        <w:rPr>
          <w:b/>
          <w:noProof/>
        </w:rPr>
        <w:t>30</w:t>
      </w:r>
      <w:r w:rsidRPr="00615327">
        <w:rPr>
          <w:noProof/>
        </w:rPr>
        <w:t>, 891-908, doi:10.1016/j.ccell.2016.11.003 (2016).</w:t>
      </w:r>
    </w:p>
    <w:p w14:paraId="69CC11B2" w14:textId="77777777" w:rsidR="00615327" w:rsidRPr="00615327" w:rsidRDefault="00615327" w:rsidP="00615327">
      <w:pPr>
        <w:pStyle w:val="EndNoteBibliography"/>
        <w:ind w:left="720" w:hanging="720"/>
        <w:rPr>
          <w:noProof/>
        </w:rPr>
      </w:pPr>
      <w:r w:rsidRPr="00615327">
        <w:rPr>
          <w:noProof/>
        </w:rPr>
        <w:t>8</w:t>
      </w:r>
      <w:r w:rsidRPr="00615327">
        <w:rPr>
          <w:noProof/>
        </w:rPr>
        <w:tab/>
        <w:t>Hoffman, M. M.</w:t>
      </w:r>
      <w:r w:rsidRPr="00615327">
        <w:rPr>
          <w:i/>
          <w:noProof/>
        </w:rPr>
        <w:t xml:space="preserve"> et al.</w:t>
      </w:r>
      <w:r w:rsidRPr="00615327">
        <w:rPr>
          <w:noProof/>
        </w:rPr>
        <w:t xml:space="preserve"> Integrative annotation of chromatin elements from ENCODE data. </w:t>
      </w:r>
      <w:r w:rsidRPr="00615327">
        <w:rPr>
          <w:i/>
          <w:noProof/>
        </w:rPr>
        <w:t>Nucleic Acids Res</w:t>
      </w:r>
      <w:r w:rsidRPr="00615327">
        <w:rPr>
          <w:noProof/>
        </w:rPr>
        <w:t xml:space="preserve"> </w:t>
      </w:r>
      <w:r w:rsidRPr="00615327">
        <w:rPr>
          <w:b/>
          <w:noProof/>
        </w:rPr>
        <w:t>41</w:t>
      </w:r>
      <w:r w:rsidRPr="00615327">
        <w:rPr>
          <w:noProof/>
        </w:rPr>
        <w:t>, 827-841, doi:10.1093/nar/gks1284 (2013).</w:t>
      </w:r>
    </w:p>
    <w:p w14:paraId="63843D97" w14:textId="77777777" w:rsidR="00615327" w:rsidRPr="00615327" w:rsidRDefault="00615327" w:rsidP="00615327">
      <w:pPr>
        <w:pStyle w:val="EndNoteBibliography"/>
        <w:ind w:left="720" w:hanging="720"/>
        <w:rPr>
          <w:noProof/>
        </w:rPr>
      </w:pPr>
      <w:r w:rsidRPr="00615327">
        <w:rPr>
          <w:noProof/>
        </w:rPr>
        <w:t>9</w:t>
      </w:r>
      <w:r w:rsidRPr="00615327">
        <w:rPr>
          <w:noProof/>
        </w:rPr>
        <w:tab/>
        <w:t>Boyle, A. P.</w:t>
      </w:r>
      <w:r w:rsidRPr="00615327">
        <w:rPr>
          <w:i/>
          <w:noProof/>
        </w:rPr>
        <w:t xml:space="preserve"> et al.</w:t>
      </w:r>
      <w:r w:rsidRPr="00615327">
        <w:rPr>
          <w:noProof/>
        </w:rPr>
        <w:t xml:space="preserve"> Annotation of functional variation in personal genomes using RegulomeDB. </w:t>
      </w:r>
      <w:r w:rsidRPr="00615327">
        <w:rPr>
          <w:i/>
          <w:noProof/>
        </w:rPr>
        <w:t>Genome Res</w:t>
      </w:r>
      <w:r w:rsidRPr="00615327">
        <w:rPr>
          <w:noProof/>
        </w:rPr>
        <w:t xml:space="preserve"> </w:t>
      </w:r>
      <w:r w:rsidRPr="00615327">
        <w:rPr>
          <w:b/>
          <w:noProof/>
        </w:rPr>
        <w:t>22</w:t>
      </w:r>
      <w:r w:rsidRPr="00615327">
        <w:rPr>
          <w:noProof/>
        </w:rPr>
        <w:t>, 1790-1797, doi:10.1101/gr.137323.112 (2012).</w:t>
      </w:r>
    </w:p>
    <w:p w14:paraId="026B30AF" w14:textId="77777777" w:rsidR="00615327" w:rsidRPr="00615327" w:rsidRDefault="00615327" w:rsidP="00615327">
      <w:pPr>
        <w:pStyle w:val="EndNoteBibliography"/>
        <w:ind w:left="720" w:hanging="720"/>
        <w:rPr>
          <w:noProof/>
        </w:rPr>
      </w:pPr>
      <w:r w:rsidRPr="00615327">
        <w:rPr>
          <w:noProof/>
        </w:rPr>
        <w:t>10</w:t>
      </w:r>
      <w:r w:rsidRPr="00615327">
        <w:rPr>
          <w:noProof/>
        </w:rPr>
        <w:tab/>
        <w:t>Rheinbay, E.</w:t>
      </w:r>
      <w:r w:rsidRPr="00615327">
        <w:rPr>
          <w:i/>
          <w:noProof/>
        </w:rPr>
        <w:t xml:space="preserve"> et al.</w:t>
      </w:r>
      <w:r w:rsidRPr="00615327">
        <w:rPr>
          <w:noProof/>
        </w:rPr>
        <w:t xml:space="preserve"> Recurrent and functional regulatory mutations in breast cancer. </w:t>
      </w:r>
      <w:r w:rsidRPr="00615327">
        <w:rPr>
          <w:i/>
          <w:noProof/>
        </w:rPr>
        <w:t>Nature</w:t>
      </w:r>
      <w:r w:rsidRPr="00615327">
        <w:rPr>
          <w:noProof/>
        </w:rPr>
        <w:t xml:space="preserve"> </w:t>
      </w:r>
      <w:r w:rsidRPr="00615327">
        <w:rPr>
          <w:b/>
          <w:noProof/>
        </w:rPr>
        <w:t>547</w:t>
      </w:r>
      <w:r w:rsidRPr="00615327">
        <w:rPr>
          <w:noProof/>
        </w:rPr>
        <w:t>, 55-60, doi:10.1038/nature22992 (2017).</w:t>
      </w:r>
    </w:p>
    <w:p w14:paraId="10BFF14F" w14:textId="77777777" w:rsidR="00615327" w:rsidRPr="00615327" w:rsidRDefault="00615327" w:rsidP="00615327">
      <w:pPr>
        <w:pStyle w:val="EndNoteBibliography"/>
        <w:ind w:left="720" w:hanging="720"/>
        <w:rPr>
          <w:noProof/>
        </w:rPr>
      </w:pPr>
      <w:r w:rsidRPr="00615327">
        <w:rPr>
          <w:noProof/>
        </w:rPr>
        <w:t>11</w:t>
      </w:r>
      <w:r w:rsidRPr="00615327">
        <w:rPr>
          <w:noProof/>
        </w:rPr>
        <w:tab/>
        <w:t xml:space="preserve">Weinhold, N., Jacobsen, A., Schultz, N., Sander, C. &amp; Lee, W. Genome-wide analysis of noncoding regulatory mutations in cancer. </w:t>
      </w:r>
      <w:r w:rsidRPr="00615327">
        <w:rPr>
          <w:i/>
          <w:noProof/>
        </w:rPr>
        <w:t>Nat Genet</w:t>
      </w:r>
      <w:r w:rsidRPr="00615327">
        <w:rPr>
          <w:noProof/>
        </w:rPr>
        <w:t xml:space="preserve"> </w:t>
      </w:r>
      <w:r w:rsidRPr="00615327">
        <w:rPr>
          <w:b/>
          <w:noProof/>
        </w:rPr>
        <w:t>46</w:t>
      </w:r>
      <w:r w:rsidRPr="00615327">
        <w:rPr>
          <w:noProof/>
        </w:rPr>
        <w:t>, 1160-1165, doi:10.1038/ng.3101 (2014).</w:t>
      </w:r>
    </w:p>
    <w:p w14:paraId="4311087D" w14:textId="77777777" w:rsidR="00615327" w:rsidRPr="00615327" w:rsidRDefault="00615327" w:rsidP="00615327">
      <w:pPr>
        <w:pStyle w:val="EndNoteBibliography"/>
        <w:ind w:left="720" w:hanging="720"/>
        <w:rPr>
          <w:noProof/>
        </w:rPr>
      </w:pPr>
      <w:r w:rsidRPr="00615327">
        <w:rPr>
          <w:noProof/>
        </w:rPr>
        <w:t>12</w:t>
      </w:r>
      <w:r w:rsidRPr="00615327">
        <w:rPr>
          <w:noProof/>
        </w:rPr>
        <w:tab/>
        <w:t xml:space="preserve">Makova, K. D. &amp; Hardison, R. C. The effects of chromatin organization on variation in mutation rates in the genome. </w:t>
      </w:r>
      <w:r w:rsidRPr="00615327">
        <w:rPr>
          <w:i/>
          <w:noProof/>
        </w:rPr>
        <w:t>Nat Rev Genet</w:t>
      </w:r>
      <w:r w:rsidRPr="00615327">
        <w:rPr>
          <w:noProof/>
        </w:rPr>
        <w:t xml:space="preserve"> </w:t>
      </w:r>
      <w:r w:rsidRPr="00615327">
        <w:rPr>
          <w:b/>
          <w:noProof/>
        </w:rPr>
        <w:t>16</w:t>
      </w:r>
      <w:r w:rsidRPr="00615327">
        <w:rPr>
          <w:noProof/>
        </w:rPr>
        <w:t>, 213-223, doi:10.1038/nrg3890 (2015).</w:t>
      </w:r>
    </w:p>
    <w:p w14:paraId="591FEFFB" w14:textId="77777777" w:rsidR="00615327" w:rsidRPr="00615327" w:rsidRDefault="00615327" w:rsidP="00615327">
      <w:pPr>
        <w:pStyle w:val="EndNoteBibliography"/>
        <w:ind w:left="720" w:hanging="720"/>
        <w:rPr>
          <w:noProof/>
        </w:rPr>
      </w:pPr>
      <w:r w:rsidRPr="00615327">
        <w:rPr>
          <w:noProof/>
        </w:rPr>
        <w:t>13</w:t>
      </w:r>
      <w:r w:rsidRPr="00615327">
        <w:rPr>
          <w:noProof/>
        </w:rPr>
        <w:tab/>
        <w:t>Polak, P.</w:t>
      </w:r>
      <w:r w:rsidRPr="00615327">
        <w:rPr>
          <w:i/>
          <w:noProof/>
        </w:rPr>
        <w:t xml:space="preserve"> et al.</w:t>
      </w:r>
      <w:r w:rsidRPr="00615327">
        <w:rPr>
          <w:noProof/>
        </w:rPr>
        <w:t xml:space="preserve"> Cell-of-origin chromatin organization shapes the mutational landscape of cancer. </w:t>
      </w:r>
      <w:r w:rsidRPr="00615327">
        <w:rPr>
          <w:i/>
          <w:noProof/>
        </w:rPr>
        <w:t>Nature</w:t>
      </w:r>
      <w:r w:rsidRPr="00615327">
        <w:rPr>
          <w:noProof/>
        </w:rPr>
        <w:t xml:space="preserve"> </w:t>
      </w:r>
      <w:r w:rsidRPr="00615327">
        <w:rPr>
          <w:b/>
          <w:noProof/>
        </w:rPr>
        <w:t>518</w:t>
      </w:r>
      <w:r w:rsidRPr="00615327">
        <w:rPr>
          <w:noProof/>
        </w:rPr>
        <w:t>, 360-364, doi:10.1038/nature14221 (2015).</w:t>
      </w:r>
    </w:p>
    <w:p w14:paraId="1C815860" w14:textId="77777777" w:rsidR="00615327" w:rsidRPr="00615327" w:rsidRDefault="00615327" w:rsidP="00615327">
      <w:pPr>
        <w:pStyle w:val="EndNoteBibliography"/>
        <w:ind w:left="720" w:hanging="720"/>
        <w:rPr>
          <w:noProof/>
        </w:rPr>
      </w:pPr>
      <w:r w:rsidRPr="00615327">
        <w:rPr>
          <w:noProof/>
        </w:rPr>
        <w:t>14</w:t>
      </w:r>
      <w:r w:rsidRPr="00615327">
        <w:rPr>
          <w:noProof/>
        </w:rPr>
        <w:tab/>
        <w:t xml:space="preserve">Schuster-Bockler, B. &amp; Lehner, B. Chromatin organization is a major influence on regional mutation rates in human cancer cells. </w:t>
      </w:r>
      <w:r w:rsidRPr="00615327">
        <w:rPr>
          <w:i/>
          <w:noProof/>
        </w:rPr>
        <w:t>Nature</w:t>
      </w:r>
      <w:r w:rsidRPr="00615327">
        <w:rPr>
          <w:noProof/>
        </w:rPr>
        <w:t xml:space="preserve"> </w:t>
      </w:r>
      <w:r w:rsidRPr="00615327">
        <w:rPr>
          <w:b/>
          <w:noProof/>
        </w:rPr>
        <w:t>488</w:t>
      </w:r>
      <w:r w:rsidRPr="00615327">
        <w:rPr>
          <w:noProof/>
        </w:rPr>
        <w:t>, 504-507, doi:10.1038/nature11273 (2012).</w:t>
      </w:r>
    </w:p>
    <w:p w14:paraId="355D9869" w14:textId="77777777" w:rsidR="00615327" w:rsidRPr="00615327" w:rsidRDefault="00615327" w:rsidP="00615327">
      <w:pPr>
        <w:pStyle w:val="EndNoteBibliography"/>
        <w:ind w:left="720" w:hanging="720"/>
        <w:rPr>
          <w:noProof/>
        </w:rPr>
      </w:pPr>
      <w:r w:rsidRPr="00615327">
        <w:rPr>
          <w:noProof/>
        </w:rPr>
        <w:t>15</w:t>
      </w:r>
      <w:r w:rsidRPr="00615327">
        <w:rPr>
          <w:noProof/>
        </w:rPr>
        <w:tab/>
        <w:t>Lawrence, M. S.</w:t>
      </w:r>
      <w:r w:rsidRPr="00615327">
        <w:rPr>
          <w:i/>
          <w:noProof/>
        </w:rPr>
        <w:t xml:space="preserve"> et al.</w:t>
      </w:r>
      <w:r w:rsidRPr="00615327">
        <w:rPr>
          <w:noProof/>
        </w:rPr>
        <w:t xml:space="preserve"> Mutational heterogeneity in cancer and the search for new cancer-associated genes. </w:t>
      </w:r>
      <w:r w:rsidRPr="00615327">
        <w:rPr>
          <w:i/>
          <w:noProof/>
        </w:rPr>
        <w:t>Nature</w:t>
      </w:r>
      <w:r w:rsidRPr="00615327">
        <w:rPr>
          <w:noProof/>
        </w:rPr>
        <w:t xml:space="preserve"> </w:t>
      </w:r>
      <w:r w:rsidRPr="00615327">
        <w:rPr>
          <w:b/>
          <w:noProof/>
        </w:rPr>
        <w:t>499</w:t>
      </w:r>
      <w:r w:rsidRPr="00615327">
        <w:rPr>
          <w:noProof/>
        </w:rPr>
        <w:t>, 214-218, doi:10.1038/nature12213 (2013).</w:t>
      </w:r>
    </w:p>
    <w:p w14:paraId="186D24FC" w14:textId="77777777" w:rsidR="00615327" w:rsidRPr="00615327" w:rsidRDefault="00615327" w:rsidP="00615327">
      <w:pPr>
        <w:pStyle w:val="EndNoteBibliography"/>
        <w:ind w:left="720" w:hanging="720"/>
        <w:rPr>
          <w:noProof/>
        </w:rPr>
      </w:pPr>
      <w:r w:rsidRPr="00615327">
        <w:rPr>
          <w:noProof/>
        </w:rPr>
        <w:t>16</w:t>
      </w:r>
      <w:r w:rsidRPr="00615327">
        <w:rPr>
          <w:noProof/>
        </w:rPr>
        <w:tab/>
        <w:t xml:space="preserve">Melton, C., Reuter, J. A., Spacek, D. V. &amp; Snyder, M. Recurrent somatic mutations in regulatory regions of human cancer genomes. </w:t>
      </w:r>
      <w:r w:rsidRPr="00615327">
        <w:rPr>
          <w:i/>
          <w:noProof/>
        </w:rPr>
        <w:t>Nat Genet</w:t>
      </w:r>
      <w:r w:rsidRPr="00615327">
        <w:rPr>
          <w:noProof/>
        </w:rPr>
        <w:t xml:space="preserve"> </w:t>
      </w:r>
      <w:r w:rsidRPr="00615327">
        <w:rPr>
          <w:b/>
          <w:noProof/>
        </w:rPr>
        <w:t>47</w:t>
      </w:r>
      <w:r w:rsidRPr="00615327">
        <w:rPr>
          <w:noProof/>
        </w:rPr>
        <w:t>, 710-716, doi:10.1038/ng.3332 (2015).</w:t>
      </w:r>
    </w:p>
    <w:p w14:paraId="0534CC7E" w14:textId="77777777" w:rsidR="00615327" w:rsidRPr="00615327" w:rsidRDefault="00615327" w:rsidP="00615327">
      <w:pPr>
        <w:pStyle w:val="EndNoteBibliography"/>
        <w:ind w:left="720" w:hanging="720"/>
        <w:rPr>
          <w:noProof/>
        </w:rPr>
      </w:pPr>
      <w:r w:rsidRPr="00615327">
        <w:rPr>
          <w:noProof/>
        </w:rPr>
        <w:t>17</w:t>
      </w:r>
      <w:r w:rsidRPr="00615327">
        <w:rPr>
          <w:noProof/>
        </w:rPr>
        <w:tab/>
        <w:t xml:space="preserve">Lochovsky, L., Zhang, J., Fu, Y., Khurana, E. &amp; Gerstein, M. LARVA: an integrative framework for large-scale analysis of recurrent variants in noncoding annotations. </w:t>
      </w:r>
      <w:r w:rsidRPr="00615327">
        <w:rPr>
          <w:i/>
          <w:noProof/>
        </w:rPr>
        <w:t>Nucleic Acids Res</w:t>
      </w:r>
      <w:r w:rsidRPr="00615327">
        <w:rPr>
          <w:noProof/>
        </w:rPr>
        <w:t xml:space="preserve"> </w:t>
      </w:r>
      <w:r w:rsidRPr="00615327">
        <w:rPr>
          <w:b/>
          <w:noProof/>
        </w:rPr>
        <w:t>43</w:t>
      </w:r>
      <w:r w:rsidRPr="00615327">
        <w:rPr>
          <w:noProof/>
        </w:rPr>
        <w:t>, 8123-8134, doi:10.1093/nar/gkv803 (2015).</w:t>
      </w:r>
    </w:p>
    <w:p w14:paraId="04E6F49E" w14:textId="77777777" w:rsidR="00615327" w:rsidRPr="00615327" w:rsidRDefault="00615327" w:rsidP="00615327">
      <w:pPr>
        <w:pStyle w:val="EndNoteBibliography"/>
        <w:ind w:left="720" w:hanging="720"/>
        <w:rPr>
          <w:noProof/>
        </w:rPr>
      </w:pPr>
      <w:r w:rsidRPr="00615327">
        <w:rPr>
          <w:noProof/>
        </w:rPr>
        <w:t>18</w:t>
      </w:r>
      <w:r w:rsidRPr="00615327">
        <w:rPr>
          <w:noProof/>
        </w:rPr>
        <w:tab/>
        <w:t xml:space="preserve">Hofree, M., Shen, J. P., Carter, H., Gross, A. &amp; Ideker, T. Network-based stratification of tumor mutations. </w:t>
      </w:r>
      <w:r w:rsidRPr="00615327">
        <w:rPr>
          <w:i/>
          <w:noProof/>
        </w:rPr>
        <w:t>Nat Methods</w:t>
      </w:r>
      <w:r w:rsidRPr="00615327">
        <w:rPr>
          <w:noProof/>
        </w:rPr>
        <w:t xml:space="preserve"> </w:t>
      </w:r>
      <w:r w:rsidRPr="00615327">
        <w:rPr>
          <w:b/>
          <w:noProof/>
        </w:rPr>
        <w:t>10</w:t>
      </w:r>
      <w:r w:rsidRPr="00615327">
        <w:rPr>
          <w:noProof/>
        </w:rPr>
        <w:t>, 1108-1115, doi:10.1038/nmeth.2651 (2013).</w:t>
      </w:r>
    </w:p>
    <w:p w14:paraId="5B5CCA1D" w14:textId="77777777" w:rsidR="00615327" w:rsidRPr="00615327" w:rsidRDefault="00615327" w:rsidP="00615327">
      <w:pPr>
        <w:pStyle w:val="EndNoteBibliography"/>
        <w:ind w:left="720" w:hanging="720"/>
        <w:rPr>
          <w:noProof/>
        </w:rPr>
      </w:pPr>
      <w:r w:rsidRPr="00615327">
        <w:rPr>
          <w:noProof/>
        </w:rPr>
        <w:t>19</w:t>
      </w:r>
      <w:r w:rsidRPr="00615327">
        <w:rPr>
          <w:noProof/>
        </w:rPr>
        <w:tab/>
        <w:t>Jacobsen, A.</w:t>
      </w:r>
      <w:r w:rsidRPr="00615327">
        <w:rPr>
          <w:i/>
          <w:noProof/>
        </w:rPr>
        <w:t xml:space="preserve"> et al.</w:t>
      </w:r>
      <w:r w:rsidRPr="00615327">
        <w:rPr>
          <w:noProof/>
        </w:rPr>
        <w:t xml:space="preserve"> Analysis of microRNA-target interactions across diverse cancer types. </w:t>
      </w:r>
      <w:r w:rsidRPr="00615327">
        <w:rPr>
          <w:i/>
          <w:noProof/>
        </w:rPr>
        <w:t>Nat Struct Mol Biol</w:t>
      </w:r>
      <w:r w:rsidRPr="00615327">
        <w:rPr>
          <w:noProof/>
        </w:rPr>
        <w:t xml:space="preserve"> </w:t>
      </w:r>
      <w:r w:rsidRPr="00615327">
        <w:rPr>
          <w:b/>
          <w:noProof/>
        </w:rPr>
        <w:t>20</w:t>
      </w:r>
      <w:r w:rsidRPr="00615327">
        <w:rPr>
          <w:noProof/>
        </w:rPr>
        <w:t>, 1325-1332, doi:10.1038/nsmb.2678 (2013).</w:t>
      </w:r>
    </w:p>
    <w:p w14:paraId="733E3BF7" w14:textId="77777777" w:rsidR="00615327" w:rsidRPr="00615327" w:rsidRDefault="00615327" w:rsidP="00615327">
      <w:pPr>
        <w:pStyle w:val="EndNoteBibliography"/>
        <w:ind w:left="720" w:hanging="720"/>
        <w:rPr>
          <w:noProof/>
        </w:rPr>
      </w:pPr>
      <w:r w:rsidRPr="00615327">
        <w:rPr>
          <w:noProof/>
        </w:rPr>
        <w:t>20</w:t>
      </w:r>
      <w:r w:rsidRPr="00615327">
        <w:rPr>
          <w:noProof/>
        </w:rPr>
        <w:tab/>
        <w:t xml:space="preserve">Mutation, C. &amp; Pathway Analysis working group of the International Cancer Genome, C. Pathway and network analysis of cancer genomes. </w:t>
      </w:r>
      <w:r w:rsidRPr="00615327">
        <w:rPr>
          <w:i/>
          <w:noProof/>
        </w:rPr>
        <w:t>Nat Methods</w:t>
      </w:r>
      <w:r w:rsidRPr="00615327">
        <w:rPr>
          <w:noProof/>
        </w:rPr>
        <w:t xml:space="preserve"> </w:t>
      </w:r>
      <w:r w:rsidRPr="00615327">
        <w:rPr>
          <w:b/>
          <w:noProof/>
        </w:rPr>
        <w:t>12</w:t>
      </w:r>
      <w:r w:rsidRPr="00615327">
        <w:rPr>
          <w:noProof/>
        </w:rPr>
        <w:t>, 615-621, doi:10.1038/nmeth.3440 (2015).</w:t>
      </w:r>
    </w:p>
    <w:p w14:paraId="5EC1BD5C" w14:textId="77777777" w:rsidR="00615327" w:rsidRPr="00615327" w:rsidRDefault="00615327" w:rsidP="00615327">
      <w:pPr>
        <w:pStyle w:val="EndNoteBibliography"/>
        <w:ind w:left="720" w:hanging="720"/>
        <w:rPr>
          <w:noProof/>
        </w:rPr>
      </w:pPr>
      <w:r w:rsidRPr="00615327">
        <w:rPr>
          <w:noProof/>
        </w:rPr>
        <w:t>21</w:t>
      </w:r>
      <w:r w:rsidRPr="00615327">
        <w:rPr>
          <w:noProof/>
        </w:rPr>
        <w:tab/>
        <w:t xml:space="preserve">Consortium, E. P. An integrated encyclopedia of DNA elements in the human genome. </w:t>
      </w:r>
      <w:r w:rsidRPr="00615327">
        <w:rPr>
          <w:i/>
          <w:noProof/>
        </w:rPr>
        <w:t>Nature</w:t>
      </w:r>
      <w:r w:rsidRPr="00615327">
        <w:rPr>
          <w:noProof/>
        </w:rPr>
        <w:t xml:space="preserve"> </w:t>
      </w:r>
      <w:r w:rsidRPr="00615327">
        <w:rPr>
          <w:b/>
          <w:noProof/>
        </w:rPr>
        <w:t>489</w:t>
      </w:r>
      <w:r w:rsidRPr="00615327">
        <w:rPr>
          <w:noProof/>
        </w:rPr>
        <w:t>, 57-74, doi:10.1038/nature11247 (2012).</w:t>
      </w:r>
    </w:p>
    <w:p w14:paraId="5DC40829" w14:textId="77777777" w:rsidR="00615327" w:rsidRPr="00615327" w:rsidRDefault="00615327" w:rsidP="00615327">
      <w:pPr>
        <w:pStyle w:val="EndNoteBibliography"/>
        <w:ind w:left="720" w:hanging="720"/>
        <w:rPr>
          <w:noProof/>
        </w:rPr>
      </w:pPr>
      <w:r w:rsidRPr="00615327">
        <w:rPr>
          <w:noProof/>
        </w:rPr>
        <w:lastRenderedPageBreak/>
        <w:t>22</w:t>
      </w:r>
      <w:r w:rsidRPr="00615327">
        <w:rPr>
          <w:noProof/>
        </w:rPr>
        <w:tab/>
        <w:t>O'Connor, M. L.</w:t>
      </w:r>
      <w:r w:rsidRPr="00615327">
        <w:rPr>
          <w:i/>
          <w:noProof/>
        </w:rPr>
        <w:t xml:space="preserve"> et al.</w:t>
      </w:r>
      <w:r w:rsidRPr="00615327">
        <w:rPr>
          <w:noProof/>
        </w:rPr>
        <w:t xml:space="preserve"> Cancer stem cells: A contentious hypothesis now moving forward. </w:t>
      </w:r>
      <w:r w:rsidRPr="00615327">
        <w:rPr>
          <w:i/>
          <w:noProof/>
        </w:rPr>
        <w:t>Cancer Lett</w:t>
      </w:r>
      <w:r w:rsidRPr="00615327">
        <w:rPr>
          <w:noProof/>
        </w:rPr>
        <w:t xml:space="preserve"> </w:t>
      </w:r>
      <w:r w:rsidRPr="00615327">
        <w:rPr>
          <w:b/>
          <w:noProof/>
        </w:rPr>
        <w:t>344</w:t>
      </w:r>
      <w:r w:rsidRPr="00615327">
        <w:rPr>
          <w:noProof/>
        </w:rPr>
        <w:t>, 180-187, doi:10.1016/j.canlet.2013.11.012 (2014).</w:t>
      </w:r>
    </w:p>
    <w:p w14:paraId="7EBC7669" w14:textId="77777777" w:rsidR="00615327" w:rsidRPr="00615327" w:rsidRDefault="00615327" w:rsidP="00615327">
      <w:pPr>
        <w:pStyle w:val="EndNoteBibliography"/>
        <w:ind w:left="720" w:hanging="720"/>
        <w:rPr>
          <w:noProof/>
        </w:rPr>
      </w:pPr>
      <w:r w:rsidRPr="00615327">
        <w:rPr>
          <w:noProof/>
        </w:rPr>
        <w:t>23</w:t>
      </w:r>
      <w:r w:rsidRPr="00615327">
        <w:rPr>
          <w:noProof/>
        </w:rPr>
        <w:tab/>
        <w:t>Zenz, T.</w:t>
      </w:r>
      <w:r w:rsidRPr="00615327">
        <w:rPr>
          <w:i/>
          <w:noProof/>
        </w:rPr>
        <w:t xml:space="preserve"> et al.</w:t>
      </w:r>
      <w:r w:rsidRPr="00615327">
        <w:rPr>
          <w:noProof/>
        </w:rPr>
        <w:t xml:space="preserve"> Detailed analysis of p53 pathway defects in fludarabine-refractory chronic lymphocytic leukemia (CLL): dissecting the contribution of 17p deletion, TP53 mutation, p53-p21 dysfunction, and miR34a in a prospective clinical trial. </w:t>
      </w:r>
      <w:r w:rsidRPr="00615327">
        <w:rPr>
          <w:i/>
          <w:noProof/>
        </w:rPr>
        <w:t>Blood</w:t>
      </w:r>
      <w:r w:rsidRPr="00615327">
        <w:rPr>
          <w:noProof/>
        </w:rPr>
        <w:t xml:space="preserve"> </w:t>
      </w:r>
      <w:r w:rsidRPr="00615327">
        <w:rPr>
          <w:b/>
          <w:noProof/>
        </w:rPr>
        <w:t>114</w:t>
      </w:r>
      <w:r w:rsidRPr="00615327">
        <w:rPr>
          <w:noProof/>
        </w:rPr>
        <w:t>, 2589-2597, doi:10.1182/blood-2009-05-224071 (2009).</w:t>
      </w:r>
    </w:p>
    <w:p w14:paraId="34EF43A1" w14:textId="77777777" w:rsidR="00615327" w:rsidRPr="00615327" w:rsidRDefault="00615327" w:rsidP="00615327">
      <w:pPr>
        <w:pStyle w:val="EndNoteBibliography"/>
        <w:ind w:left="720" w:hanging="720"/>
        <w:rPr>
          <w:noProof/>
        </w:rPr>
      </w:pPr>
      <w:r w:rsidRPr="00615327">
        <w:rPr>
          <w:noProof/>
        </w:rPr>
        <w:t>24</w:t>
      </w:r>
      <w:r w:rsidRPr="00615327">
        <w:rPr>
          <w:noProof/>
        </w:rPr>
        <w:tab/>
        <w:t>Guarini, A.</w:t>
      </w:r>
      <w:r w:rsidRPr="00615327">
        <w:rPr>
          <w:i/>
          <w:noProof/>
        </w:rPr>
        <w:t xml:space="preserve"> et al.</w:t>
      </w:r>
      <w:r w:rsidRPr="00615327">
        <w:rPr>
          <w:noProof/>
        </w:rPr>
        <w:t xml:space="preserve"> ATM gene alterations in chronic lymphocytic leukemia patients induce a distinct gene expression profile and predict disease progression. </w:t>
      </w:r>
      <w:r w:rsidRPr="00615327">
        <w:rPr>
          <w:i/>
          <w:noProof/>
        </w:rPr>
        <w:t>Haematologica</w:t>
      </w:r>
      <w:r w:rsidRPr="00615327">
        <w:rPr>
          <w:noProof/>
        </w:rPr>
        <w:t xml:space="preserve"> </w:t>
      </w:r>
      <w:r w:rsidRPr="00615327">
        <w:rPr>
          <w:b/>
          <w:noProof/>
        </w:rPr>
        <w:t>97</w:t>
      </w:r>
      <w:r w:rsidRPr="00615327">
        <w:rPr>
          <w:noProof/>
        </w:rPr>
        <w:t>, 47-55, doi:10.3324/haematol.2011.049270 (2012).</w:t>
      </w:r>
    </w:p>
    <w:p w14:paraId="250B1FCB" w14:textId="77777777" w:rsidR="00615327" w:rsidRPr="00615327" w:rsidRDefault="00615327" w:rsidP="00615327">
      <w:pPr>
        <w:pStyle w:val="EndNoteBibliography"/>
        <w:ind w:left="720" w:hanging="720"/>
        <w:rPr>
          <w:noProof/>
        </w:rPr>
      </w:pPr>
      <w:r w:rsidRPr="00615327">
        <w:rPr>
          <w:noProof/>
        </w:rPr>
        <w:t>25</w:t>
      </w:r>
      <w:r w:rsidRPr="00615327">
        <w:rPr>
          <w:noProof/>
        </w:rPr>
        <w:tab/>
        <w:t>Jantus Lewintre, E.</w:t>
      </w:r>
      <w:r w:rsidRPr="00615327">
        <w:rPr>
          <w:i/>
          <w:noProof/>
        </w:rPr>
        <w:t xml:space="preserve"> et al.</w:t>
      </w:r>
      <w:r w:rsidRPr="00615327">
        <w:rPr>
          <w:noProof/>
        </w:rPr>
        <w:t xml:space="preserve"> BCL6: somatic mutations and expression in early-stage chronic lymphocytic leukemia. </w:t>
      </w:r>
      <w:r w:rsidRPr="00615327">
        <w:rPr>
          <w:i/>
          <w:noProof/>
        </w:rPr>
        <w:t>Leuk Lymphoma</w:t>
      </w:r>
      <w:r w:rsidRPr="00615327">
        <w:rPr>
          <w:noProof/>
        </w:rPr>
        <w:t xml:space="preserve"> </w:t>
      </w:r>
      <w:r w:rsidRPr="00615327">
        <w:rPr>
          <w:b/>
          <w:noProof/>
        </w:rPr>
        <w:t>50</w:t>
      </w:r>
      <w:r w:rsidRPr="00615327">
        <w:rPr>
          <w:noProof/>
        </w:rPr>
        <w:t>, 773-780, doi:10.1080/10428190902842626 (2009).</w:t>
      </w:r>
    </w:p>
    <w:p w14:paraId="1FEC8405" w14:textId="77777777" w:rsidR="00615327" w:rsidRPr="00615327" w:rsidRDefault="00615327" w:rsidP="00615327">
      <w:pPr>
        <w:pStyle w:val="EndNoteBibliography"/>
        <w:ind w:left="720" w:hanging="720"/>
        <w:rPr>
          <w:noProof/>
        </w:rPr>
      </w:pPr>
      <w:r w:rsidRPr="00615327">
        <w:rPr>
          <w:noProof/>
        </w:rPr>
        <w:t>26</w:t>
      </w:r>
      <w:r w:rsidRPr="00615327">
        <w:rPr>
          <w:noProof/>
        </w:rPr>
        <w:tab/>
        <w:t>Cardenas, M. G.</w:t>
      </w:r>
      <w:r w:rsidRPr="00615327">
        <w:rPr>
          <w:i/>
          <w:noProof/>
        </w:rPr>
        <w:t xml:space="preserve"> et al.</w:t>
      </w:r>
      <w:r w:rsidRPr="00615327">
        <w:rPr>
          <w:noProof/>
        </w:rPr>
        <w:t xml:space="preserve"> The Expanding Role of the BCL6 Oncoprotein as a Cancer Therapeutic Target. </w:t>
      </w:r>
      <w:r w:rsidRPr="00615327">
        <w:rPr>
          <w:i/>
          <w:noProof/>
        </w:rPr>
        <w:t>Clin Cancer Res</w:t>
      </w:r>
      <w:r w:rsidRPr="00615327">
        <w:rPr>
          <w:noProof/>
        </w:rPr>
        <w:t xml:space="preserve"> </w:t>
      </w:r>
      <w:r w:rsidRPr="00615327">
        <w:rPr>
          <w:b/>
          <w:noProof/>
        </w:rPr>
        <w:t>23</w:t>
      </w:r>
      <w:r w:rsidRPr="00615327">
        <w:rPr>
          <w:noProof/>
        </w:rPr>
        <w:t>, 885-893, doi:10.1158/1078-0432.CCR-16-2071 (2017).</w:t>
      </w:r>
    </w:p>
    <w:p w14:paraId="0634619B" w14:textId="77777777" w:rsidR="00615327" w:rsidRPr="00615327" w:rsidRDefault="00615327" w:rsidP="00615327">
      <w:pPr>
        <w:pStyle w:val="EndNoteBibliography"/>
        <w:ind w:left="720" w:hanging="720"/>
        <w:rPr>
          <w:noProof/>
        </w:rPr>
      </w:pPr>
      <w:r w:rsidRPr="00615327">
        <w:rPr>
          <w:noProof/>
        </w:rPr>
        <w:t>27</w:t>
      </w:r>
      <w:r w:rsidRPr="00615327">
        <w:rPr>
          <w:noProof/>
        </w:rPr>
        <w:tab/>
        <w:t>Capello, D.</w:t>
      </w:r>
      <w:r w:rsidRPr="00615327">
        <w:rPr>
          <w:i/>
          <w:noProof/>
        </w:rPr>
        <w:t xml:space="preserve"> et al.</w:t>
      </w:r>
      <w:r w:rsidRPr="00615327">
        <w:rPr>
          <w:noProof/>
        </w:rPr>
        <w:t xml:space="preserve"> Identification of three subgroups of B cell chronic lymphocytic leukemia based upon mutations of BCL-6 and IgV genes. </w:t>
      </w:r>
      <w:r w:rsidRPr="00615327">
        <w:rPr>
          <w:i/>
          <w:noProof/>
        </w:rPr>
        <w:t>Leukemia</w:t>
      </w:r>
      <w:r w:rsidRPr="00615327">
        <w:rPr>
          <w:noProof/>
        </w:rPr>
        <w:t xml:space="preserve"> </w:t>
      </w:r>
      <w:r w:rsidRPr="00615327">
        <w:rPr>
          <w:b/>
          <w:noProof/>
        </w:rPr>
        <w:t>14</w:t>
      </w:r>
      <w:r w:rsidRPr="00615327">
        <w:rPr>
          <w:noProof/>
        </w:rPr>
        <w:t>, 811-815 (2000).</w:t>
      </w:r>
    </w:p>
    <w:p w14:paraId="36BE6BB5" w14:textId="77777777" w:rsidR="00615327" w:rsidRPr="00615327" w:rsidRDefault="00615327" w:rsidP="00615327">
      <w:pPr>
        <w:pStyle w:val="EndNoteBibliography"/>
        <w:ind w:left="720" w:hanging="720"/>
        <w:rPr>
          <w:noProof/>
        </w:rPr>
      </w:pPr>
      <w:r w:rsidRPr="00615327">
        <w:rPr>
          <w:noProof/>
        </w:rPr>
        <w:t>28</w:t>
      </w:r>
      <w:r w:rsidRPr="00615327">
        <w:rPr>
          <w:noProof/>
        </w:rPr>
        <w:tab/>
        <w:t xml:space="preserve">Cheng, C., Min, R. &amp; Gerstein, M. TIP: a probabilistic method for identifying transcription factor target genes from ChIP-seq binding profiles. </w:t>
      </w:r>
      <w:r w:rsidRPr="00615327">
        <w:rPr>
          <w:i/>
          <w:noProof/>
        </w:rPr>
        <w:t>Bioinformatics</w:t>
      </w:r>
      <w:r w:rsidRPr="00615327">
        <w:rPr>
          <w:noProof/>
        </w:rPr>
        <w:t xml:space="preserve"> </w:t>
      </w:r>
      <w:r w:rsidRPr="00615327">
        <w:rPr>
          <w:b/>
          <w:noProof/>
        </w:rPr>
        <w:t>27</w:t>
      </w:r>
      <w:r w:rsidRPr="00615327">
        <w:rPr>
          <w:noProof/>
        </w:rPr>
        <w:t>, 3221-3227, doi:10.1093/bioinformatics/btr552 (2011).</w:t>
      </w:r>
    </w:p>
    <w:p w14:paraId="3C9C89B9" w14:textId="77777777" w:rsidR="00615327" w:rsidRPr="00615327" w:rsidRDefault="00615327" w:rsidP="00615327">
      <w:pPr>
        <w:pStyle w:val="EndNoteBibliography"/>
        <w:ind w:left="720" w:hanging="720"/>
        <w:rPr>
          <w:noProof/>
        </w:rPr>
      </w:pPr>
      <w:r w:rsidRPr="00615327">
        <w:rPr>
          <w:noProof/>
        </w:rPr>
        <w:t>29</w:t>
      </w:r>
      <w:r w:rsidRPr="00615327">
        <w:rPr>
          <w:noProof/>
        </w:rPr>
        <w:tab/>
        <w:t>Van Nostrand, E. L.</w:t>
      </w:r>
      <w:r w:rsidRPr="00615327">
        <w:rPr>
          <w:i/>
          <w:noProof/>
        </w:rPr>
        <w:t xml:space="preserve"> et al.</w:t>
      </w:r>
      <w:r w:rsidRPr="00615327">
        <w:rPr>
          <w:noProof/>
        </w:rPr>
        <w:t xml:space="preserve"> Robust transcriptome-wide discovery of RNA-binding protein binding sites with enhanced CLIP (eCLIP). </w:t>
      </w:r>
      <w:r w:rsidRPr="00615327">
        <w:rPr>
          <w:i/>
          <w:noProof/>
        </w:rPr>
        <w:t>Nat Methods</w:t>
      </w:r>
      <w:r w:rsidRPr="00615327">
        <w:rPr>
          <w:noProof/>
        </w:rPr>
        <w:t xml:space="preserve"> </w:t>
      </w:r>
      <w:r w:rsidRPr="00615327">
        <w:rPr>
          <w:b/>
          <w:noProof/>
        </w:rPr>
        <w:t>13</w:t>
      </w:r>
      <w:r w:rsidRPr="00615327">
        <w:rPr>
          <w:noProof/>
        </w:rPr>
        <w:t>, 508-514, doi:10.1038/nmeth.3810 (2016).</w:t>
      </w:r>
    </w:p>
    <w:p w14:paraId="66DB30BD" w14:textId="77777777" w:rsidR="00615327" w:rsidRPr="00615327" w:rsidRDefault="00615327" w:rsidP="00615327">
      <w:pPr>
        <w:pStyle w:val="EndNoteBibliography"/>
        <w:ind w:left="720" w:hanging="720"/>
        <w:rPr>
          <w:noProof/>
        </w:rPr>
      </w:pPr>
      <w:r w:rsidRPr="00615327">
        <w:rPr>
          <w:noProof/>
        </w:rPr>
        <w:t>30</w:t>
      </w:r>
      <w:r w:rsidRPr="00615327">
        <w:rPr>
          <w:noProof/>
        </w:rPr>
        <w:tab/>
        <w:t xml:space="preserve">Dang, C. V. MYC on the path to cancer. </w:t>
      </w:r>
      <w:r w:rsidRPr="00615327">
        <w:rPr>
          <w:i/>
          <w:noProof/>
        </w:rPr>
        <w:t>Cell</w:t>
      </w:r>
      <w:r w:rsidRPr="00615327">
        <w:rPr>
          <w:noProof/>
        </w:rPr>
        <w:t xml:space="preserve"> </w:t>
      </w:r>
      <w:r w:rsidRPr="00615327">
        <w:rPr>
          <w:b/>
          <w:noProof/>
        </w:rPr>
        <w:t>149</w:t>
      </w:r>
      <w:r w:rsidRPr="00615327">
        <w:rPr>
          <w:noProof/>
        </w:rPr>
        <w:t>, 22-35, doi:10.1016/j.cell.2012.03.003 (2012).</w:t>
      </w:r>
    </w:p>
    <w:p w14:paraId="7F27B27D" w14:textId="77777777" w:rsidR="00615327" w:rsidRPr="00615327" w:rsidRDefault="00615327" w:rsidP="00615327">
      <w:pPr>
        <w:pStyle w:val="EndNoteBibliography"/>
        <w:ind w:left="720" w:hanging="720"/>
        <w:rPr>
          <w:noProof/>
        </w:rPr>
      </w:pPr>
      <w:r w:rsidRPr="00615327">
        <w:rPr>
          <w:noProof/>
        </w:rPr>
        <w:t>31</w:t>
      </w:r>
      <w:r w:rsidRPr="00615327">
        <w:rPr>
          <w:noProof/>
        </w:rPr>
        <w:tab/>
        <w:t xml:space="preserve">McKeown, M. R. &amp; Bradner, J. E. Therapeutic strategies to inhibit MYC. </w:t>
      </w:r>
      <w:r w:rsidRPr="00615327">
        <w:rPr>
          <w:i/>
          <w:noProof/>
        </w:rPr>
        <w:t>Cold Spring Harb Perspect Med</w:t>
      </w:r>
      <w:r w:rsidRPr="00615327">
        <w:rPr>
          <w:noProof/>
        </w:rPr>
        <w:t xml:space="preserve"> </w:t>
      </w:r>
      <w:r w:rsidRPr="00615327">
        <w:rPr>
          <w:b/>
          <w:noProof/>
        </w:rPr>
        <w:t>4</w:t>
      </w:r>
      <w:r w:rsidRPr="00615327">
        <w:rPr>
          <w:noProof/>
        </w:rPr>
        <w:t>, doi:10.1101/cshperspect.a014266 (2014).</w:t>
      </w:r>
    </w:p>
    <w:p w14:paraId="0DAE4212" w14:textId="77777777" w:rsidR="00615327" w:rsidRPr="00615327" w:rsidRDefault="00615327" w:rsidP="00615327">
      <w:pPr>
        <w:pStyle w:val="EndNoteBibliography"/>
        <w:ind w:left="720" w:hanging="720"/>
        <w:rPr>
          <w:noProof/>
        </w:rPr>
      </w:pPr>
      <w:r w:rsidRPr="00615327">
        <w:rPr>
          <w:noProof/>
        </w:rPr>
        <w:t>32</w:t>
      </w:r>
      <w:r w:rsidRPr="00615327">
        <w:rPr>
          <w:noProof/>
        </w:rPr>
        <w:tab/>
        <w:t>Wang, D.</w:t>
      </w:r>
      <w:r w:rsidRPr="00615327">
        <w:rPr>
          <w:i/>
          <w:noProof/>
        </w:rPr>
        <w:t xml:space="preserve"> et al.</w:t>
      </w:r>
      <w:r w:rsidRPr="00615327">
        <w:rPr>
          <w:noProof/>
        </w:rPr>
        <w:t xml:space="preserve"> Loregic: a method to characterize the cooperative logic of regulatory factors. </w:t>
      </w:r>
      <w:r w:rsidRPr="00615327">
        <w:rPr>
          <w:i/>
          <w:noProof/>
        </w:rPr>
        <w:t>PLoS Comput Biol</w:t>
      </w:r>
      <w:r w:rsidRPr="00615327">
        <w:rPr>
          <w:noProof/>
        </w:rPr>
        <w:t xml:space="preserve"> </w:t>
      </w:r>
      <w:r w:rsidRPr="00615327">
        <w:rPr>
          <w:b/>
          <w:noProof/>
        </w:rPr>
        <w:t>11</w:t>
      </w:r>
      <w:r w:rsidRPr="00615327">
        <w:rPr>
          <w:noProof/>
        </w:rPr>
        <w:t>, e1004132, doi:10.1371/journal.pcbi.1004132 (2015).</w:t>
      </w:r>
    </w:p>
    <w:p w14:paraId="11970E0B" w14:textId="77777777" w:rsidR="00615327" w:rsidRPr="00615327" w:rsidRDefault="00615327" w:rsidP="00615327">
      <w:pPr>
        <w:pStyle w:val="EndNoteBibliography"/>
        <w:ind w:left="720" w:hanging="720"/>
        <w:rPr>
          <w:noProof/>
        </w:rPr>
      </w:pPr>
      <w:r w:rsidRPr="00615327">
        <w:rPr>
          <w:noProof/>
        </w:rPr>
        <w:t>33</w:t>
      </w:r>
      <w:r w:rsidRPr="00615327">
        <w:rPr>
          <w:noProof/>
        </w:rPr>
        <w:tab/>
        <w:t>Cheng, C.</w:t>
      </w:r>
      <w:r w:rsidRPr="00615327">
        <w:rPr>
          <w:i/>
          <w:noProof/>
        </w:rPr>
        <w:t xml:space="preserve"> et al.</w:t>
      </w:r>
      <w:r w:rsidRPr="00615327">
        <w:rPr>
          <w:noProof/>
        </w:rPr>
        <w:t xml:space="preserve"> An approach for determining and measuring network hierarchy applied to comparing the phosphorylome and the regulome. </w:t>
      </w:r>
      <w:r w:rsidRPr="00615327">
        <w:rPr>
          <w:i/>
          <w:noProof/>
        </w:rPr>
        <w:t>Genome Biol</w:t>
      </w:r>
      <w:r w:rsidRPr="00615327">
        <w:rPr>
          <w:noProof/>
        </w:rPr>
        <w:t xml:space="preserve"> </w:t>
      </w:r>
      <w:r w:rsidRPr="00615327">
        <w:rPr>
          <w:b/>
          <w:noProof/>
        </w:rPr>
        <w:t>16</w:t>
      </w:r>
      <w:r w:rsidRPr="00615327">
        <w:rPr>
          <w:noProof/>
        </w:rPr>
        <w:t>, 63, doi:10.1186/s13059-015-0624-2 (2015).</w:t>
      </w:r>
    </w:p>
    <w:p w14:paraId="5AF93E68" w14:textId="77777777" w:rsidR="00615327" w:rsidRPr="00615327" w:rsidRDefault="00615327" w:rsidP="00615327">
      <w:pPr>
        <w:pStyle w:val="EndNoteBibliography"/>
        <w:ind w:left="720" w:hanging="720"/>
        <w:rPr>
          <w:noProof/>
        </w:rPr>
      </w:pPr>
      <w:r w:rsidRPr="00615327">
        <w:rPr>
          <w:noProof/>
        </w:rPr>
        <w:t>34</w:t>
      </w:r>
      <w:r w:rsidRPr="00615327">
        <w:rPr>
          <w:noProof/>
        </w:rPr>
        <w:tab/>
        <w:t>de Rooij, J. D.</w:t>
      </w:r>
      <w:r w:rsidRPr="00615327">
        <w:rPr>
          <w:i/>
          <w:noProof/>
        </w:rPr>
        <w:t xml:space="preserve"> et al.</w:t>
      </w:r>
      <w:r w:rsidRPr="00615327">
        <w:rPr>
          <w:noProof/>
        </w:rPr>
        <w:t xml:space="preserve"> Recurrent deletions of IKZF1 in pediatric acute myeloid leukemia. </w:t>
      </w:r>
      <w:r w:rsidRPr="00615327">
        <w:rPr>
          <w:i/>
          <w:noProof/>
        </w:rPr>
        <w:t>Haematologica</w:t>
      </w:r>
      <w:r w:rsidRPr="00615327">
        <w:rPr>
          <w:noProof/>
        </w:rPr>
        <w:t xml:space="preserve"> </w:t>
      </w:r>
      <w:r w:rsidRPr="00615327">
        <w:rPr>
          <w:b/>
          <w:noProof/>
        </w:rPr>
        <w:t>100</w:t>
      </w:r>
      <w:r w:rsidRPr="00615327">
        <w:rPr>
          <w:noProof/>
        </w:rPr>
        <w:t>, 1151-1159, doi:10.3324/haematol.2015.124321 (2015).</w:t>
      </w:r>
    </w:p>
    <w:p w14:paraId="77770D21" w14:textId="77777777" w:rsidR="00615327" w:rsidRPr="00615327" w:rsidRDefault="00615327" w:rsidP="00615327">
      <w:pPr>
        <w:pStyle w:val="EndNoteBibliography"/>
        <w:ind w:left="720" w:hanging="720"/>
        <w:rPr>
          <w:noProof/>
        </w:rPr>
      </w:pPr>
      <w:r w:rsidRPr="00615327">
        <w:rPr>
          <w:noProof/>
        </w:rPr>
        <w:t>35</w:t>
      </w:r>
      <w:r w:rsidRPr="00615327">
        <w:rPr>
          <w:noProof/>
        </w:rPr>
        <w:tab/>
        <w:t>Boer, J. M.</w:t>
      </w:r>
      <w:r w:rsidRPr="00615327">
        <w:rPr>
          <w:i/>
          <w:noProof/>
        </w:rPr>
        <w:t xml:space="preserve"> et al.</w:t>
      </w:r>
      <w:r w:rsidRPr="00615327">
        <w:rPr>
          <w:noProof/>
        </w:rPr>
        <w:t xml:space="preserve"> Prognostic value of rare IKZF1 deletion in childhood B-cell precursor acute lymphoblastic leukemia: an international collaborative study. </w:t>
      </w:r>
      <w:r w:rsidRPr="00615327">
        <w:rPr>
          <w:i/>
          <w:noProof/>
        </w:rPr>
        <w:t>Leukemia</w:t>
      </w:r>
      <w:r w:rsidRPr="00615327">
        <w:rPr>
          <w:noProof/>
        </w:rPr>
        <w:t xml:space="preserve"> </w:t>
      </w:r>
      <w:r w:rsidRPr="00615327">
        <w:rPr>
          <w:b/>
          <w:noProof/>
        </w:rPr>
        <w:t>30</w:t>
      </w:r>
      <w:r w:rsidRPr="00615327">
        <w:rPr>
          <w:noProof/>
        </w:rPr>
        <w:t>, 32-38, doi:10.1038/leu.2015.199 (2016).</w:t>
      </w:r>
    </w:p>
    <w:p w14:paraId="7780BF10" w14:textId="77777777" w:rsidR="00615327" w:rsidRPr="00615327" w:rsidRDefault="00615327" w:rsidP="00615327">
      <w:pPr>
        <w:pStyle w:val="EndNoteBibliography"/>
        <w:ind w:left="720" w:hanging="720"/>
        <w:rPr>
          <w:noProof/>
        </w:rPr>
      </w:pPr>
      <w:r w:rsidRPr="00615327">
        <w:rPr>
          <w:noProof/>
        </w:rPr>
        <w:t>36</w:t>
      </w:r>
      <w:r w:rsidRPr="00615327">
        <w:rPr>
          <w:noProof/>
        </w:rPr>
        <w:tab/>
        <w:t>Farh, K. K.</w:t>
      </w:r>
      <w:r w:rsidRPr="00615327">
        <w:rPr>
          <w:i/>
          <w:noProof/>
        </w:rPr>
        <w:t xml:space="preserve"> et al.</w:t>
      </w:r>
      <w:r w:rsidRPr="00615327">
        <w:rPr>
          <w:noProof/>
        </w:rPr>
        <w:t xml:space="preserve"> Genetic and epigenetic fine mapping of causal autoimmune disease variants. </w:t>
      </w:r>
      <w:r w:rsidRPr="00615327">
        <w:rPr>
          <w:i/>
          <w:noProof/>
        </w:rPr>
        <w:t>Nature</w:t>
      </w:r>
      <w:r w:rsidRPr="00615327">
        <w:rPr>
          <w:noProof/>
        </w:rPr>
        <w:t xml:space="preserve"> </w:t>
      </w:r>
      <w:r w:rsidRPr="00615327">
        <w:rPr>
          <w:b/>
          <w:noProof/>
        </w:rPr>
        <w:t>518</w:t>
      </w:r>
      <w:r w:rsidRPr="00615327">
        <w:rPr>
          <w:noProof/>
        </w:rPr>
        <w:t>, 337-343, doi:10.1038/nature13835 (2015).</w:t>
      </w:r>
    </w:p>
    <w:p w14:paraId="18250FC2" w14:textId="77777777" w:rsidR="00615327" w:rsidRPr="00615327" w:rsidRDefault="00615327" w:rsidP="00615327">
      <w:pPr>
        <w:pStyle w:val="EndNoteBibliography"/>
        <w:ind w:left="720" w:hanging="720"/>
        <w:rPr>
          <w:noProof/>
        </w:rPr>
      </w:pPr>
      <w:r w:rsidRPr="00615327">
        <w:rPr>
          <w:noProof/>
        </w:rPr>
        <w:t>37</w:t>
      </w:r>
      <w:r w:rsidRPr="00615327">
        <w:rPr>
          <w:noProof/>
        </w:rPr>
        <w:tab/>
        <w:t>Masterson, L.</w:t>
      </w:r>
      <w:r w:rsidRPr="00615327">
        <w:rPr>
          <w:i/>
          <w:noProof/>
        </w:rPr>
        <w:t xml:space="preserve"> et al.</w:t>
      </w:r>
      <w:r w:rsidRPr="00615327">
        <w:rPr>
          <w:noProof/>
        </w:rPr>
        <w:t xml:space="preserve"> Deregulation of SYCP2 predicts early stage human papillomavirus-positive oropharyngeal carcinoma: A prospective whole transcriptome analysis. </w:t>
      </w:r>
      <w:r w:rsidRPr="00615327">
        <w:rPr>
          <w:i/>
          <w:noProof/>
        </w:rPr>
        <w:t>Cancer Sci</w:t>
      </w:r>
      <w:r w:rsidRPr="00615327">
        <w:rPr>
          <w:noProof/>
        </w:rPr>
        <w:t xml:space="preserve"> </w:t>
      </w:r>
      <w:r w:rsidRPr="00615327">
        <w:rPr>
          <w:b/>
          <w:noProof/>
        </w:rPr>
        <w:t>106</w:t>
      </w:r>
      <w:r w:rsidRPr="00615327">
        <w:rPr>
          <w:noProof/>
        </w:rPr>
        <w:t>, 1568-1575, doi:10.1111/cas.12809 (2015).</w:t>
      </w:r>
    </w:p>
    <w:p w14:paraId="3EE61122" w14:textId="77777777" w:rsidR="00615327" w:rsidRPr="00615327" w:rsidRDefault="00615327" w:rsidP="00615327">
      <w:pPr>
        <w:pStyle w:val="EndNoteBibliography"/>
        <w:ind w:left="720" w:hanging="720"/>
        <w:rPr>
          <w:noProof/>
        </w:rPr>
      </w:pPr>
      <w:r w:rsidRPr="00615327">
        <w:rPr>
          <w:noProof/>
        </w:rPr>
        <w:t>38</w:t>
      </w:r>
      <w:r w:rsidRPr="00615327">
        <w:rPr>
          <w:noProof/>
        </w:rPr>
        <w:tab/>
        <w:t xml:space="preserve">Meacham, C. E. &amp; Morrison, S. J. Tumour heterogeneity and cancer cell plasticity. </w:t>
      </w:r>
      <w:r w:rsidRPr="00615327">
        <w:rPr>
          <w:i/>
          <w:noProof/>
        </w:rPr>
        <w:t>Nature</w:t>
      </w:r>
      <w:r w:rsidRPr="00615327">
        <w:rPr>
          <w:noProof/>
        </w:rPr>
        <w:t xml:space="preserve"> </w:t>
      </w:r>
      <w:r w:rsidRPr="00615327">
        <w:rPr>
          <w:b/>
          <w:noProof/>
        </w:rPr>
        <w:t>501</w:t>
      </w:r>
      <w:r w:rsidRPr="00615327">
        <w:rPr>
          <w:noProof/>
        </w:rPr>
        <w:t>, 328-337, doi:10.1038/nature12624 (2013).</w:t>
      </w:r>
    </w:p>
    <w:p w14:paraId="7E1B569E" w14:textId="350A649E" w:rsidR="00792D1A" w:rsidRPr="009F428F" w:rsidRDefault="004B1319" w:rsidP="00792D1A">
      <w:pPr>
        <w:pStyle w:val="NoSpacing"/>
        <w:rPr>
          <w:sz w:val="28"/>
          <w:szCs w:val="28"/>
        </w:rPr>
      </w:pPr>
      <w:r w:rsidRPr="001470F1">
        <w:rPr>
          <w:sz w:val="28"/>
          <w:szCs w:val="28"/>
        </w:rPr>
        <w:fldChar w:fldCharType="end"/>
      </w:r>
      <w:r w:rsidR="009D3860">
        <w:rPr>
          <w:sz w:val="28"/>
          <w:szCs w:val="28"/>
        </w:rPr>
        <w:fldChar w:fldCharType="begin"/>
      </w:r>
      <w:r w:rsidR="009D3860">
        <w:rPr>
          <w:sz w:val="28"/>
          <w:szCs w:val="28"/>
        </w:rPr>
        <w:instrText xml:space="preserve"> ADDIN </w:instrText>
      </w:r>
      <w:r w:rsidR="009D3860">
        <w:rPr>
          <w:sz w:val="28"/>
          <w:szCs w:val="28"/>
        </w:rPr>
        <w:fldChar w:fldCharType="end"/>
      </w:r>
    </w:p>
    <w:sectPr w:rsidR="00792D1A" w:rsidRPr="009F428F" w:rsidSect="00F2315E">
      <w:footerReference w:type="even" r:id="rId20"/>
      <w:footerReference w:type="default" r:id="rId21"/>
      <w:pgSz w:w="12240" w:h="15840"/>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12903" w14:textId="77777777" w:rsidR="00082463" w:rsidRDefault="00082463" w:rsidP="005551C2">
      <w:r>
        <w:separator/>
      </w:r>
    </w:p>
  </w:endnote>
  <w:endnote w:type="continuationSeparator" w:id="0">
    <w:p w14:paraId="689C3169" w14:textId="77777777" w:rsidR="00082463" w:rsidRDefault="00082463" w:rsidP="005551C2">
      <w:r>
        <w:continuationSeparator/>
      </w:r>
    </w:p>
  </w:endnote>
  <w:endnote w:type="continuationNotice" w:id="1">
    <w:p w14:paraId="36D53473" w14:textId="77777777" w:rsidR="00082463" w:rsidRDefault="0008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F2315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FFA3" w14:textId="77777777" w:rsidR="004A6670" w:rsidRPr="001C2593" w:rsidRDefault="004A6670" w:rsidP="00F2315E">
    <w:pPr>
      <w:pStyle w:val="Footer"/>
      <w:framePr w:wrap="none" w:vAnchor="text" w:hAnchor="margin" w:xAlign="center" w:y="1"/>
      <w:rPr>
        <w:rStyle w:val="PageNumber"/>
        <w:rFonts w:ascii="Times New Roman" w:hAnsi="Times New Roman" w:cs="Times New Roman"/>
      </w:rPr>
    </w:pPr>
    <w:r w:rsidRPr="001C2593">
      <w:rPr>
        <w:rStyle w:val="PageNumber"/>
        <w:rFonts w:ascii="Times New Roman" w:hAnsi="Times New Roman" w:cs="Times New Roman"/>
      </w:rPr>
      <w:fldChar w:fldCharType="begin"/>
    </w:r>
    <w:r w:rsidRPr="001C2593">
      <w:rPr>
        <w:rStyle w:val="PageNumber"/>
        <w:rFonts w:ascii="Times New Roman" w:hAnsi="Times New Roman" w:cs="Times New Roman"/>
      </w:rPr>
      <w:instrText xml:space="preserve">PAGE  </w:instrText>
    </w:r>
    <w:r w:rsidRPr="001C2593">
      <w:rPr>
        <w:rStyle w:val="PageNumber"/>
        <w:rFonts w:ascii="Times New Roman" w:hAnsi="Times New Roman" w:cs="Times New Roman"/>
      </w:rPr>
      <w:fldChar w:fldCharType="separate"/>
    </w:r>
    <w:r w:rsidR="008058A0">
      <w:rPr>
        <w:rStyle w:val="PageNumber"/>
        <w:rFonts w:ascii="Times New Roman" w:hAnsi="Times New Roman" w:cs="Times New Roman"/>
        <w:noProof/>
      </w:rPr>
      <w:t>2</w:t>
    </w:r>
    <w:r w:rsidRPr="001C2593">
      <w:rPr>
        <w:rStyle w:val="PageNumber"/>
        <w:rFonts w:ascii="Times New Roman" w:hAnsi="Times New Roman" w:cs="Times New Roman"/>
      </w:rPr>
      <w:fldChar w:fldCharType="end"/>
    </w:r>
  </w:p>
  <w:p w14:paraId="16203F79" w14:textId="1054DB23" w:rsidR="00B42EB8" w:rsidRPr="001C2593" w:rsidRDefault="00B42EB8" w:rsidP="00400969">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FC4C0" w14:textId="77777777" w:rsidR="00082463" w:rsidRDefault="00082463" w:rsidP="005551C2">
      <w:r>
        <w:separator/>
      </w:r>
    </w:p>
  </w:footnote>
  <w:footnote w:type="continuationSeparator" w:id="0">
    <w:p w14:paraId="0039E4A7" w14:textId="77777777" w:rsidR="00082463" w:rsidRDefault="00082463" w:rsidP="005551C2">
      <w:r>
        <w:continuationSeparator/>
      </w:r>
    </w:p>
  </w:footnote>
  <w:footnote w:type="continuationNotice" w:id="1">
    <w:p w14:paraId="1978641E" w14:textId="77777777" w:rsidR="00082463" w:rsidRDefault="00082463"/>
  </w:footnote>
  <w:footnote w:id="2">
    <w:p w14:paraId="75B1DAAF" w14:textId="07349DBD" w:rsidR="00525C6A" w:rsidRDefault="00525C6A">
      <w:pPr>
        <w:pStyle w:val="FootnoteText"/>
      </w:pPr>
      <w:r>
        <w:rPr>
          <w:rStyle w:val="FootnoteReference"/>
        </w:rPr>
        <w:footnoteRef/>
      </w:r>
      <w:r>
        <w:t xml:space="preserve"> </w:t>
      </w:r>
      <w:r w:rsidRPr="004F0383">
        <w:rPr>
          <w:sz w:val="20"/>
          <w:szCs w:val="20"/>
        </w:rPr>
        <w:t>D</w:t>
      </w:r>
      <w:r w:rsidRPr="004F0383">
        <w:rPr>
          <w:rFonts w:hint="eastAsia"/>
          <w:sz w:val="20"/>
          <w:szCs w:val="20"/>
        </w:rPr>
        <w:t xml:space="preserve">etails see </w:t>
      </w:r>
      <w:r w:rsidRPr="004F0383">
        <w:rPr>
          <w:sz w:val="20"/>
          <w:szCs w:val="20"/>
        </w:rPr>
        <w:t xml:space="preserve">section </w:t>
      </w:r>
      <w:r w:rsidR="00EB047A" w:rsidRPr="004F0383">
        <w:rPr>
          <w:sz w:val="20"/>
          <w:szCs w:val="20"/>
        </w:rPr>
        <w:t xml:space="preserve">4.3S for </w:t>
      </w:r>
      <w:r w:rsidR="00DA71BF">
        <w:rPr>
          <w:sz w:val="20"/>
          <w:szCs w:val="20"/>
        </w:rPr>
        <w:t>generalized</w:t>
      </w:r>
      <w:r w:rsidR="00EB047A" w:rsidRPr="004F0383">
        <w:rPr>
          <w:sz w:val="20"/>
          <w:szCs w:val="20"/>
        </w:rPr>
        <w:t xml:space="preserve"> network and 5.1S-5.2S for cell</w:t>
      </w:r>
      <w:r w:rsidR="001A0458">
        <w:rPr>
          <w:sz w:val="20"/>
          <w:szCs w:val="20"/>
        </w:rPr>
        <w:t>-</w:t>
      </w:r>
      <w:r w:rsidR="00EB047A" w:rsidRPr="004F0383">
        <w:rPr>
          <w:sz w:val="20"/>
          <w:szCs w:val="20"/>
        </w:rPr>
        <w:t>type specific network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39"/>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6&lt;/item&gt;&lt;item&gt;37&lt;/item&gt;&lt;item&gt;39&lt;/item&gt;&lt;item&gt;40&lt;/item&gt;&lt;item&gt;41&lt;/item&gt;&lt;item&gt;42&lt;/item&gt;&lt;item&gt;43&lt;/item&gt;&lt;item&gt;44&lt;/item&gt;&lt;item&gt;45&lt;/item&gt;&lt;item&gt;46&lt;/item&gt;&lt;item&gt;47&lt;/item&gt;&lt;item&gt;48&lt;/item&gt;&lt;/record-ids&gt;&lt;/item&gt;&lt;/Libraries&gt;"/>
  </w:docVars>
  <w:rsids>
    <w:rsidRoot w:val="006341BC"/>
    <w:rsid w:val="0000370A"/>
    <w:rsid w:val="00003AFB"/>
    <w:rsid w:val="00006019"/>
    <w:rsid w:val="0000681A"/>
    <w:rsid w:val="0000689E"/>
    <w:rsid w:val="000112CA"/>
    <w:rsid w:val="00015A80"/>
    <w:rsid w:val="00016540"/>
    <w:rsid w:val="00016DD0"/>
    <w:rsid w:val="00016DF9"/>
    <w:rsid w:val="00027750"/>
    <w:rsid w:val="00027DE4"/>
    <w:rsid w:val="000335C1"/>
    <w:rsid w:val="00034568"/>
    <w:rsid w:val="00035245"/>
    <w:rsid w:val="00036833"/>
    <w:rsid w:val="00042088"/>
    <w:rsid w:val="000430CE"/>
    <w:rsid w:val="000465B4"/>
    <w:rsid w:val="000543F8"/>
    <w:rsid w:val="000579EC"/>
    <w:rsid w:val="00057FD0"/>
    <w:rsid w:val="00060144"/>
    <w:rsid w:val="00063645"/>
    <w:rsid w:val="00065072"/>
    <w:rsid w:val="00070773"/>
    <w:rsid w:val="00070910"/>
    <w:rsid w:val="0007215A"/>
    <w:rsid w:val="00072606"/>
    <w:rsid w:val="000746C1"/>
    <w:rsid w:val="00077CB1"/>
    <w:rsid w:val="00082463"/>
    <w:rsid w:val="0008377F"/>
    <w:rsid w:val="00095FB7"/>
    <w:rsid w:val="000A11CE"/>
    <w:rsid w:val="000A2900"/>
    <w:rsid w:val="000A30E1"/>
    <w:rsid w:val="000A54E9"/>
    <w:rsid w:val="000B0618"/>
    <w:rsid w:val="000B0A62"/>
    <w:rsid w:val="000B0ACA"/>
    <w:rsid w:val="000B2757"/>
    <w:rsid w:val="000B42F4"/>
    <w:rsid w:val="000C34A4"/>
    <w:rsid w:val="000C6D39"/>
    <w:rsid w:val="000C77E2"/>
    <w:rsid w:val="000D15F4"/>
    <w:rsid w:val="000D2847"/>
    <w:rsid w:val="000D50E0"/>
    <w:rsid w:val="000D53E9"/>
    <w:rsid w:val="000D5A95"/>
    <w:rsid w:val="000D6727"/>
    <w:rsid w:val="000D7C4D"/>
    <w:rsid w:val="000E2BB7"/>
    <w:rsid w:val="000E3B44"/>
    <w:rsid w:val="000F1E10"/>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13F2"/>
    <w:rsid w:val="00143CC6"/>
    <w:rsid w:val="0014416A"/>
    <w:rsid w:val="001470F1"/>
    <w:rsid w:val="00150C4D"/>
    <w:rsid w:val="001524DE"/>
    <w:rsid w:val="00152F3F"/>
    <w:rsid w:val="001566F9"/>
    <w:rsid w:val="001629AC"/>
    <w:rsid w:val="00164980"/>
    <w:rsid w:val="00164A75"/>
    <w:rsid w:val="00170454"/>
    <w:rsid w:val="001729BE"/>
    <w:rsid w:val="00172FC5"/>
    <w:rsid w:val="00175000"/>
    <w:rsid w:val="001753C3"/>
    <w:rsid w:val="0018009F"/>
    <w:rsid w:val="00180764"/>
    <w:rsid w:val="00181213"/>
    <w:rsid w:val="00183A60"/>
    <w:rsid w:val="00184E19"/>
    <w:rsid w:val="00185530"/>
    <w:rsid w:val="00186EC8"/>
    <w:rsid w:val="001911F3"/>
    <w:rsid w:val="00192390"/>
    <w:rsid w:val="001926D1"/>
    <w:rsid w:val="0019328F"/>
    <w:rsid w:val="001939A8"/>
    <w:rsid w:val="00195AF4"/>
    <w:rsid w:val="001A0458"/>
    <w:rsid w:val="001A1487"/>
    <w:rsid w:val="001A3205"/>
    <w:rsid w:val="001A7D9A"/>
    <w:rsid w:val="001B1E8A"/>
    <w:rsid w:val="001B2118"/>
    <w:rsid w:val="001B23EA"/>
    <w:rsid w:val="001B5EC7"/>
    <w:rsid w:val="001B6577"/>
    <w:rsid w:val="001B7728"/>
    <w:rsid w:val="001C2593"/>
    <w:rsid w:val="001C73D5"/>
    <w:rsid w:val="001D216E"/>
    <w:rsid w:val="001D520E"/>
    <w:rsid w:val="001D5494"/>
    <w:rsid w:val="001D79AE"/>
    <w:rsid w:val="001E1F96"/>
    <w:rsid w:val="001E63E0"/>
    <w:rsid w:val="001F0160"/>
    <w:rsid w:val="001F7548"/>
    <w:rsid w:val="002007EB"/>
    <w:rsid w:val="002038EA"/>
    <w:rsid w:val="00204174"/>
    <w:rsid w:val="00205133"/>
    <w:rsid w:val="00205FA2"/>
    <w:rsid w:val="00211E6E"/>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4A21"/>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05E5"/>
    <w:rsid w:val="002B1739"/>
    <w:rsid w:val="002B5A8E"/>
    <w:rsid w:val="002C01C2"/>
    <w:rsid w:val="002C13F6"/>
    <w:rsid w:val="002C17E9"/>
    <w:rsid w:val="002C3017"/>
    <w:rsid w:val="002D206D"/>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241"/>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5535D"/>
    <w:rsid w:val="00366822"/>
    <w:rsid w:val="00371B4F"/>
    <w:rsid w:val="00374C7E"/>
    <w:rsid w:val="0038138A"/>
    <w:rsid w:val="00381740"/>
    <w:rsid w:val="00382BB9"/>
    <w:rsid w:val="00386380"/>
    <w:rsid w:val="00390E97"/>
    <w:rsid w:val="0039493C"/>
    <w:rsid w:val="00394E1E"/>
    <w:rsid w:val="00396122"/>
    <w:rsid w:val="003A3F04"/>
    <w:rsid w:val="003A59E7"/>
    <w:rsid w:val="003A5E3B"/>
    <w:rsid w:val="003B208C"/>
    <w:rsid w:val="003B23E3"/>
    <w:rsid w:val="003B546C"/>
    <w:rsid w:val="003B5E52"/>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69"/>
    <w:rsid w:val="0040099B"/>
    <w:rsid w:val="004009CF"/>
    <w:rsid w:val="004027F7"/>
    <w:rsid w:val="00403096"/>
    <w:rsid w:val="00405218"/>
    <w:rsid w:val="00412BA3"/>
    <w:rsid w:val="004133CC"/>
    <w:rsid w:val="0041477F"/>
    <w:rsid w:val="00416285"/>
    <w:rsid w:val="004173C5"/>
    <w:rsid w:val="00420C4C"/>
    <w:rsid w:val="0042540F"/>
    <w:rsid w:val="00426DFB"/>
    <w:rsid w:val="00431937"/>
    <w:rsid w:val="00433EED"/>
    <w:rsid w:val="004344EC"/>
    <w:rsid w:val="004357D1"/>
    <w:rsid w:val="00435A37"/>
    <w:rsid w:val="004373A7"/>
    <w:rsid w:val="00443C71"/>
    <w:rsid w:val="00443EA0"/>
    <w:rsid w:val="00450348"/>
    <w:rsid w:val="004511CE"/>
    <w:rsid w:val="004517E4"/>
    <w:rsid w:val="00451F32"/>
    <w:rsid w:val="0045240D"/>
    <w:rsid w:val="00456BA5"/>
    <w:rsid w:val="00462794"/>
    <w:rsid w:val="00465857"/>
    <w:rsid w:val="004671D3"/>
    <w:rsid w:val="004673E7"/>
    <w:rsid w:val="00470733"/>
    <w:rsid w:val="00470A03"/>
    <w:rsid w:val="00474D74"/>
    <w:rsid w:val="00483731"/>
    <w:rsid w:val="00483781"/>
    <w:rsid w:val="00486C7E"/>
    <w:rsid w:val="00491D53"/>
    <w:rsid w:val="00493445"/>
    <w:rsid w:val="004939EC"/>
    <w:rsid w:val="004958AD"/>
    <w:rsid w:val="004A02C5"/>
    <w:rsid w:val="004A1C60"/>
    <w:rsid w:val="004A2333"/>
    <w:rsid w:val="004A51D1"/>
    <w:rsid w:val="004A6670"/>
    <w:rsid w:val="004B1319"/>
    <w:rsid w:val="004C2003"/>
    <w:rsid w:val="004C281C"/>
    <w:rsid w:val="004C3278"/>
    <w:rsid w:val="004C43F0"/>
    <w:rsid w:val="004C4AEF"/>
    <w:rsid w:val="004C4CC1"/>
    <w:rsid w:val="004C5B7C"/>
    <w:rsid w:val="004C7D0F"/>
    <w:rsid w:val="004D351B"/>
    <w:rsid w:val="004D67D5"/>
    <w:rsid w:val="004E0E61"/>
    <w:rsid w:val="004E3A4B"/>
    <w:rsid w:val="004E41BF"/>
    <w:rsid w:val="004F0383"/>
    <w:rsid w:val="004F07EF"/>
    <w:rsid w:val="004F19EA"/>
    <w:rsid w:val="004F6212"/>
    <w:rsid w:val="00501F91"/>
    <w:rsid w:val="0050325C"/>
    <w:rsid w:val="00505FBF"/>
    <w:rsid w:val="00506782"/>
    <w:rsid w:val="005069C5"/>
    <w:rsid w:val="0050710E"/>
    <w:rsid w:val="005104D0"/>
    <w:rsid w:val="00514106"/>
    <w:rsid w:val="005176BD"/>
    <w:rsid w:val="00522A06"/>
    <w:rsid w:val="00523663"/>
    <w:rsid w:val="0052552F"/>
    <w:rsid w:val="00525C6A"/>
    <w:rsid w:val="00526738"/>
    <w:rsid w:val="005314E8"/>
    <w:rsid w:val="005322EA"/>
    <w:rsid w:val="00535465"/>
    <w:rsid w:val="0053676A"/>
    <w:rsid w:val="00537CC1"/>
    <w:rsid w:val="00541BD1"/>
    <w:rsid w:val="00541EFF"/>
    <w:rsid w:val="005439AF"/>
    <w:rsid w:val="005449B5"/>
    <w:rsid w:val="005453CC"/>
    <w:rsid w:val="00547CDA"/>
    <w:rsid w:val="0055085B"/>
    <w:rsid w:val="00553E94"/>
    <w:rsid w:val="005551C2"/>
    <w:rsid w:val="0055597C"/>
    <w:rsid w:val="00556812"/>
    <w:rsid w:val="00564F26"/>
    <w:rsid w:val="00565972"/>
    <w:rsid w:val="0056735A"/>
    <w:rsid w:val="00571392"/>
    <w:rsid w:val="005719C7"/>
    <w:rsid w:val="00574F53"/>
    <w:rsid w:val="005829E7"/>
    <w:rsid w:val="00583008"/>
    <w:rsid w:val="00585F1A"/>
    <w:rsid w:val="00595160"/>
    <w:rsid w:val="00595C20"/>
    <w:rsid w:val="005960CF"/>
    <w:rsid w:val="005A07B0"/>
    <w:rsid w:val="005A083C"/>
    <w:rsid w:val="005A1A7E"/>
    <w:rsid w:val="005A6A03"/>
    <w:rsid w:val="005A7289"/>
    <w:rsid w:val="005A74DE"/>
    <w:rsid w:val="005B2108"/>
    <w:rsid w:val="005B4B73"/>
    <w:rsid w:val="005B6939"/>
    <w:rsid w:val="005C0362"/>
    <w:rsid w:val="005C6CAD"/>
    <w:rsid w:val="005D037B"/>
    <w:rsid w:val="005D3CD0"/>
    <w:rsid w:val="005D4DB8"/>
    <w:rsid w:val="005D7B55"/>
    <w:rsid w:val="005E01D2"/>
    <w:rsid w:val="005E0371"/>
    <w:rsid w:val="005E494A"/>
    <w:rsid w:val="005F2467"/>
    <w:rsid w:val="005F57A4"/>
    <w:rsid w:val="006009F8"/>
    <w:rsid w:val="006019CA"/>
    <w:rsid w:val="00601BBA"/>
    <w:rsid w:val="00602A4D"/>
    <w:rsid w:val="00605289"/>
    <w:rsid w:val="006059A6"/>
    <w:rsid w:val="00605ADC"/>
    <w:rsid w:val="006078D9"/>
    <w:rsid w:val="00607951"/>
    <w:rsid w:val="00610ACE"/>
    <w:rsid w:val="0061218A"/>
    <w:rsid w:val="00613DE4"/>
    <w:rsid w:val="00614FBC"/>
    <w:rsid w:val="00615327"/>
    <w:rsid w:val="006159B4"/>
    <w:rsid w:val="00620DC4"/>
    <w:rsid w:val="00623746"/>
    <w:rsid w:val="00627C33"/>
    <w:rsid w:val="006304D2"/>
    <w:rsid w:val="0063167A"/>
    <w:rsid w:val="006325CB"/>
    <w:rsid w:val="00632C07"/>
    <w:rsid w:val="006341BC"/>
    <w:rsid w:val="00642B83"/>
    <w:rsid w:val="00646BF5"/>
    <w:rsid w:val="00652E48"/>
    <w:rsid w:val="00656B21"/>
    <w:rsid w:val="00662A74"/>
    <w:rsid w:val="00663F09"/>
    <w:rsid w:val="006677B0"/>
    <w:rsid w:val="00671160"/>
    <w:rsid w:val="0067696A"/>
    <w:rsid w:val="0068035C"/>
    <w:rsid w:val="00683EE5"/>
    <w:rsid w:val="00691510"/>
    <w:rsid w:val="00692C47"/>
    <w:rsid w:val="00692FE7"/>
    <w:rsid w:val="00693FC3"/>
    <w:rsid w:val="006950B1"/>
    <w:rsid w:val="006A05FF"/>
    <w:rsid w:val="006A0DF6"/>
    <w:rsid w:val="006A0E86"/>
    <w:rsid w:val="006A2413"/>
    <w:rsid w:val="006A2908"/>
    <w:rsid w:val="006A2E48"/>
    <w:rsid w:val="006B21CA"/>
    <w:rsid w:val="006B3564"/>
    <w:rsid w:val="006B67AE"/>
    <w:rsid w:val="006B704A"/>
    <w:rsid w:val="006C0919"/>
    <w:rsid w:val="006C1FEB"/>
    <w:rsid w:val="006C23F7"/>
    <w:rsid w:val="006C270D"/>
    <w:rsid w:val="006C4016"/>
    <w:rsid w:val="006C6A08"/>
    <w:rsid w:val="006C6ED6"/>
    <w:rsid w:val="006D0DC0"/>
    <w:rsid w:val="006D22FB"/>
    <w:rsid w:val="006D24DF"/>
    <w:rsid w:val="006D511F"/>
    <w:rsid w:val="006D62F0"/>
    <w:rsid w:val="006E05A6"/>
    <w:rsid w:val="006E321D"/>
    <w:rsid w:val="006E4291"/>
    <w:rsid w:val="006E4EC7"/>
    <w:rsid w:val="006E6C0B"/>
    <w:rsid w:val="006E7B1D"/>
    <w:rsid w:val="006F6CD9"/>
    <w:rsid w:val="00700501"/>
    <w:rsid w:val="00702B68"/>
    <w:rsid w:val="00706AC1"/>
    <w:rsid w:val="00706BF8"/>
    <w:rsid w:val="0071003F"/>
    <w:rsid w:val="0071072C"/>
    <w:rsid w:val="00711436"/>
    <w:rsid w:val="00711835"/>
    <w:rsid w:val="00711A50"/>
    <w:rsid w:val="00713FFB"/>
    <w:rsid w:val="007166A8"/>
    <w:rsid w:val="00727757"/>
    <w:rsid w:val="00737A9D"/>
    <w:rsid w:val="007406A3"/>
    <w:rsid w:val="00750A4D"/>
    <w:rsid w:val="00750D45"/>
    <w:rsid w:val="007510DF"/>
    <w:rsid w:val="0075270B"/>
    <w:rsid w:val="00752850"/>
    <w:rsid w:val="007532A8"/>
    <w:rsid w:val="007541FE"/>
    <w:rsid w:val="0076222A"/>
    <w:rsid w:val="00763973"/>
    <w:rsid w:val="00764338"/>
    <w:rsid w:val="007669ED"/>
    <w:rsid w:val="00770521"/>
    <w:rsid w:val="00770EB5"/>
    <w:rsid w:val="00773823"/>
    <w:rsid w:val="00780A46"/>
    <w:rsid w:val="00781C1C"/>
    <w:rsid w:val="00783FBC"/>
    <w:rsid w:val="00786863"/>
    <w:rsid w:val="00790320"/>
    <w:rsid w:val="00792D1A"/>
    <w:rsid w:val="00793075"/>
    <w:rsid w:val="0079347C"/>
    <w:rsid w:val="0079637C"/>
    <w:rsid w:val="007A03F1"/>
    <w:rsid w:val="007A0EFB"/>
    <w:rsid w:val="007A4856"/>
    <w:rsid w:val="007A5347"/>
    <w:rsid w:val="007B1E86"/>
    <w:rsid w:val="007B3458"/>
    <w:rsid w:val="007B5164"/>
    <w:rsid w:val="007B73AC"/>
    <w:rsid w:val="007C1CF7"/>
    <w:rsid w:val="007C1FBE"/>
    <w:rsid w:val="007C33F3"/>
    <w:rsid w:val="007D0712"/>
    <w:rsid w:val="007D0B41"/>
    <w:rsid w:val="007D2595"/>
    <w:rsid w:val="007D2600"/>
    <w:rsid w:val="007D3022"/>
    <w:rsid w:val="007D30EB"/>
    <w:rsid w:val="007D3167"/>
    <w:rsid w:val="007D319B"/>
    <w:rsid w:val="007D5294"/>
    <w:rsid w:val="007D56BC"/>
    <w:rsid w:val="007E02BB"/>
    <w:rsid w:val="007E0540"/>
    <w:rsid w:val="007E0F08"/>
    <w:rsid w:val="007E10AD"/>
    <w:rsid w:val="007E3DDC"/>
    <w:rsid w:val="007E5BE8"/>
    <w:rsid w:val="007E5EE3"/>
    <w:rsid w:val="007E7750"/>
    <w:rsid w:val="007F1617"/>
    <w:rsid w:val="007F2694"/>
    <w:rsid w:val="007F2D41"/>
    <w:rsid w:val="007F3D4A"/>
    <w:rsid w:val="007F47D8"/>
    <w:rsid w:val="007F4EA7"/>
    <w:rsid w:val="007F5341"/>
    <w:rsid w:val="007F7970"/>
    <w:rsid w:val="008027A3"/>
    <w:rsid w:val="008057EF"/>
    <w:rsid w:val="008058A0"/>
    <w:rsid w:val="00810916"/>
    <w:rsid w:val="00812A42"/>
    <w:rsid w:val="008139E6"/>
    <w:rsid w:val="00813B2C"/>
    <w:rsid w:val="008211E3"/>
    <w:rsid w:val="00823C2A"/>
    <w:rsid w:val="00826FEA"/>
    <w:rsid w:val="008307A2"/>
    <w:rsid w:val="00833822"/>
    <w:rsid w:val="00837E33"/>
    <w:rsid w:val="0084334E"/>
    <w:rsid w:val="00845CD1"/>
    <w:rsid w:val="00862824"/>
    <w:rsid w:val="008704AC"/>
    <w:rsid w:val="0087302D"/>
    <w:rsid w:val="0087556E"/>
    <w:rsid w:val="008764B6"/>
    <w:rsid w:val="0087740F"/>
    <w:rsid w:val="00885FB4"/>
    <w:rsid w:val="00890A14"/>
    <w:rsid w:val="00896F18"/>
    <w:rsid w:val="008A6308"/>
    <w:rsid w:val="008A7497"/>
    <w:rsid w:val="008B0049"/>
    <w:rsid w:val="008B0305"/>
    <w:rsid w:val="008B2FBA"/>
    <w:rsid w:val="008B3DA2"/>
    <w:rsid w:val="008B4552"/>
    <w:rsid w:val="008C22D7"/>
    <w:rsid w:val="008C4133"/>
    <w:rsid w:val="008C655B"/>
    <w:rsid w:val="008D3C83"/>
    <w:rsid w:val="008D54D1"/>
    <w:rsid w:val="008D73B9"/>
    <w:rsid w:val="008E0189"/>
    <w:rsid w:val="008E2A52"/>
    <w:rsid w:val="008F3EEA"/>
    <w:rsid w:val="009002CC"/>
    <w:rsid w:val="00900735"/>
    <w:rsid w:val="009073DA"/>
    <w:rsid w:val="009101D8"/>
    <w:rsid w:val="00911262"/>
    <w:rsid w:val="009176E5"/>
    <w:rsid w:val="0091782A"/>
    <w:rsid w:val="009239A9"/>
    <w:rsid w:val="00930F30"/>
    <w:rsid w:val="00931E21"/>
    <w:rsid w:val="00933026"/>
    <w:rsid w:val="0093438E"/>
    <w:rsid w:val="0094114E"/>
    <w:rsid w:val="009445E1"/>
    <w:rsid w:val="00945329"/>
    <w:rsid w:val="0094540A"/>
    <w:rsid w:val="00947EB5"/>
    <w:rsid w:val="009508AE"/>
    <w:rsid w:val="00951F12"/>
    <w:rsid w:val="00953D46"/>
    <w:rsid w:val="00956778"/>
    <w:rsid w:val="00960ED2"/>
    <w:rsid w:val="00961EFA"/>
    <w:rsid w:val="00962D59"/>
    <w:rsid w:val="0096623A"/>
    <w:rsid w:val="00971B03"/>
    <w:rsid w:val="00972143"/>
    <w:rsid w:val="0097439E"/>
    <w:rsid w:val="00974566"/>
    <w:rsid w:val="00980793"/>
    <w:rsid w:val="00982D98"/>
    <w:rsid w:val="0098308D"/>
    <w:rsid w:val="00984CC6"/>
    <w:rsid w:val="00987B09"/>
    <w:rsid w:val="00992170"/>
    <w:rsid w:val="009949C6"/>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386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13B89"/>
    <w:rsid w:val="00A15B78"/>
    <w:rsid w:val="00A21093"/>
    <w:rsid w:val="00A23904"/>
    <w:rsid w:val="00A25391"/>
    <w:rsid w:val="00A26F63"/>
    <w:rsid w:val="00A338B7"/>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5557"/>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C70E5"/>
    <w:rsid w:val="00AD0B3C"/>
    <w:rsid w:val="00AD2AF1"/>
    <w:rsid w:val="00AD2F4B"/>
    <w:rsid w:val="00AD3C10"/>
    <w:rsid w:val="00AD6D6D"/>
    <w:rsid w:val="00AE23FD"/>
    <w:rsid w:val="00AE27E6"/>
    <w:rsid w:val="00AE5EB8"/>
    <w:rsid w:val="00AF079E"/>
    <w:rsid w:val="00AF0B0B"/>
    <w:rsid w:val="00AF10D0"/>
    <w:rsid w:val="00AF22E7"/>
    <w:rsid w:val="00AF4395"/>
    <w:rsid w:val="00AF6B73"/>
    <w:rsid w:val="00AF73AC"/>
    <w:rsid w:val="00AF7EA6"/>
    <w:rsid w:val="00B0164D"/>
    <w:rsid w:val="00B02B2C"/>
    <w:rsid w:val="00B054F4"/>
    <w:rsid w:val="00B05600"/>
    <w:rsid w:val="00B06D9B"/>
    <w:rsid w:val="00B10026"/>
    <w:rsid w:val="00B143CA"/>
    <w:rsid w:val="00B1517D"/>
    <w:rsid w:val="00B1583B"/>
    <w:rsid w:val="00B15EFB"/>
    <w:rsid w:val="00B174A4"/>
    <w:rsid w:val="00B20220"/>
    <w:rsid w:val="00B213FF"/>
    <w:rsid w:val="00B217BB"/>
    <w:rsid w:val="00B2528E"/>
    <w:rsid w:val="00B257E7"/>
    <w:rsid w:val="00B25E72"/>
    <w:rsid w:val="00B27754"/>
    <w:rsid w:val="00B27789"/>
    <w:rsid w:val="00B27D27"/>
    <w:rsid w:val="00B30EED"/>
    <w:rsid w:val="00B31F67"/>
    <w:rsid w:val="00B32593"/>
    <w:rsid w:val="00B3596D"/>
    <w:rsid w:val="00B37528"/>
    <w:rsid w:val="00B4023D"/>
    <w:rsid w:val="00B42EB8"/>
    <w:rsid w:val="00B43F78"/>
    <w:rsid w:val="00B47449"/>
    <w:rsid w:val="00B4776F"/>
    <w:rsid w:val="00B51351"/>
    <w:rsid w:val="00B52EE2"/>
    <w:rsid w:val="00B54DF4"/>
    <w:rsid w:val="00B62EF4"/>
    <w:rsid w:val="00B6347D"/>
    <w:rsid w:val="00B64803"/>
    <w:rsid w:val="00B66117"/>
    <w:rsid w:val="00B676A5"/>
    <w:rsid w:val="00B70C24"/>
    <w:rsid w:val="00B774D5"/>
    <w:rsid w:val="00B80DD0"/>
    <w:rsid w:val="00B823A8"/>
    <w:rsid w:val="00B86FCF"/>
    <w:rsid w:val="00B90EC7"/>
    <w:rsid w:val="00B92138"/>
    <w:rsid w:val="00B92EF5"/>
    <w:rsid w:val="00B96892"/>
    <w:rsid w:val="00B97473"/>
    <w:rsid w:val="00BA2244"/>
    <w:rsid w:val="00BA5BE4"/>
    <w:rsid w:val="00BB0726"/>
    <w:rsid w:val="00BB20B0"/>
    <w:rsid w:val="00BB3ABC"/>
    <w:rsid w:val="00BB3FE7"/>
    <w:rsid w:val="00BB4308"/>
    <w:rsid w:val="00BB5214"/>
    <w:rsid w:val="00BB722F"/>
    <w:rsid w:val="00BC1F4B"/>
    <w:rsid w:val="00BC4377"/>
    <w:rsid w:val="00BC6276"/>
    <w:rsid w:val="00BC68CE"/>
    <w:rsid w:val="00BD0F87"/>
    <w:rsid w:val="00BD3F84"/>
    <w:rsid w:val="00BE08F3"/>
    <w:rsid w:val="00BE2170"/>
    <w:rsid w:val="00BE2448"/>
    <w:rsid w:val="00BE6C5B"/>
    <w:rsid w:val="00BF2F98"/>
    <w:rsid w:val="00BF30A1"/>
    <w:rsid w:val="00C0276C"/>
    <w:rsid w:val="00C07C2B"/>
    <w:rsid w:val="00C12FC1"/>
    <w:rsid w:val="00C137E1"/>
    <w:rsid w:val="00C15E6E"/>
    <w:rsid w:val="00C20673"/>
    <w:rsid w:val="00C2087F"/>
    <w:rsid w:val="00C22CB5"/>
    <w:rsid w:val="00C23CB9"/>
    <w:rsid w:val="00C23EAE"/>
    <w:rsid w:val="00C2584C"/>
    <w:rsid w:val="00C34B23"/>
    <w:rsid w:val="00C34E0D"/>
    <w:rsid w:val="00C35E10"/>
    <w:rsid w:val="00C360E0"/>
    <w:rsid w:val="00C369D7"/>
    <w:rsid w:val="00C40424"/>
    <w:rsid w:val="00C44C69"/>
    <w:rsid w:val="00C47ACF"/>
    <w:rsid w:val="00C50A1F"/>
    <w:rsid w:val="00C51AEB"/>
    <w:rsid w:val="00C55C40"/>
    <w:rsid w:val="00C5765E"/>
    <w:rsid w:val="00C60137"/>
    <w:rsid w:val="00C60991"/>
    <w:rsid w:val="00C633D6"/>
    <w:rsid w:val="00C63BCA"/>
    <w:rsid w:val="00C641A5"/>
    <w:rsid w:val="00C74673"/>
    <w:rsid w:val="00C7535A"/>
    <w:rsid w:val="00C7543C"/>
    <w:rsid w:val="00C764DF"/>
    <w:rsid w:val="00C85DE7"/>
    <w:rsid w:val="00C86DF9"/>
    <w:rsid w:val="00C91C23"/>
    <w:rsid w:val="00C942F2"/>
    <w:rsid w:val="00CA2B33"/>
    <w:rsid w:val="00CA6930"/>
    <w:rsid w:val="00CA7F27"/>
    <w:rsid w:val="00CB1F02"/>
    <w:rsid w:val="00CB265A"/>
    <w:rsid w:val="00CB29F5"/>
    <w:rsid w:val="00CB499A"/>
    <w:rsid w:val="00CB4DE3"/>
    <w:rsid w:val="00CB501B"/>
    <w:rsid w:val="00CB7962"/>
    <w:rsid w:val="00CC0206"/>
    <w:rsid w:val="00CC1B01"/>
    <w:rsid w:val="00CC76CC"/>
    <w:rsid w:val="00CD0149"/>
    <w:rsid w:val="00CD44C6"/>
    <w:rsid w:val="00CE30BF"/>
    <w:rsid w:val="00CE3962"/>
    <w:rsid w:val="00CE5342"/>
    <w:rsid w:val="00CE73FA"/>
    <w:rsid w:val="00CF0BA4"/>
    <w:rsid w:val="00CF3375"/>
    <w:rsid w:val="00CF5DA9"/>
    <w:rsid w:val="00CF788A"/>
    <w:rsid w:val="00D03993"/>
    <w:rsid w:val="00D041A4"/>
    <w:rsid w:val="00D051BA"/>
    <w:rsid w:val="00D07252"/>
    <w:rsid w:val="00D13C9A"/>
    <w:rsid w:val="00D16753"/>
    <w:rsid w:val="00D16FAA"/>
    <w:rsid w:val="00D2291F"/>
    <w:rsid w:val="00D239A6"/>
    <w:rsid w:val="00D253DC"/>
    <w:rsid w:val="00D273BA"/>
    <w:rsid w:val="00D31F37"/>
    <w:rsid w:val="00D3431A"/>
    <w:rsid w:val="00D34ACF"/>
    <w:rsid w:val="00D34E3C"/>
    <w:rsid w:val="00D43DAF"/>
    <w:rsid w:val="00D44355"/>
    <w:rsid w:val="00D448B6"/>
    <w:rsid w:val="00D45A48"/>
    <w:rsid w:val="00D51CA4"/>
    <w:rsid w:val="00D51ED1"/>
    <w:rsid w:val="00D53B23"/>
    <w:rsid w:val="00D6090C"/>
    <w:rsid w:val="00D65796"/>
    <w:rsid w:val="00D66D5F"/>
    <w:rsid w:val="00D72167"/>
    <w:rsid w:val="00D72F2D"/>
    <w:rsid w:val="00D73C3A"/>
    <w:rsid w:val="00D777CF"/>
    <w:rsid w:val="00D8044F"/>
    <w:rsid w:val="00D84B4E"/>
    <w:rsid w:val="00D8645E"/>
    <w:rsid w:val="00D9032C"/>
    <w:rsid w:val="00DA3F49"/>
    <w:rsid w:val="00DA6BCE"/>
    <w:rsid w:val="00DA71BF"/>
    <w:rsid w:val="00DB05E5"/>
    <w:rsid w:val="00DB0D4A"/>
    <w:rsid w:val="00DB18EA"/>
    <w:rsid w:val="00DB4318"/>
    <w:rsid w:val="00DC311F"/>
    <w:rsid w:val="00DC7B95"/>
    <w:rsid w:val="00DD085A"/>
    <w:rsid w:val="00DD1BD3"/>
    <w:rsid w:val="00DD3F20"/>
    <w:rsid w:val="00DD68A5"/>
    <w:rsid w:val="00DE09A3"/>
    <w:rsid w:val="00DE1E42"/>
    <w:rsid w:val="00DE2BDC"/>
    <w:rsid w:val="00DE2FA8"/>
    <w:rsid w:val="00DE4035"/>
    <w:rsid w:val="00DF12ED"/>
    <w:rsid w:val="00DF4EBF"/>
    <w:rsid w:val="00DF5970"/>
    <w:rsid w:val="00DF613D"/>
    <w:rsid w:val="00E11806"/>
    <w:rsid w:val="00E12877"/>
    <w:rsid w:val="00E12A13"/>
    <w:rsid w:val="00E21AB8"/>
    <w:rsid w:val="00E21C40"/>
    <w:rsid w:val="00E22171"/>
    <w:rsid w:val="00E22EB2"/>
    <w:rsid w:val="00E24D54"/>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0A07"/>
    <w:rsid w:val="00E71B30"/>
    <w:rsid w:val="00E80642"/>
    <w:rsid w:val="00E830F8"/>
    <w:rsid w:val="00E8389D"/>
    <w:rsid w:val="00E86550"/>
    <w:rsid w:val="00E92636"/>
    <w:rsid w:val="00E93AC8"/>
    <w:rsid w:val="00E95022"/>
    <w:rsid w:val="00E97BE6"/>
    <w:rsid w:val="00E97F26"/>
    <w:rsid w:val="00EA133D"/>
    <w:rsid w:val="00EA215C"/>
    <w:rsid w:val="00EA628A"/>
    <w:rsid w:val="00EA653C"/>
    <w:rsid w:val="00EB047A"/>
    <w:rsid w:val="00EB105F"/>
    <w:rsid w:val="00EB141D"/>
    <w:rsid w:val="00EB30D2"/>
    <w:rsid w:val="00EB5C23"/>
    <w:rsid w:val="00EB700E"/>
    <w:rsid w:val="00EB730F"/>
    <w:rsid w:val="00EC3600"/>
    <w:rsid w:val="00EC6229"/>
    <w:rsid w:val="00EC7827"/>
    <w:rsid w:val="00ED03A4"/>
    <w:rsid w:val="00ED0EAF"/>
    <w:rsid w:val="00ED19C7"/>
    <w:rsid w:val="00ED3BFD"/>
    <w:rsid w:val="00ED4962"/>
    <w:rsid w:val="00ED4F85"/>
    <w:rsid w:val="00ED571B"/>
    <w:rsid w:val="00ED641D"/>
    <w:rsid w:val="00ED6EE6"/>
    <w:rsid w:val="00ED7F59"/>
    <w:rsid w:val="00EE1AB6"/>
    <w:rsid w:val="00EE2977"/>
    <w:rsid w:val="00EE7744"/>
    <w:rsid w:val="00EF62BD"/>
    <w:rsid w:val="00EF679B"/>
    <w:rsid w:val="00EF763D"/>
    <w:rsid w:val="00EF7A50"/>
    <w:rsid w:val="00F003EE"/>
    <w:rsid w:val="00F01588"/>
    <w:rsid w:val="00F02051"/>
    <w:rsid w:val="00F03AA9"/>
    <w:rsid w:val="00F03F1E"/>
    <w:rsid w:val="00F0431C"/>
    <w:rsid w:val="00F062B6"/>
    <w:rsid w:val="00F07FE8"/>
    <w:rsid w:val="00F11780"/>
    <w:rsid w:val="00F11D69"/>
    <w:rsid w:val="00F11E87"/>
    <w:rsid w:val="00F1546F"/>
    <w:rsid w:val="00F16496"/>
    <w:rsid w:val="00F17391"/>
    <w:rsid w:val="00F21FF9"/>
    <w:rsid w:val="00F22CDC"/>
    <w:rsid w:val="00F2315E"/>
    <w:rsid w:val="00F31394"/>
    <w:rsid w:val="00F405C1"/>
    <w:rsid w:val="00F410DD"/>
    <w:rsid w:val="00F43289"/>
    <w:rsid w:val="00F45FBA"/>
    <w:rsid w:val="00F51BDA"/>
    <w:rsid w:val="00F539FD"/>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300A"/>
    <w:rsid w:val="00FD46B0"/>
    <w:rsid w:val="00FD5A11"/>
    <w:rsid w:val="00FD6C73"/>
    <w:rsid w:val="00FE17C6"/>
    <w:rsid w:val="00FE442B"/>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3B5E52"/>
    <w:pPr>
      <w:spacing w:before="120" w:after="120" w:line="240" w:lineRule="auto"/>
      <w:ind w:firstLine="432"/>
      <w:jc w:val="both"/>
    </w:pPr>
    <w:rPr>
      <w:rFonts w:ascii="Times New Roman" w:hAnsi="Times New Roman"/>
      <w:sz w:val="24"/>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 w:type="character" w:styleId="FollowedHyperlink">
    <w:name w:val="FollowedHyperlink"/>
    <w:basedOn w:val="DefaultParagraphFont"/>
    <w:uiPriority w:val="99"/>
    <w:semiHidden/>
    <w:unhideWhenUsed/>
    <w:rsid w:val="004133CC"/>
    <w:rPr>
      <w:color w:val="954F72" w:themeColor="followedHyperlink"/>
      <w:u w:val="single"/>
    </w:rPr>
  </w:style>
  <w:style w:type="character" w:styleId="Strong">
    <w:name w:val="Strong"/>
    <w:basedOn w:val="DefaultParagraphFont"/>
    <w:uiPriority w:val="22"/>
    <w:qFormat/>
    <w:rsid w:val="004133CC"/>
    <w:rPr>
      <w:b/>
      <w:bCs/>
    </w:rPr>
  </w:style>
  <w:style w:type="paragraph" w:styleId="FootnoteText">
    <w:name w:val="footnote text"/>
    <w:basedOn w:val="Normal"/>
    <w:link w:val="FootnoteTextChar"/>
    <w:uiPriority w:val="99"/>
    <w:unhideWhenUsed/>
    <w:rsid w:val="00525C6A"/>
  </w:style>
  <w:style w:type="character" w:customStyle="1" w:styleId="FootnoteTextChar">
    <w:name w:val="Footnote Text Char"/>
    <w:basedOn w:val="DefaultParagraphFont"/>
    <w:link w:val="FootnoteText"/>
    <w:uiPriority w:val="99"/>
    <w:rsid w:val="00525C6A"/>
    <w:rPr>
      <w:rFonts w:ascii="Times New Roman" w:hAnsi="Times New Roman" w:cs="Times New Roman"/>
      <w:color w:val="auto"/>
      <w:sz w:val="24"/>
      <w:szCs w:val="24"/>
      <w:lang w:eastAsia="zh-CN"/>
    </w:rPr>
  </w:style>
  <w:style w:type="character" w:styleId="FootnoteReference">
    <w:name w:val="footnote reference"/>
    <w:basedOn w:val="DefaultParagraphFont"/>
    <w:uiPriority w:val="99"/>
    <w:unhideWhenUsed/>
    <w:rsid w:val="00525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9897">
      <w:bodyDiv w:val="1"/>
      <w:marLeft w:val="0"/>
      <w:marRight w:val="0"/>
      <w:marTop w:val="0"/>
      <w:marBottom w:val="0"/>
      <w:divBdr>
        <w:top w:val="none" w:sz="0" w:space="0" w:color="auto"/>
        <w:left w:val="none" w:sz="0" w:space="0" w:color="auto"/>
        <w:bottom w:val="none" w:sz="0" w:space="0" w:color="auto"/>
        <w:right w:val="none" w:sz="0" w:space="0" w:color="auto"/>
      </w:divBdr>
    </w:div>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hyperlink" Target="http://pancaner.info/"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540B83-4B5E-7C4C-AA40-FCB8998924AC}">
  <ds:schemaRefs>
    <ds:schemaRef ds:uri="http://schemas.openxmlformats.org/officeDocument/2006/bibliography"/>
  </ds:schemaRefs>
</ds:datastoreItem>
</file>

<file path=customXml/itemProps10.xml><?xml version="1.0" encoding="utf-8"?>
<ds:datastoreItem xmlns:ds="http://schemas.openxmlformats.org/officeDocument/2006/customXml" ds:itemID="{8F1694BE-EBB9-3D4B-A8CC-7888EED3582A}">
  <ds:schemaRefs>
    <ds:schemaRef ds:uri="http://schemas.openxmlformats.org/officeDocument/2006/bibliography"/>
  </ds:schemaRefs>
</ds:datastoreItem>
</file>

<file path=customXml/itemProps11.xml><?xml version="1.0" encoding="utf-8"?>
<ds:datastoreItem xmlns:ds="http://schemas.openxmlformats.org/officeDocument/2006/customXml" ds:itemID="{61784BC3-44A5-1848-A60E-65412DDE51F2}">
  <ds:schemaRefs>
    <ds:schemaRef ds:uri="http://schemas.openxmlformats.org/officeDocument/2006/bibliography"/>
  </ds:schemaRefs>
</ds:datastoreItem>
</file>

<file path=customXml/itemProps12.xml><?xml version="1.0" encoding="utf-8"?>
<ds:datastoreItem xmlns:ds="http://schemas.openxmlformats.org/officeDocument/2006/customXml" ds:itemID="{A3329CB1-FF24-8A44-9183-B800ACFC5FC7}">
  <ds:schemaRefs>
    <ds:schemaRef ds:uri="http://schemas.openxmlformats.org/officeDocument/2006/bibliography"/>
  </ds:schemaRefs>
</ds:datastoreItem>
</file>

<file path=customXml/itemProps2.xml><?xml version="1.0" encoding="utf-8"?>
<ds:datastoreItem xmlns:ds="http://schemas.openxmlformats.org/officeDocument/2006/customXml" ds:itemID="{20062FC4-7634-5B4D-9D70-310885348BB3}">
  <ds:schemaRefs>
    <ds:schemaRef ds:uri="http://schemas.openxmlformats.org/officeDocument/2006/bibliography"/>
  </ds:schemaRefs>
</ds:datastoreItem>
</file>

<file path=customXml/itemProps3.xml><?xml version="1.0" encoding="utf-8"?>
<ds:datastoreItem xmlns:ds="http://schemas.openxmlformats.org/officeDocument/2006/customXml" ds:itemID="{AEEE76E4-8DBB-354E-9E38-9BA75308F03D}">
  <ds:schemaRefs>
    <ds:schemaRef ds:uri="http://schemas.openxmlformats.org/officeDocument/2006/bibliography"/>
  </ds:schemaRefs>
</ds:datastoreItem>
</file>

<file path=customXml/itemProps4.xml><?xml version="1.0" encoding="utf-8"?>
<ds:datastoreItem xmlns:ds="http://schemas.openxmlformats.org/officeDocument/2006/customXml" ds:itemID="{AA388F64-3C91-8D41-9A35-D87364F8DE9A}">
  <ds:schemaRefs>
    <ds:schemaRef ds:uri="http://schemas.openxmlformats.org/officeDocument/2006/bibliography"/>
  </ds:schemaRefs>
</ds:datastoreItem>
</file>

<file path=customXml/itemProps5.xml><?xml version="1.0" encoding="utf-8"?>
<ds:datastoreItem xmlns:ds="http://schemas.openxmlformats.org/officeDocument/2006/customXml" ds:itemID="{C162A0B6-A02B-054F-BE79-B7F8BBABA423}">
  <ds:schemaRefs>
    <ds:schemaRef ds:uri="http://schemas.openxmlformats.org/officeDocument/2006/bibliography"/>
  </ds:schemaRefs>
</ds:datastoreItem>
</file>

<file path=customXml/itemProps6.xml><?xml version="1.0" encoding="utf-8"?>
<ds:datastoreItem xmlns:ds="http://schemas.openxmlformats.org/officeDocument/2006/customXml" ds:itemID="{DDAADF14-9E3D-E342-B0CF-CAF0CD1902DE}">
  <ds:schemaRefs>
    <ds:schemaRef ds:uri="http://schemas.openxmlformats.org/officeDocument/2006/bibliography"/>
  </ds:schemaRefs>
</ds:datastoreItem>
</file>

<file path=customXml/itemProps7.xml><?xml version="1.0" encoding="utf-8"?>
<ds:datastoreItem xmlns:ds="http://schemas.openxmlformats.org/officeDocument/2006/customXml" ds:itemID="{F1E28DDB-B7A0-B644-A933-4CF1027741CC}">
  <ds:schemaRefs>
    <ds:schemaRef ds:uri="http://schemas.openxmlformats.org/officeDocument/2006/bibliography"/>
  </ds:schemaRefs>
</ds:datastoreItem>
</file>

<file path=customXml/itemProps8.xml><?xml version="1.0" encoding="utf-8"?>
<ds:datastoreItem xmlns:ds="http://schemas.openxmlformats.org/officeDocument/2006/customXml" ds:itemID="{386A1AC2-E2F6-B643-87F4-02FDF9B0766C}">
  <ds:schemaRefs>
    <ds:schemaRef ds:uri="http://schemas.openxmlformats.org/officeDocument/2006/bibliography"/>
  </ds:schemaRefs>
</ds:datastoreItem>
</file>

<file path=customXml/itemProps9.xml><?xml version="1.0" encoding="utf-8"?>
<ds:datastoreItem xmlns:ds="http://schemas.openxmlformats.org/officeDocument/2006/customXml" ds:itemID="{1A44743F-A003-3E4F-A8D9-D6CBF6D2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6802</Words>
  <Characters>38773</Characters>
  <Application>Microsoft Macintosh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19</cp:revision>
  <cp:lastPrinted>2017-08-22T18:40:00Z</cp:lastPrinted>
  <dcterms:created xsi:type="dcterms:W3CDTF">2017-08-22T18:32:00Z</dcterms:created>
  <dcterms:modified xsi:type="dcterms:W3CDTF">2018-03-25T00:29:00Z</dcterms:modified>
</cp:coreProperties>
</file>