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EA7E9" w14:textId="77777777" w:rsidR="001D791B" w:rsidRDefault="001D791B" w:rsidP="001D791B">
      <w:r>
        <w:t>An integrative ENCODE resource for cancer: interpreting non-coding mutations and gene regulation [[correct title???]]</w:t>
      </w:r>
    </w:p>
    <w:p w14:paraId="6F4C3D5B" w14:textId="77777777" w:rsidR="001D791B" w:rsidRDefault="001D791B" w:rsidP="001D791B"/>
    <w:p w14:paraId="5ADAB03D" w14:textId="7A01FB89" w:rsidR="009E3BF7" w:rsidRDefault="001D791B" w:rsidP="001D791B">
      <w:r>
        <w:t>ENCODE comprises thousands of functional genomics data sets, related to numerous cancer types; it is possible to tailor them into a targeted resource for interpreting cancer genomes. In particular, this resource can be used to measure the impact of non-coding mutations, constituting the bulk of the somatic variants. Moreover, by integrating next-generation assays (e.g. STARR-</w:t>
      </w:r>
      <w:proofErr w:type="spellStart"/>
      <w:r>
        <w:t>seq</w:t>
      </w:r>
      <w:proofErr w:type="spellEnd"/>
      <w:r>
        <w:t xml:space="preserve">) with many epigenetic features, we can significantly refine and make more focused these annotations (beyond a more general genome annotation), increasing the power for recurrent-mutation detection. Second, ENCODE signal data, especially replication timing, allows us to build precise, cancer-matched background models for mutation rates considerably more accurate than previous models. Third, ENCODE data, incorporating new assays, such as Hi-C and RNA-binding protein assays (i.e., </w:t>
      </w:r>
      <w:proofErr w:type="spellStart"/>
      <w:r>
        <w:t>eCLIP</w:t>
      </w:r>
      <w:proofErr w:type="spellEnd"/>
      <w:r>
        <w:t xml:space="preserve">), in addition to large-scale </w:t>
      </w:r>
      <w:r w:rsidR="00E3674E">
        <w:t>transcription-factor</w:t>
      </w:r>
      <w:r>
        <w:t xml:space="preserve"> </w:t>
      </w:r>
      <w:proofErr w:type="spellStart"/>
      <w:r>
        <w:t>ChIP-seq</w:t>
      </w:r>
      <w:proofErr w:type="spellEnd"/>
      <w:r>
        <w:t>, allows the construction of extensive regulatory networks. In some contexts, these networks reveal how connections "rewire" during oncogenesis, as well as how these changes relate to a stem-cell state. More generally, one can use ENCODE networks to prioritize regulators most associated with large-scale expression changes in cancer. Combining the networks with the refined annotations and background mutation models, one can develop a step-wise prioritization scheme for non-coding mutations. Here, we show how this can be instantiated, and we perform a number of small-scale validations (i.e., luciferase assays and shRNA knockdowns) to demonstrate how the resource can prioritize mutations with significant consequences in cancer.</w:t>
      </w:r>
      <w:bookmarkStart w:id="0" w:name="_GoBack"/>
      <w:bookmarkEnd w:id="0"/>
    </w:p>
    <w:sectPr w:rsidR="009E3BF7" w:rsidSect="0006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1B"/>
    <w:rsid w:val="00067C0A"/>
    <w:rsid w:val="001D791B"/>
    <w:rsid w:val="005A5A24"/>
    <w:rsid w:val="009E3BF7"/>
    <w:rsid w:val="00E3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9BA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1538</Characters>
  <Application>Microsoft Macintosh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2017-07-15T02:36:00Z</dcterms:created>
  <dcterms:modified xsi:type="dcterms:W3CDTF">2017-07-15T02:38:00Z</dcterms:modified>
  <cp:category/>
</cp:coreProperties>
</file>