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44FB" w14:textId="77777777" w:rsidR="00C032DE" w:rsidRDefault="00C032DE" w:rsidP="00C032DE">
      <w:pPr>
        <w:pStyle w:val="Normal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used a binomial model to calculate the power to discover recurrent events at different population frequencies as a function of patient cohort size and a fixed detection sensitivity of </w:t>
      </w:r>
      <m:oMath>
        <m:r>
          <w:rPr>
            <w:rFonts w:ascii="Cambria Math" w:hAnsi="Cambria Math"/>
            <w:sz w:val="24"/>
            <w:szCs w:val="24"/>
          </w:rPr>
          <m:t>d= 0.44 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1-m</m:t>
            </m:r>
          </m:e>
        </m:d>
      </m:oMath>
      <w:r>
        <w:rPr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>
        <w:rPr>
          <w:sz w:val="24"/>
          <w:szCs w:val="24"/>
        </w:rPr>
        <w:t xml:space="preserve"> is the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-detection rate, as described in Lawrence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</w:t>
      </w:r>
      <w:r w:rsidRPr="004A6DCC">
        <w:rPr>
          <w:noProof/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. We assume a gene length </w:t>
      </w:r>
      <m:oMath>
        <m:r>
          <w:rPr>
            <w:rFonts w:ascii="Cambria Math" w:hAnsi="Cambria Math"/>
            <w:sz w:val="24"/>
            <w:szCs w:val="24"/>
          </w:rPr>
          <m:t xml:space="preserve">L=650 </m:t>
        </m:r>
      </m:oMath>
      <w:r>
        <w:rPr>
          <w:sz w:val="24"/>
          <w:szCs w:val="24"/>
        </w:rPr>
        <w:t xml:space="preserve">(the targeted promoter size), a fixed </w:t>
      </w:r>
      <w:r w:rsidRPr="00504D7A">
        <w:rPr>
          <w:sz w:val="24"/>
          <w:szCs w:val="24"/>
        </w:rPr>
        <w:t xml:space="preserve">mutation rate </w:t>
      </w:r>
      <m:oMath>
        <m:r>
          <w:rPr>
            <w:rFonts w:ascii="Cambria Math" w:hAnsi="Cambria Math"/>
            <w:sz w:val="24"/>
            <w:szCs w:val="24"/>
          </w:rPr>
          <m:t xml:space="preserve">μ </m:t>
        </m:r>
      </m:oMath>
      <w:r w:rsidRPr="00504D7A">
        <w:rPr>
          <w:sz w:val="24"/>
          <w:szCs w:val="24"/>
        </w:rPr>
        <w:t xml:space="preserve">of </w:t>
      </w:r>
      <w:r w:rsidRPr="00ED3272">
        <w:rPr>
          <w:sz w:val="24"/>
          <w:szCs w:val="24"/>
        </w:rPr>
        <w:t>2.96</w:t>
      </w:r>
      <w:r w:rsidRPr="00504D7A">
        <w:rPr>
          <w:sz w:val="24"/>
          <w:szCs w:val="24"/>
        </w:rPr>
        <w:t xml:space="preserve"> mutations</w:t>
      </w:r>
      <w:r>
        <w:rPr>
          <w:sz w:val="24"/>
          <w:szCs w:val="24"/>
        </w:rPr>
        <w:t xml:space="preserve">/Mb (the average mutation rate) and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value of 1. We then calculate the probability of seeing at least one mutation by chance in each patient 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1- </m:t>
            </m:r>
            <w:bookmarkStart w:id="0" w:name="_GoBack"/>
            <w:bookmarkEnd w:id="0"/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L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and the signal for each mutation population frequency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1-r*d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. </m:t>
        </m:r>
      </m:oMath>
      <w:r>
        <w:rPr>
          <w:sz w:val="24"/>
          <w:szCs w:val="24"/>
        </w:rPr>
        <w:t xml:space="preserve"> When the background mutation rate </w:t>
      </w:r>
      <m:oMath>
        <m:r>
          <w:rPr>
            <w:rFonts w:ascii="Cambria Math" w:hAnsi="Cambria Math"/>
            <w:sz w:val="24"/>
            <w:szCs w:val="24"/>
          </w:rPr>
          <m:t xml:space="preserve">μ </m:t>
        </m:r>
      </m:oMath>
      <w:r>
        <w:rPr>
          <w:sz w:val="24"/>
          <w:szCs w:val="24"/>
        </w:rPr>
        <w:t xml:space="preserve">or mutation frequency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is high, this guarantees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ＭＳ ゴシック" w:hAnsi="Cambria Math"/>
          </w:rPr>
          <m:t>≤</m:t>
        </m:r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sz w:val="24"/>
          <w:szCs w:val="24"/>
        </w:rPr>
        <w:t>; o</w:t>
      </w:r>
      <w:proofErr w:type="spellStart"/>
      <w:r>
        <w:rPr>
          <w:sz w:val="24"/>
          <w:szCs w:val="24"/>
        </w:rPr>
        <w:t>therwise</w:t>
      </w:r>
      <w:proofErr w:type="spellEnd"/>
      <w:r>
        <w:rPr>
          <w:sz w:val="24"/>
          <w:szCs w:val="24"/>
        </w:rPr>
        <w:t xml:space="preserve"> the equation reduces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≈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+r*d </m:t>
        </m:r>
      </m:oMath>
      <w:r>
        <w:rPr>
          <w:noProof/>
          <w:sz w:val="24"/>
          <w:szCs w:val="24"/>
        </w:rPr>
        <w:t>(ref. 6)</w:t>
      </w:r>
      <w:r>
        <w:rPr>
          <w:sz w:val="24"/>
          <w:szCs w:val="24"/>
        </w:rPr>
        <w:t>.</w:t>
      </w:r>
    </w:p>
    <w:p w14:paraId="1E8C30B8" w14:textId="77777777" w:rsidR="00C032DE" w:rsidRDefault="00C032DE" w:rsidP="00C032DE">
      <w:pPr>
        <w:pStyle w:val="Normal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determine power, we first calculate the minimal number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</m:d>
          </m:sub>
        </m:sSub>
      </m:oMath>
      <w:r>
        <w:rPr>
          <w:sz w:val="24"/>
          <w:szCs w:val="24"/>
        </w:rPr>
        <w:t xml:space="preserve"> patients that would reach genome-wide significance, i.e. p-value&lt;0.05/25,000, assuming 25,000 promoters and </w:t>
      </w:r>
      <m:oMath>
        <m:r>
          <w:rPr>
            <w:rFonts w:ascii="Cambria Math" w:hAnsi="Cambria Math"/>
            <w:sz w:val="24"/>
            <w:szCs w:val="24"/>
          </w:rPr>
          <m:t>p=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sz w:val="24"/>
          <w:szCs w:val="24"/>
        </w:rPr>
        <w:t xml:space="preserve">. The power is then the probability of observing at least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</m:d>
          </m:sub>
        </m:sSub>
      </m:oMath>
      <w:r>
        <w:rPr>
          <w:sz w:val="24"/>
          <w:szCs w:val="24"/>
        </w:rPr>
        <w:t xml:space="preserve"> patients with a mutation under the alternate model (i.e. a binomial model with </w:t>
      </w:r>
      <m:oMath>
        <m:r>
          <w:rPr>
            <w:rFonts w:ascii="Cambria Math" w:hAnsi="Cambria Math"/>
            <w:sz w:val="24"/>
            <w:szCs w:val="24"/>
          </w:rPr>
          <m:t>p=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). Smoothed power </w:t>
      </w:r>
      <w:r w:rsidRPr="00B02878">
        <w:rPr>
          <w:sz w:val="24"/>
          <w:szCs w:val="24"/>
        </w:rPr>
        <w:t xml:space="preserve">calculations were performed for constant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B02878">
        <w:rPr>
          <w:sz w:val="24"/>
          <w:szCs w:val="24"/>
        </w:rPr>
        <w:t xml:space="preserve"> and variable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B02878">
        <w:rPr>
          <w:sz w:val="24"/>
          <w:szCs w:val="24"/>
        </w:rPr>
        <w:t xml:space="preserve"> </w:t>
      </w:r>
      <w:r>
        <w:rPr>
          <w:sz w:val="24"/>
          <w:szCs w:val="24"/>
        </w:rPr>
        <w:t>(Fig. 4a; Extended Data Fig. 9</w:t>
      </w:r>
      <w:r w:rsidRPr="00B0287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335CD07" w14:textId="77777777" w:rsidR="00C032DE" w:rsidRPr="00045620" w:rsidRDefault="00C032DE" w:rsidP="00C032DE">
      <w:pPr>
        <w:pStyle w:val="Normal2"/>
        <w:spacing w:line="360" w:lineRule="auto"/>
        <w:jc w:val="both"/>
        <w:rPr>
          <w:sz w:val="24"/>
          <w:szCs w:val="24"/>
        </w:rPr>
      </w:pPr>
      <w:r w:rsidRPr="00045620">
        <w:rPr>
          <w:sz w:val="24"/>
          <w:szCs w:val="24"/>
        </w:rPr>
        <w:t xml:space="preserve">Calculation of functional mutation rates (Fig. 4c) was performed </w:t>
      </w:r>
      <w:r w:rsidRPr="00EC6F96">
        <w:rPr>
          <w:color w:val="auto"/>
          <w:sz w:val="24"/>
          <w:szCs w:val="24"/>
        </w:rPr>
        <w:t>assuming total territory for promoters and 75% of the coding gene length for coding genes.</w:t>
      </w:r>
    </w:p>
    <w:p w14:paraId="42073246" w14:textId="77777777" w:rsidR="00B54516" w:rsidRDefault="00B54516"/>
    <w:sectPr w:rsidR="00B54516" w:rsidSect="00C71C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E"/>
    <w:rsid w:val="00837912"/>
    <w:rsid w:val="00B54516"/>
    <w:rsid w:val="00C032DE"/>
    <w:rsid w:val="00C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92D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C032D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C032D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Rheinbay</dc:creator>
  <cp:keywords/>
  <dc:description/>
  <cp:lastModifiedBy>Esther Rheinbay</cp:lastModifiedBy>
  <cp:revision>2</cp:revision>
  <dcterms:created xsi:type="dcterms:W3CDTF">2017-04-27T20:00:00Z</dcterms:created>
  <dcterms:modified xsi:type="dcterms:W3CDTF">2017-04-27T20:01:00Z</dcterms:modified>
</cp:coreProperties>
</file>