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E8C91" w14:textId="5A87ACFE" w:rsidR="00E244A4" w:rsidRPr="00E244A4" w:rsidRDefault="003B17A5" w:rsidP="00E244A4">
      <w:pPr>
        <w:spacing w:line="480" w:lineRule="auto"/>
        <w:textAlignment w:val="baseline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News &amp; Views</w:t>
      </w:r>
    </w:p>
    <w:p w14:paraId="20135A0A" w14:textId="400CDFB4" w:rsidR="00E244A4" w:rsidRDefault="00E244A4" w:rsidP="00E244A4">
      <w:pPr>
        <w:spacing w:line="480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9D3C48">
        <w:rPr>
          <w:rFonts w:ascii="Times New Roman" w:hAnsi="Times New Roman" w:cs="Times New Roman"/>
          <w:color w:val="000000"/>
        </w:rPr>
        <w:t>Thousands</w:t>
      </w:r>
      <w:r w:rsidRPr="009D3C4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F6D39">
        <w:rPr>
          <w:rFonts w:ascii="Times New Roman" w:eastAsia="Times New Roman" w:hAnsi="Times New Roman" w:cs="Times New Roman"/>
          <w:sz w:val="22"/>
          <w:szCs w:val="22"/>
          <w:highlight w:val="white"/>
        </w:rPr>
        <w:t>of somatic mutations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accumulate </w:t>
      </w:r>
      <w:r w:rsidR="003B61E7">
        <w:rPr>
          <w:rFonts w:ascii="Times New Roman" w:eastAsia="Times New Roman" w:hAnsi="Times New Roman" w:cs="Times New Roman"/>
          <w:sz w:val="22"/>
          <w:szCs w:val="22"/>
          <w:highlight w:val="white"/>
        </w:rPr>
        <w:t>with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in </w:t>
      </w:r>
      <w:r w:rsidRPr="007F6D39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coding and non-coding regions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of a typical cancer genome</w:t>
      </w:r>
      <w:r w:rsidRPr="007F6D39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However, only handful of these mutations, often termed drivers, play key role</w:t>
      </w:r>
      <w:r w:rsidR="003B61E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in tumorigenesis.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Previous </w:t>
      </w:r>
      <w:r w:rsidRPr="007F6D39">
        <w:rPr>
          <w:rFonts w:ascii="Times New Roman" w:hAnsi="Times New Roman" w:cs="Times New Roman"/>
          <w:color w:val="000000"/>
          <w:sz w:val="22"/>
          <w:szCs w:val="22"/>
        </w:rPr>
        <w:t xml:space="preserve">studies have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comprehensively characterized coding driver variants in </w:t>
      </w:r>
      <w:r w:rsidR="0037235D">
        <w:rPr>
          <w:rFonts w:ascii="Times New Roman" w:hAnsi="Times New Roman" w:cs="Times New Roman"/>
          <w:color w:val="000000"/>
          <w:sz w:val="22"/>
          <w:szCs w:val="22"/>
        </w:rPr>
        <w:t xml:space="preserve">large number </w:t>
      </w:r>
      <w:r>
        <w:rPr>
          <w:rFonts w:ascii="Times New Roman" w:hAnsi="Times New Roman" w:cs="Times New Roman"/>
          <w:color w:val="000000"/>
          <w:sz w:val="22"/>
          <w:szCs w:val="22"/>
        </w:rPr>
        <w:t>of cancer genomes</w:t>
      </w:r>
      <w:r w:rsidRPr="007F6D39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3B61E7">
        <w:rPr>
          <w:rFonts w:ascii="Times New Roman" w:hAnsi="Times New Roman" w:cs="Times New Roman"/>
          <w:color w:val="000000"/>
          <w:sz w:val="22"/>
          <w:szCs w:val="22"/>
        </w:rPr>
        <w:t>However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3B61E7">
        <w:rPr>
          <w:rFonts w:ascii="Times New Roman" w:hAnsi="Times New Roman" w:cs="Times New Roman"/>
          <w:color w:val="000000"/>
          <w:sz w:val="22"/>
          <w:szCs w:val="22"/>
        </w:rPr>
        <w:t>most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somatic mutations </w:t>
      </w:r>
      <w:r w:rsidR="003B61E7">
        <w:rPr>
          <w:rFonts w:ascii="Times New Roman" w:hAnsi="Times New Roman" w:cs="Times New Roman"/>
          <w:color w:val="000000"/>
          <w:sz w:val="22"/>
          <w:szCs w:val="22"/>
        </w:rPr>
        <w:t>lie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in non</w:t>
      </w:r>
      <w:r w:rsidR="00AB1A9E">
        <w:rPr>
          <w:rFonts w:ascii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coding regions. Prior studies have shown that driver mutations occur in the </w:t>
      </w:r>
      <w:r w:rsidRPr="00E65CCC">
        <w:rPr>
          <w:rFonts w:ascii="Times New Roman" w:hAnsi="Times New Roman" w:cs="Times New Roman"/>
          <w:i/>
          <w:color w:val="000000"/>
          <w:sz w:val="22"/>
          <w:szCs w:val="22"/>
        </w:rPr>
        <w:t>TERT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promoter in many cancer types. However, </w:t>
      </w:r>
      <w:r w:rsidR="003B61E7">
        <w:rPr>
          <w:rFonts w:ascii="Times New Roman" w:hAnsi="Times New Roman" w:cs="Times New Roman"/>
          <w:color w:val="000000"/>
          <w:sz w:val="22"/>
          <w:szCs w:val="22"/>
        </w:rPr>
        <w:t>identifying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driver mutations in other non</w:t>
      </w:r>
      <w:r w:rsidR="00AB1A9E">
        <w:rPr>
          <w:rFonts w:ascii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coding </w:t>
      </w:r>
      <w:r w:rsidR="003B61E7">
        <w:rPr>
          <w:rFonts w:ascii="Times New Roman" w:hAnsi="Times New Roman" w:cs="Times New Roman"/>
          <w:color w:val="000000"/>
          <w:sz w:val="22"/>
          <w:szCs w:val="22"/>
        </w:rPr>
        <w:t>elements has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B61E7">
        <w:rPr>
          <w:rFonts w:ascii="Times New Roman" w:hAnsi="Times New Roman" w:cs="Times New Roman"/>
          <w:color w:val="000000"/>
          <w:sz w:val="22"/>
          <w:szCs w:val="22"/>
        </w:rPr>
        <w:t>remain a challenge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E56CDA5" w14:textId="754D6786" w:rsidR="00E65CCC" w:rsidRDefault="00E244A4" w:rsidP="00E244A4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On page </w:t>
      </w:r>
      <w:r w:rsidRPr="00613263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XXX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Esther </w:t>
      </w:r>
      <w:r w:rsidRPr="00613263">
        <w:rPr>
          <w:rFonts w:ascii="Times New Roman" w:hAnsi="Times New Roman" w:cs="Times New Roman"/>
          <w:i/>
          <w:color w:val="000000"/>
          <w:sz w:val="22"/>
          <w:szCs w:val="22"/>
        </w:rPr>
        <w:t>et al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7915B5">
        <w:rPr>
          <w:rFonts w:ascii="Times New Roman" w:hAnsi="Times New Roman" w:cs="Times New Roman"/>
          <w:color w:val="000000"/>
          <w:sz w:val="22"/>
          <w:szCs w:val="22"/>
        </w:rPr>
        <w:t xml:space="preserve">focus on the </w:t>
      </w:r>
      <w:r w:rsidR="00742974">
        <w:rPr>
          <w:rFonts w:ascii="Times New Roman" w:hAnsi="Times New Roman" w:cs="Times New Roman"/>
          <w:color w:val="000000"/>
          <w:sz w:val="22"/>
          <w:szCs w:val="22"/>
        </w:rPr>
        <w:t xml:space="preserve">mutations in </w:t>
      </w:r>
      <w:r>
        <w:rPr>
          <w:rFonts w:ascii="Times New Roman" w:hAnsi="Times New Roman" w:cs="Times New Roman"/>
          <w:color w:val="000000"/>
          <w:sz w:val="22"/>
          <w:szCs w:val="22"/>
        </w:rPr>
        <w:t>promoter regions of 3 key genes</w:t>
      </w:r>
      <w:r w:rsidR="0055373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742974">
        <w:rPr>
          <w:rFonts w:ascii="Times New Roman" w:hAnsi="Times New Roman" w:cs="Times New Roman"/>
          <w:color w:val="000000"/>
          <w:sz w:val="22"/>
          <w:szCs w:val="22"/>
        </w:rPr>
        <w:t xml:space="preserve">which play </w:t>
      </w:r>
      <w:r w:rsidR="00583D78">
        <w:rPr>
          <w:rFonts w:ascii="Times New Roman" w:hAnsi="Times New Roman" w:cs="Times New Roman"/>
          <w:color w:val="000000"/>
          <w:sz w:val="22"/>
          <w:szCs w:val="22"/>
        </w:rPr>
        <w:t xml:space="preserve">important </w:t>
      </w:r>
      <w:r w:rsidR="00742974">
        <w:rPr>
          <w:rFonts w:ascii="Times New Roman" w:hAnsi="Times New Roman" w:cs="Times New Roman"/>
          <w:color w:val="000000"/>
          <w:sz w:val="22"/>
          <w:szCs w:val="22"/>
        </w:rPr>
        <w:t xml:space="preserve">role in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breast cancer progression. </w:t>
      </w:r>
      <w:r w:rsidR="007915B5">
        <w:rPr>
          <w:rFonts w:ascii="Times New Roman" w:hAnsi="Times New Roman" w:cs="Times New Roman"/>
          <w:color w:val="000000"/>
          <w:sz w:val="22"/>
          <w:szCs w:val="22"/>
        </w:rPr>
        <w:t>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hey found that mutations leading to gain-of-motif events in </w:t>
      </w:r>
      <w:r w:rsidRPr="00E65CCC">
        <w:rPr>
          <w:rFonts w:ascii="Times New Roman" w:hAnsi="Times New Roman" w:cs="Times New Roman"/>
          <w:i/>
          <w:color w:val="000000"/>
          <w:sz w:val="22"/>
          <w:szCs w:val="22"/>
        </w:rPr>
        <w:t>FOXA1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Pr="00E65CCC">
        <w:rPr>
          <w:rFonts w:ascii="Times New Roman" w:hAnsi="Times New Roman" w:cs="Times New Roman"/>
          <w:i/>
          <w:color w:val="000000"/>
          <w:sz w:val="22"/>
          <w:szCs w:val="22"/>
        </w:rPr>
        <w:t>RMRP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promoters facilitate enhanced binding of transcriptional activators and increase gene expression. In contrast, </w:t>
      </w:r>
      <w:r w:rsidR="008F40A8">
        <w:rPr>
          <w:rFonts w:ascii="Times New Roman" w:hAnsi="Times New Roman" w:cs="Times New Roman"/>
          <w:color w:val="000000"/>
          <w:sz w:val="22"/>
          <w:szCs w:val="22"/>
        </w:rPr>
        <w:t>mutations in</w:t>
      </w:r>
      <w:r w:rsidR="0055373A">
        <w:rPr>
          <w:rFonts w:ascii="Times New Roman" w:hAnsi="Times New Roman" w:cs="Times New Roman"/>
          <w:color w:val="000000"/>
          <w:sz w:val="22"/>
          <w:szCs w:val="22"/>
        </w:rPr>
        <w:t xml:space="preserve"> the</w:t>
      </w:r>
      <w:r w:rsidR="008F40A8">
        <w:rPr>
          <w:rFonts w:ascii="Times New Roman" w:hAnsi="Times New Roman" w:cs="Times New Roman"/>
          <w:color w:val="000000"/>
          <w:sz w:val="22"/>
          <w:szCs w:val="22"/>
        </w:rPr>
        <w:t xml:space="preserve"> promoter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of NEAT1 </w:t>
      </w:r>
      <w:r w:rsidR="0055373A">
        <w:rPr>
          <w:rFonts w:ascii="Times New Roman" w:hAnsi="Times New Roman" w:cs="Times New Roman"/>
          <w:color w:val="000000"/>
          <w:sz w:val="22"/>
          <w:szCs w:val="22"/>
        </w:rPr>
        <w:t>disrupted motifs, thereby reducing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expression.</w:t>
      </w:r>
    </w:p>
    <w:p w14:paraId="2B214151" w14:textId="269E188E" w:rsidR="00E244A4" w:rsidRDefault="00FA4BDF" w:rsidP="00346CE6">
      <w:pPr>
        <w:spacing w:line="480" w:lineRule="auto"/>
        <w:ind w:firstLine="720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To </w:t>
      </w:r>
      <w:r w:rsidR="00E244A4">
        <w:rPr>
          <w:rFonts w:ascii="Times New Roman" w:hAnsi="Times New Roman" w:cs="Times New Roman"/>
          <w:color w:val="000000"/>
          <w:sz w:val="22"/>
          <w:szCs w:val="22"/>
        </w:rPr>
        <w:t xml:space="preserve">identify </w:t>
      </w:r>
      <w:r w:rsidR="008A6DAD">
        <w:rPr>
          <w:rFonts w:ascii="Times New Roman" w:hAnsi="Times New Roman" w:cs="Times New Roman"/>
          <w:color w:val="000000"/>
          <w:sz w:val="22"/>
          <w:szCs w:val="22"/>
        </w:rPr>
        <w:t>these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244A4">
        <w:rPr>
          <w:rFonts w:ascii="Times New Roman" w:hAnsi="Times New Roman" w:cs="Times New Roman"/>
          <w:color w:val="000000"/>
          <w:sz w:val="22"/>
          <w:szCs w:val="22"/>
        </w:rPr>
        <w:t xml:space="preserve">key </w:t>
      </w:r>
      <w:r w:rsidR="00E65CCC">
        <w:rPr>
          <w:rFonts w:ascii="Times New Roman" w:hAnsi="Times New Roman" w:cs="Times New Roman"/>
          <w:color w:val="000000"/>
          <w:sz w:val="22"/>
          <w:szCs w:val="22"/>
        </w:rPr>
        <w:t>genes</w:t>
      </w:r>
      <w:r w:rsidR="00E244A4">
        <w:rPr>
          <w:rFonts w:ascii="Times New Roman" w:hAnsi="Times New Roman" w:cs="Times New Roman"/>
          <w:color w:val="000000"/>
          <w:sz w:val="22"/>
          <w:szCs w:val="22"/>
        </w:rPr>
        <w:t xml:space="preserve">, Esther </w:t>
      </w:r>
      <w:r w:rsidR="00E244A4" w:rsidRPr="00613263">
        <w:rPr>
          <w:rFonts w:ascii="Times New Roman" w:hAnsi="Times New Roman" w:cs="Times New Roman"/>
          <w:i/>
          <w:color w:val="000000"/>
          <w:sz w:val="22"/>
          <w:szCs w:val="22"/>
        </w:rPr>
        <w:t>et al</w:t>
      </w:r>
      <w:r w:rsidR="003B61E7">
        <w:rPr>
          <w:rFonts w:ascii="Times New Roman" w:eastAsia="Times New Roman" w:hAnsi="Times New Roman" w:cs="Times New Roman"/>
          <w:sz w:val="22"/>
          <w:szCs w:val="22"/>
        </w:rPr>
        <w:t>.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 xml:space="preserve"> applied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 an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“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>exome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-plus” 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>sequencing strategy (capturing exons, promoter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>s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>untranslated regions,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 xml:space="preserve"> and other regulatory motifs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 in the genome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>)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 xml:space="preserve">to identify variants in 360 breast cancer samples. 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They subsequently </w:t>
      </w:r>
      <w:r w:rsidR="007178DA">
        <w:rPr>
          <w:rFonts w:ascii="Times New Roman" w:eastAsia="Times New Roman" w:hAnsi="Times New Roman" w:cs="Times New Roman"/>
          <w:sz w:val="22"/>
          <w:szCs w:val="22"/>
        </w:rPr>
        <w:t xml:space="preserve">developed and 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 xml:space="preserve">applied </w:t>
      </w:r>
      <w:r w:rsidR="007178DA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D53200">
        <w:rPr>
          <w:rFonts w:ascii="Times New Roman" w:eastAsia="Times New Roman" w:hAnsi="Times New Roman" w:cs="Times New Roman"/>
          <w:sz w:val="22"/>
          <w:szCs w:val="22"/>
        </w:rPr>
        <w:t xml:space="preserve">MutSigNC </w:t>
      </w:r>
      <w:r w:rsidR="007178DA">
        <w:rPr>
          <w:rFonts w:ascii="Times New Roman" w:eastAsia="Times New Roman" w:hAnsi="Times New Roman" w:cs="Times New Roman"/>
          <w:sz w:val="22"/>
          <w:szCs w:val="22"/>
        </w:rPr>
        <w:t>tool on this cohort to identify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 promoter regions of nine genes as driver elements for breast cancer. 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>MutSig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NC </w:t>
      </w:r>
      <w:r w:rsidR="00D53200">
        <w:rPr>
          <w:rFonts w:ascii="Times New Roman" w:eastAsia="Times New Roman" w:hAnsi="Times New Roman" w:cs="Times New Roman"/>
          <w:sz w:val="22"/>
          <w:szCs w:val="22"/>
        </w:rPr>
        <w:t xml:space="preserve">evaluates 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>non</w:t>
      </w:r>
      <w:r w:rsidR="00AB1A9E">
        <w:rPr>
          <w:rFonts w:ascii="Times New Roman" w:eastAsia="Times New Roman" w:hAnsi="Times New Roman" w:cs="Times New Roman"/>
          <w:sz w:val="22"/>
          <w:szCs w:val="22"/>
        </w:rPr>
        <w:t>-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>coding region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>s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53200">
        <w:rPr>
          <w:rFonts w:ascii="Times New Roman" w:eastAsia="Times New Roman" w:hAnsi="Times New Roman" w:cs="Times New Roman"/>
          <w:sz w:val="22"/>
          <w:szCs w:val="22"/>
        </w:rPr>
        <w:t>associated with specific</w:t>
      </w:r>
      <w:r w:rsidR="00D53200" w:rsidRPr="00B939C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>genes</w:t>
      </w:r>
      <w:r w:rsidR="00D53200">
        <w:rPr>
          <w:rFonts w:ascii="Times New Roman" w:eastAsia="Times New Roman" w:hAnsi="Times New Roman" w:cs="Times New Roman"/>
          <w:sz w:val="22"/>
          <w:szCs w:val="22"/>
        </w:rPr>
        <w:t>, and predicts that these elements may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 act as cancer drivers </w:t>
      </w:r>
      <w:r w:rsidR="00D53200">
        <w:rPr>
          <w:rFonts w:ascii="Times New Roman" w:eastAsia="Times New Roman" w:hAnsi="Times New Roman" w:cs="Times New Roman"/>
          <w:sz w:val="22"/>
          <w:szCs w:val="22"/>
        </w:rPr>
        <w:t xml:space="preserve">if they either a) harbor significantly high variant counts </w:t>
      </w:r>
      <w:r w:rsidR="001A7ED5">
        <w:rPr>
          <w:rFonts w:ascii="Times New Roman" w:eastAsia="Times New Roman" w:hAnsi="Times New Roman" w:cs="Times New Roman"/>
          <w:sz w:val="22"/>
          <w:szCs w:val="22"/>
        </w:rPr>
        <w:t>relative to expectation</w:t>
      </w:r>
      <w:r w:rsidR="00D53200">
        <w:rPr>
          <w:rFonts w:ascii="Times New Roman" w:eastAsia="Times New Roman" w:hAnsi="Times New Roman" w:cs="Times New Roman"/>
          <w:sz w:val="22"/>
          <w:szCs w:val="22"/>
        </w:rPr>
        <w:t xml:space="preserve">, or b) contain clusters of 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 xml:space="preserve">mutations around 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their 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>regulatory motif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>s</w:t>
      </w:r>
      <w:r w:rsidR="00E244A4" w:rsidRPr="00B939C4">
        <w:rPr>
          <w:rFonts w:ascii="Times New Roman" w:eastAsia="Times New Roman" w:hAnsi="Times New Roman" w:cs="Times New Roman"/>
          <w:sz w:val="22"/>
          <w:szCs w:val="22"/>
        </w:rPr>
        <w:t>.</w:t>
      </w:r>
      <w:r w:rsidR="00346CE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21B8E">
        <w:rPr>
          <w:rFonts w:ascii="Times New Roman" w:eastAsia="Times New Roman" w:hAnsi="Times New Roman" w:cs="Times New Roman"/>
          <w:sz w:val="22"/>
          <w:szCs w:val="22"/>
        </w:rPr>
        <w:t xml:space="preserve">Furthermore, 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MutSigNC </w:t>
      </w:r>
      <w:r w:rsidR="00346CE6">
        <w:rPr>
          <w:rFonts w:ascii="Times New Roman" w:eastAsia="Times New Roman" w:hAnsi="Times New Roman" w:cs="Times New Roman"/>
          <w:sz w:val="22"/>
          <w:szCs w:val="22"/>
        </w:rPr>
        <w:t xml:space="preserve">considers the total mutation frequency and total frequency of bases with sufficient coverage across all analyzed elements to compute the patient-specific 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background mutation rate. </w:t>
      </w:r>
      <w:r w:rsidR="00921B8E">
        <w:rPr>
          <w:rFonts w:ascii="Times New Roman" w:eastAsia="Times New Roman" w:hAnsi="Times New Roman" w:cs="Times New Roman"/>
          <w:sz w:val="22"/>
          <w:szCs w:val="22"/>
        </w:rPr>
        <w:t xml:space="preserve">Similarly, </w:t>
      </w:r>
      <w:r w:rsidR="00CF3D17">
        <w:rPr>
          <w:rFonts w:ascii="Times New Roman" w:eastAsia="Times New Roman" w:hAnsi="Times New Roman" w:cs="Times New Roman"/>
          <w:sz w:val="22"/>
          <w:szCs w:val="22"/>
        </w:rPr>
        <w:t xml:space="preserve">mutation cluster </w:t>
      </w:r>
      <w:r w:rsidR="001A7ED5">
        <w:rPr>
          <w:rFonts w:ascii="Times New Roman" w:eastAsia="Times New Roman" w:hAnsi="Times New Roman" w:cs="Times New Roman"/>
          <w:sz w:val="22"/>
          <w:szCs w:val="22"/>
        </w:rPr>
        <w:t>in a</w:t>
      </w:r>
      <w:r w:rsidR="00F96707">
        <w:rPr>
          <w:rFonts w:ascii="Times New Roman" w:eastAsia="Times New Roman" w:hAnsi="Times New Roman" w:cs="Times New Roman"/>
          <w:sz w:val="22"/>
          <w:szCs w:val="22"/>
        </w:rPr>
        <w:t xml:space="preserve"> non-coding element </w:t>
      </w:r>
      <w:r w:rsidR="00921B8E">
        <w:rPr>
          <w:rFonts w:ascii="Times New Roman" w:eastAsia="Times New Roman" w:hAnsi="Times New Roman" w:cs="Times New Roman"/>
          <w:sz w:val="22"/>
          <w:szCs w:val="22"/>
        </w:rPr>
        <w:t xml:space="preserve">is </w:t>
      </w:r>
      <w:r w:rsidR="00F96707">
        <w:rPr>
          <w:rFonts w:ascii="Times New Roman" w:eastAsia="Times New Roman" w:hAnsi="Times New Roman" w:cs="Times New Roman"/>
          <w:sz w:val="22"/>
          <w:szCs w:val="22"/>
        </w:rPr>
        <w:t xml:space="preserve">defined </w:t>
      </w:r>
      <w:r w:rsidR="00CF3D17">
        <w:rPr>
          <w:rFonts w:ascii="Times New Roman" w:eastAsia="Times New Roman" w:hAnsi="Times New Roman" w:cs="Times New Roman"/>
          <w:sz w:val="22"/>
          <w:szCs w:val="22"/>
        </w:rPr>
        <w:t xml:space="preserve">based on whether </w:t>
      </w:r>
      <w:r w:rsidR="00F96707">
        <w:rPr>
          <w:rFonts w:ascii="Times New Roman" w:eastAsia="Times New Roman" w:hAnsi="Times New Roman" w:cs="Times New Roman"/>
          <w:sz w:val="22"/>
          <w:szCs w:val="22"/>
        </w:rPr>
        <w:t xml:space="preserve">there </w:t>
      </w:r>
      <w:r w:rsidR="009579FA">
        <w:rPr>
          <w:rFonts w:ascii="Times New Roman" w:eastAsia="Times New Roman" w:hAnsi="Times New Roman" w:cs="Times New Roman"/>
          <w:sz w:val="22"/>
          <w:szCs w:val="22"/>
        </w:rPr>
        <w:t>is</w:t>
      </w:r>
      <w:r w:rsidR="00F96707">
        <w:rPr>
          <w:rFonts w:ascii="Times New Roman" w:eastAsia="Times New Roman" w:hAnsi="Times New Roman" w:cs="Times New Roman"/>
          <w:sz w:val="22"/>
          <w:szCs w:val="22"/>
        </w:rPr>
        <w:t xml:space="preserve"> cluster of mutation present more than a random expectation. </w:t>
      </w:r>
      <w:r w:rsidR="00921B8E">
        <w:rPr>
          <w:rFonts w:ascii="Times New Roman" w:eastAsia="Times New Roman" w:hAnsi="Times New Roman" w:cs="Times New Roman"/>
          <w:sz w:val="22"/>
          <w:szCs w:val="22"/>
        </w:rPr>
        <w:t xml:space="preserve">determined in an element </w:t>
      </w:r>
      <w:r w:rsidR="006E7928">
        <w:rPr>
          <w:rFonts w:ascii="Times New Roman" w:eastAsia="Times New Roman" w:hAnsi="Times New Roman" w:cs="Times New Roman"/>
          <w:sz w:val="22"/>
          <w:szCs w:val="22"/>
        </w:rPr>
        <w:t xml:space="preserve">compared to a </w:t>
      </w:r>
      <w:r w:rsidR="00921B8E">
        <w:rPr>
          <w:rFonts w:ascii="Times New Roman" w:eastAsia="Times New Roman" w:hAnsi="Times New Roman" w:cs="Times New Roman"/>
          <w:sz w:val="22"/>
          <w:szCs w:val="22"/>
        </w:rPr>
        <w:t>random expectation.</w:t>
      </w:r>
      <w:r w:rsidR="006E792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>Functional assays, which evaluate changes in gene expression and protein binding, were used to assess the effect</w:t>
      </w:r>
      <w:r w:rsidR="00D53200">
        <w:rPr>
          <w:rFonts w:ascii="Times New Roman" w:eastAsia="Times New Roman" w:hAnsi="Times New Roman" w:cs="Times New Roman"/>
          <w:sz w:val="22"/>
          <w:szCs w:val="22"/>
        </w:rPr>
        <w:t>s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 of mutations on the identified set of driver regions. </w:t>
      </w:r>
      <w:r w:rsidR="00D53200">
        <w:rPr>
          <w:rFonts w:ascii="Times New Roman" w:eastAsia="Times New Roman" w:hAnsi="Times New Roman" w:cs="Times New Roman"/>
          <w:sz w:val="22"/>
          <w:szCs w:val="22"/>
        </w:rPr>
        <w:lastRenderedPageBreak/>
        <w:t>Leveraging these assays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, they </w:t>
      </w:r>
      <w:r w:rsidR="00D53200">
        <w:rPr>
          <w:rFonts w:ascii="Times New Roman" w:eastAsia="Times New Roman" w:hAnsi="Times New Roman" w:cs="Times New Roman"/>
          <w:sz w:val="22"/>
          <w:szCs w:val="22"/>
        </w:rPr>
        <w:t xml:space="preserve">were able to determine 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that mutations </w:t>
      </w:r>
      <w:r w:rsidR="00D53200">
        <w:rPr>
          <w:rFonts w:ascii="Times New Roman" w:eastAsia="Times New Roman" w:hAnsi="Times New Roman" w:cs="Times New Roman"/>
          <w:sz w:val="22"/>
          <w:szCs w:val="22"/>
        </w:rPr>
        <w:t>with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>in promoter</w:t>
      </w:r>
      <w:r w:rsidR="00D53200">
        <w:rPr>
          <w:rFonts w:ascii="Times New Roman" w:eastAsia="Times New Roman" w:hAnsi="Times New Roman" w:cs="Times New Roman"/>
          <w:sz w:val="22"/>
          <w:szCs w:val="22"/>
        </w:rPr>
        <w:t xml:space="preserve">s 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>of</w:t>
      </w:r>
      <w:r w:rsidR="00D5320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244A4" w:rsidRPr="0082167F">
        <w:rPr>
          <w:rFonts w:ascii="Times New Roman" w:eastAsia="Times New Roman" w:hAnsi="Times New Roman" w:cs="Times New Roman"/>
          <w:i/>
          <w:sz w:val="22"/>
          <w:szCs w:val="22"/>
        </w:rPr>
        <w:t>FOXA1, RMRP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="00E244A4" w:rsidRPr="0082167F">
        <w:rPr>
          <w:rFonts w:ascii="Times New Roman" w:eastAsia="Times New Roman" w:hAnsi="Times New Roman" w:cs="Times New Roman"/>
          <w:i/>
          <w:sz w:val="22"/>
          <w:szCs w:val="22"/>
        </w:rPr>
        <w:t>NEAT1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 significantly alter transcription. </w:t>
      </w:r>
    </w:p>
    <w:p w14:paraId="767975C3" w14:textId="346F514A" w:rsidR="00CA4573" w:rsidRDefault="00E244A4" w:rsidP="004A6F6D">
      <w:pPr>
        <w:spacing w:line="480" w:lineRule="auto"/>
        <w:ind w:firstLine="720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Furthermore, </w:t>
      </w:r>
      <w:r w:rsidR="00E65CCC">
        <w:rPr>
          <w:rFonts w:ascii="Times New Roman" w:eastAsia="Times New Roman" w:hAnsi="Times New Roman" w:cs="Times New Roman"/>
          <w:sz w:val="22"/>
          <w:szCs w:val="22"/>
        </w:rPr>
        <w:t>these functional assays were used 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propose a mechanism of action for the </w:t>
      </w:r>
      <w:r w:rsidR="005E53C6">
        <w:rPr>
          <w:rFonts w:ascii="Times New Roman" w:eastAsia="Times New Roman" w:hAnsi="Times New Roman" w:cs="Times New Roman"/>
          <w:sz w:val="22"/>
          <w:szCs w:val="22"/>
        </w:rPr>
        <w:t xml:space="preserve">hotspot </w:t>
      </w:r>
      <w:r w:rsidR="00CA4573">
        <w:rPr>
          <w:rFonts w:ascii="Times New Roman" w:eastAsia="Times New Roman" w:hAnsi="Times New Roman" w:cs="Times New Roman"/>
          <w:sz w:val="22"/>
          <w:szCs w:val="22"/>
        </w:rPr>
        <w:t xml:space="preserve">mutation within the </w:t>
      </w:r>
      <w:r>
        <w:rPr>
          <w:rFonts w:ascii="Times New Roman" w:eastAsia="Times New Roman" w:hAnsi="Times New Roman" w:cs="Times New Roman"/>
          <w:sz w:val="22"/>
          <w:szCs w:val="22"/>
        </w:rPr>
        <w:t>promoter</w:t>
      </w:r>
      <w:r w:rsidR="00CA4573">
        <w:rPr>
          <w:rFonts w:ascii="Times New Roman" w:eastAsia="Times New Roman" w:hAnsi="Times New Roman" w:cs="Times New Roman"/>
          <w:sz w:val="22"/>
          <w:szCs w:val="22"/>
        </w:rPr>
        <w:t xml:space="preserve"> of </w:t>
      </w:r>
      <w:r w:rsidR="00CA4573" w:rsidRPr="00B15728">
        <w:rPr>
          <w:rFonts w:ascii="Times New Roman" w:eastAsia="Times New Roman" w:hAnsi="Times New Roman" w:cs="Times New Roman"/>
          <w:i/>
          <w:sz w:val="22"/>
          <w:szCs w:val="22"/>
        </w:rPr>
        <w:t>FOXA1</w:t>
      </w:r>
      <w:r w:rsidR="00CA4573">
        <w:rPr>
          <w:rFonts w:ascii="Times New Roman" w:eastAsia="Times New Roman" w:hAnsi="Times New Roman" w:cs="Times New Roman"/>
          <w:sz w:val="22"/>
          <w:szCs w:val="22"/>
        </w:rPr>
        <w:t xml:space="preserve">, wherein the variant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induces a gain-of-motif event, </w:t>
      </w:r>
      <w:r w:rsidR="00CA4573">
        <w:rPr>
          <w:rFonts w:ascii="Times New Roman" w:eastAsia="Times New Roman" w:hAnsi="Times New Roman" w:cs="Times New Roman"/>
          <w:sz w:val="22"/>
          <w:szCs w:val="22"/>
        </w:rPr>
        <w:t xml:space="preserve">thereby facilitating a </w:t>
      </w:r>
      <w:r w:rsidR="009B2B2D">
        <w:rPr>
          <w:rFonts w:ascii="Times New Roman" w:eastAsia="Times New Roman" w:hAnsi="Times New Roman" w:cs="Times New Roman"/>
          <w:sz w:val="22"/>
          <w:szCs w:val="22"/>
        </w:rPr>
        <w:t xml:space="preserve">canonical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binding </w:t>
      </w:r>
      <w:r w:rsidR="009B2B2D">
        <w:rPr>
          <w:rFonts w:ascii="Times New Roman" w:eastAsia="Times New Roman" w:hAnsi="Times New Roman" w:cs="Times New Roman"/>
          <w:sz w:val="22"/>
          <w:szCs w:val="22"/>
        </w:rPr>
        <w:t xml:space="preserve">mode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of the E2F transcription factor. </w:t>
      </w:r>
      <w:r w:rsidR="00CA4573">
        <w:rPr>
          <w:rFonts w:ascii="Times New Roman" w:eastAsia="Times New Roman" w:hAnsi="Times New Roman" w:cs="Times New Roman"/>
          <w:sz w:val="22"/>
          <w:szCs w:val="22"/>
        </w:rPr>
        <w:t xml:space="preserve">The resultant overexpression of </w:t>
      </w:r>
      <w:r w:rsidRPr="00FC77C7">
        <w:rPr>
          <w:rFonts w:ascii="Times New Roman" w:eastAsia="Times New Roman" w:hAnsi="Times New Roman" w:cs="Times New Roman"/>
          <w:i/>
          <w:sz w:val="22"/>
          <w:szCs w:val="22"/>
        </w:rPr>
        <w:t>FOXA1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E53C6">
        <w:rPr>
          <w:rFonts w:ascii="Times New Roman" w:eastAsia="Times New Roman" w:hAnsi="Times New Roman" w:cs="Times New Roman"/>
          <w:sz w:val="22"/>
          <w:szCs w:val="22"/>
        </w:rPr>
        <w:t xml:space="preserve">opens chromatin, which further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promotes binding of </w:t>
      </w:r>
      <w:r w:rsidR="00CA4573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estrogen receptor (ER) to </w:t>
      </w:r>
      <w:r w:rsidR="00210F76">
        <w:rPr>
          <w:rFonts w:ascii="Times New Roman" w:eastAsia="Times New Roman" w:hAnsi="Times New Roman" w:cs="Times New Roman"/>
          <w:sz w:val="22"/>
          <w:szCs w:val="22"/>
        </w:rPr>
        <w:t>its</w:t>
      </w:r>
      <w:r w:rsidR="00C334B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target binding sites in the genome. </w:t>
      </w:r>
    </w:p>
    <w:p w14:paraId="36CF71AA" w14:textId="5FA1E010" w:rsidR="002653A9" w:rsidRDefault="007A1B3C" w:rsidP="004A6F6D">
      <w:pPr>
        <w:spacing w:line="480" w:lineRule="auto"/>
        <w:ind w:firstLine="720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Major challenge associated with identifying non</w:t>
      </w:r>
      <w:r w:rsidR="00AB1A9E"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coding drivers can be attributed to l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>ow patient cohort sizes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and inadequate sequencing coverage in promoters </w:t>
      </w:r>
      <w:r w:rsidR="00CA4573">
        <w:rPr>
          <w:rFonts w:ascii="Times New Roman" w:eastAsia="Times New Roman" w:hAnsi="Times New Roman" w:cs="Times New Roman"/>
          <w:sz w:val="22"/>
          <w:szCs w:val="22"/>
        </w:rPr>
        <w:t>(as a result of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 high </w:t>
      </w:r>
      <w:r w:rsidR="00E244A4" w:rsidRPr="00A732B1">
        <w:rPr>
          <w:rFonts w:ascii="Times New Roman" w:eastAsia="Times New Roman" w:hAnsi="Times New Roman" w:cs="Times New Roman"/>
          <w:sz w:val="22"/>
          <w:szCs w:val="22"/>
        </w:rPr>
        <w:t>GC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 nucleotide content</w:t>
      </w:r>
      <w:r w:rsidR="00CA4573">
        <w:rPr>
          <w:rFonts w:ascii="Times New Roman" w:eastAsia="Times New Roman" w:hAnsi="Times New Roman" w:cs="Times New Roman"/>
          <w:sz w:val="22"/>
          <w:szCs w:val="22"/>
        </w:rPr>
        <w:t>)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>.</w:t>
      </w:r>
      <w:r w:rsidR="00A07FE6">
        <w:rPr>
          <w:rFonts w:ascii="Times New Roman" w:eastAsia="Times New Roman" w:hAnsi="Times New Roman" w:cs="Times New Roman"/>
          <w:sz w:val="22"/>
          <w:szCs w:val="22"/>
        </w:rPr>
        <w:t xml:space="preserve"> Nonetheless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>, this study is sufficiently powered to identify driver</w:t>
      </w:r>
      <w:r w:rsidR="00C334B6">
        <w:rPr>
          <w:rFonts w:ascii="Times New Roman" w:eastAsia="Times New Roman" w:hAnsi="Times New Roman" w:cs="Times New Roman"/>
          <w:sz w:val="22"/>
          <w:szCs w:val="22"/>
        </w:rPr>
        <w:t>s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334B6">
        <w:rPr>
          <w:rFonts w:ascii="Times New Roman" w:eastAsia="Times New Roman" w:hAnsi="Times New Roman" w:cs="Times New Roman"/>
          <w:sz w:val="22"/>
          <w:szCs w:val="22"/>
        </w:rPr>
        <w:t>in promoter elements, which are mutated 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at least 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 xml:space="preserve">10% of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patients within </w:t>
      </w:r>
      <w:r w:rsidR="00CA4573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sz w:val="22"/>
          <w:szCs w:val="22"/>
        </w:rPr>
        <w:t>studied cohort</w:t>
      </w:r>
      <w:r w:rsidR="00E244A4">
        <w:rPr>
          <w:rFonts w:ascii="Times New Roman" w:eastAsia="Times New Roman" w:hAnsi="Times New Roman" w:cs="Times New Roman"/>
          <w:sz w:val="22"/>
          <w:szCs w:val="22"/>
        </w:rPr>
        <w:t>.</w:t>
      </w:r>
      <w:r w:rsidR="00C334B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However, p</w:t>
      </w:r>
      <w:r w:rsidR="00C334B6">
        <w:rPr>
          <w:rFonts w:ascii="Times New Roman" w:eastAsia="Times New Roman" w:hAnsi="Times New Roman" w:cs="Times New Roman"/>
          <w:sz w:val="22"/>
          <w:szCs w:val="22"/>
        </w:rPr>
        <w:t xml:space="preserve">ower </w:t>
      </w:r>
      <w:r w:rsidR="00CA4573">
        <w:rPr>
          <w:rFonts w:ascii="Times New Roman" w:eastAsia="Times New Roman" w:hAnsi="Times New Roman" w:cs="Times New Roman"/>
          <w:sz w:val="22"/>
          <w:szCs w:val="22"/>
        </w:rPr>
        <w:t>analyses indicate that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we would require larger cohort size to detect majority of driver mutations </w:t>
      </w:r>
      <w:r w:rsidR="00C334B6">
        <w:rPr>
          <w:rFonts w:ascii="Times New Roman" w:eastAsia="Times New Roman" w:hAnsi="Times New Roman" w:cs="Times New Roman"/>
          <w:sz w:val="22"/>
          <w:szCs w:val="22"/>
        </w:rPr>
        <w:t xml:space="preserve">which are typically present in </w:t>
      </w:r>
      <w:r>
        <w:rPr>
          <w:rFonts w:ascii="Times New Roman" w:eastAsia="Times New Roman" w:hAnsi="Times New Roman" w:cs="Times New Roman"/>
          <w:sz w:val="22"/>
          <w:szCs w:val="22"/>
        </w:rPr>
        <w:t>3-5</w:t>
      </w:r>
      <w:r w:rsidR="00C334B6">
        <w:rPr>
          <w:rFonts w:ascii="Times New Roman" w:eastAsia="Times New Roman" w:hAnsi="Times New Roman" w:cs="Times New Roman"/>
          <w:sz w:val="22"/>
          <w:szCs w:val="22"/>
        </w:rPr>
        <w:t>% of patients.</w:t>
      </w:r>
      <w:r w:rsidR="00A90EDC">
        <w:rPr>
          <w:rFonts w:ascii="Times New Roman" w:eastAsia="Times New Roman" w:hAnsi="Times New Roman" w:cs="Times New Roman"/>
          <w:sz w:val="22"/>
          <w:szCs w:val="22"/>
        </w:rPr>
        <w:t xml:space="preserve"> Int</w:t>
      </w:r>
      <w:r w:rsidR="005A69D8">
        <w:rPr>
          <w:rFonts w:ascii="Times New Roman" w:eastAsia="Times New Roman" w:hAnsi="Times New Roman" w:cs="Times New Roman"/>
          <w:sz w:val="22"/>
          <w:szCs w:val="22"/>
        </w:rPr>
        <w:t xml:space="preserve">erestingly, close inspection of mutational hotspot percentages </w:t>
      </w:r>
      <w:r w:rsidR="00441473">
        <w:rPr>
          <w:rFonts w:ascii="Times New Roman" w:eastAsia="Times New Roman" w:hAnsi="Times New Roman" w:cs="Times New Roman"/>
          <w:sz w:val="22"/>
          <w:szCs w:val="22"/>
        </w:rPr>
        <w:t xml:space="preserve">and functional mutation rate </w:t>
      </w:r>
      <w:r w:rsidR="005A69D8">
        <w:rPr>
          <w:rFonts w:ascii="Times New Roman" w:eastAsia="Times New Roman" w:hAnsi="Times New Roman" w:cs="Times New Roman"/>
          <w:sz w:val="22"/>
          <w:szCs w:val="22"/>
        </w:rPr>
        <w:t>of various gene</w:t>
      </w:r>
      <w:r w:rsidR="00441473">
        <w:rPr>
          <w:rFonts w:ascii="Times New Roman" w:eastAsia="Times New Roman" w:hAnsi="Times New Roman" w:cs="Times New Roman"/>
          <w:sz w:val="22"/>
          <w:szCs w:val="22"/>
        </w:rPr>
        <w:t>s</w:t>
      </w:r>
      <w:r w:rsidR="005A69D8">
        <w:rPr>
          <w:rFonts w:ascii="Times New Roman" w:eastAsia="Times New Roman" w:hAnsi="Times New Roman" w:cs="Times New Roman"/>
          <w:sz w:val="22"/>
          <w:szCs w:val="22"/>
        </w:rPr>
        <w:t xml:space="preserve"> indicate</w:t>
      </w:r>
      <w:r w:rsidR="003D0947">
        <w:rPr>
          <w:rFonts w:ascii="Times New Roman" w:eastAsia="Times New Roman" w:hAnsi="Times New Roman" w:cs="Times New Roman"/>
          <w:sz w:val="22"/>
          <w:szCs w:val="22"/>
        </w:rPr>
        <w:t xml:space="preserve"> similar a</w:t>
      </w:r>
      <w:r w:rsidR="00441473">
        <w:rPr>
          <w:rFonts w:ascii="Times New Roman" w:eastAsia="Times New Roman" w:hAnsi="Times New Roman" w:cs="Times New Roman"/>
          <w:sz w:val="22"/>
          <w:szCs w:val="22"/>
        </w:rPr>
        <w:t xml:space="preserve">bundance of hotspot </w:t>
      </w:r>
      <w:r w:rsidR="004A6F6D">
        <w:rPr>
          <w:rFonts w:ascii="Times New Roman" w:eastAsia="Times New Roman" w:hAnsi="Times New Roman" w:cs="Times New Roman"/>
          <w:sz w:val="22"/>
          <w:szCs w:val="22"/>
        </w:rPr>
        <w:t xml:space="preserve">in coding and promoter region </w:t>
      </w:r>
      <w:r w:rsidR="00441473">
        <w:rPr>
          <w:rFonts w:ascii="Times New Roman" w:eastAsia="Times New Roman" w:hAnsi="Times New Roman" w:cs="Times New Roman"/>
          <w:sz w:val="22"/>
          <w:szCs w:val="22"/>
        </w:rPr>
        <w:t>but smaller functional territory</w:t>
      </w:r>
      <w:r w:rsidR="004A6F6D">
        <w:rPr>
          <w:rFonts w:ascii="Times New Roman" w:eastAsia="Times New Roman" w:hAnsi="Times New Roman" w:cs="Times New Roman"/>
          <w:sz w:val="22"/>
          <w:szCs w:val="22"/>
        </w:rPr>
        <w:t xml:space="preserve"> for promoters.</w:t>
      </w:r>
    </w:p>
    <w:p w14:paraId="62095B00" w14:textId="014F70D2" w:rsidR="001B2455" w:rsidRPr="00813350" w:rsidRDefault="0069145C" w:rsidP="00813350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2653A9">
        <w:rPr>
          <w:rFonts w:ascii="Times New Roman" w:eastAsia="Times New Roman" w:hAnsi="Times New Roman" w:cs="Times New Roman"/>
          <w:sz w:val="22"/>
          <w:szCs w:val="22"/>
        </w:rPr>
        <w:t xml:space="preserve">This study clearly </w:t>
      </w:r>
      <w:r w:rsidR="002D3E7A" w:rsidRPr="002653A9">
        <w:rPr>
          <w:rFonts w:ascii="Times New Roman" w:eastAsia="Times New Roman" w:hAnsi="Times New Roman" w:cs="Times New Roman"/>
          <w:sz w:val="22"/>
          <w:szCs w:val="22"/>
        </w:rPr>
        <w:t>elucidates</w:t>
      </w:r>
      <w:r w:rsidRPr="002653A9">
        <w:rPr>
          <w:rFonts w:ascii="Times New Roman" w:eastAsia="Times New Roman" w:hAnsi="Times New Roman" w:cs="Times New Roman"/>
          <w:sz w:val="22"/>
          <w:szCs w:val="22"/>
        </w:rPr>
        <w:t xml:space="preserve"> the key role of </w:t>
      </w:r>
      <w:r w:rsidR="00D12D8D">
        <w:rPr>
          <w:rFonts w:ascii="Times New Roman" w:eastAsia="Times New Roman" w:hAnsi="Times New Roman" w:cs="Times New Roman"/>
          <w:sz w:val="22"/>
          <w:szCs w:val="22"/>
        </w:rPr>
        <w:t xml:space="preserve">regulatory </w:t>
      </w:r>
      <w:r w:rsidRPr="002653A9">
        <w:rPr>
          <w:rFonts w:ascii="Times New Roman" w:eastAsia="Times New Roman" w:hAnsi="Times New Roman" w:cs="Times New Roman"/>
          <w:sz w:val="22"/>
          <w:szCs w:val="22"/>
        </w:rPr>
        <w:t xml:space="preserve">variants in </w:t>
      </w:r>
      <w:r w:rsidR="00D12D8D">
        <w:rPr>
          <w:rFonts w:ascii="Times New Roman" w:eastAsia="Times New Roman" w:hAnsi="Times New Roman" w:cs="Times New Roman"/>
          <w:sz w:val="22"/>
          <w:szCs w:val="22"/>
        </w:rPr>
        <w:t xml:space="preserve">promoter </w:t>
      </w:r>
      <w:r w:rsidRPr="002653A9">
        <w:rPr>
          <w:rFonts w:ascii="Times New Roman" w:eastAsia="Times New Roman" w:hAnsi="Times New Roman" w:cs="Times New Roman"/>
          <w:sz w:val="22"/>
          <w:szCs w:val="22"/>
        </w:rPr>
        <w:t>regi</w:t>
      </w:r>
      <w:r w:rsidR="00D12D8D">
        <w:rPr>
          <w:rFonts w:ascii="Times New Roman" w:eastAsia="Times New Roman" w:hAnsi="Times New Roman" w:cs="Times New Roman"/>
          <w:sz w:val="22"/>
          <w:szCs w:val="22"/>
        </w:rPr>
        <w:t>on</w:t>
      </w:r>
      <w:r w:rsidR="00CA4573">
        <w:rPr>
          <w:rFonts w:ascii="Times New Roman" w:eastAsia="Times New Roman" w:hAnsi="Times New Roman" w:cs="Times New Roman"/>
          <w:sz w:val="22"/>
          <w:szCs w:val="22"/>
        </w:rPr>
        <w:t>s</w:t>
      </w:r>
      <w:r w:rsidR="00D12D8D">
        <w:rPr>
          <w:rFonts w:ascii="Times New Roman" w:eastAsia="Times New Roman" w:hAnsi="Times New Roman" w:cs="Times New Roman"/>
          <w:sz w:val="22"/>
          <w:szCs w:val="22"/>
        </w:rPr>
        <w:t xml:space="preserve"> of </w:t>
      </w:r>
      <w:r w:rsidRPr="002653A9">
        <w:rPr>
          <w:rFonts w:ascii="Times New Roman" w:eastAsia="Times New Roman" w:hAnsi="Times New Roman" w:cs="Times New Roman"/>
          <w:sz w:val="22"/>
          <w:szCs w:val="22"/>
        </w:rPr>
        <w:t xml:space="preserve">different genes </w:t>
      </w:r>
      <w:r w:rsidR="00CA4573">
        <w:rPr>
          <w:rFonts w:ascii="Times New Roman" w:eastAsia="Times New Roman" w:hAnsi="Times New Roman" w:cs="Times New Roman"/>
          <w:sz w:val="22"/>
          <w:szCs w:val="22"/>
        </w:rPr>
        <w:t xml:space="preserve">involved in </w:t>
      </w:r>
      <w:r w:rsidR="00CA4573" w:rsidRPr="002653A9">
        <w:rPr>
          <w:rFonts w:ascii="Times New Roman" w:eastAsia="Times New Roman" w:hAnsi="Times New Roman" w:cs="Times New Roman"/>
          <w:sz w:val="22"/>
          <w:szCs w:val="22"/>
        </w:rPr>
        <w:t>breast cancer</w:t>
      </w:r>
      <w:r w:rsidR="00CA4573" w:rsidRPr="002653A9" w:rsidDel="00CA457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A4573">
        <w:rPr>
          <w:rFonts w:ascii="Times New Roman" w:eastAsia="Times New Roman" w:hAnsi="Times New Roman" w:cs="Times New Roman"/>
          <w:sz w:val="22"/>
          <w:szCs w:val="22"/>
        </w:rPr>
        <w:t>progression</w:t>
      </w:r>
      <w:r w:rsidRPr="002653A9">
        <w:rPr>
          <w:rFonts w:ascii="Times New Roman" w:eastAsia="Times New Roman" w:hAnsi="Times New Roman" w:cs="Times New Roman"/>
          <w:sz w:val="22"/>
          <w:szCs w:val="22"/>
        </w:rPr>
        <w:t xml:space="preserve">. A logical extension will be to </w:t>
      </w:r>
      <w:r w:rsidR="00CA4573">
        <w:rPr>
          <w:rFonts w:ascii="Times New Roman" w:eastAsia="Times New Roman" w:hAnsi="Times New Roman" w:cs="Times New Roman"/>
          <w:sz w:val="22"/>
          <w:szCs w:val="22"/>
        </w:rPr>
        <w:t xml:space="preserve">determine </w:t>
      </w:r>
      <w:r w:rsidR="004C72B5">
        <w:rPr>
          <w:rFonts w:ascii="Times New Roman" w:eastAsia="Times New Roman" w:hAnsi="Times New Roman" w:cs="Times New Roman"/>
          <w:sz w:val="22"/>
          <w:szCs w:val="22"/>
        </w:rPr>
        <w:t>whether</w:t>
      </w:r>
      <w:r w:rsidRPr="002653A9">
        <w:rPr>
          <w:rFonts w:ascii="Times New Roman" w:eastAsia="Times New Roman" w:hAnsi="Times New Roman" w:cs="Times New Roman"/>
          <w:sz w:val="22"/>
          <w:szCs w:val="22"/>
        </w:rPr>
        <w:t xml:space="preserve"> promoter elements </w:t>
      </w:r>
      <w:r w:rsidR="001B2455">
        <w:rPr>
          <w:rFonts w:ascii="Times New Roman" w:eastAsia="Times New Roman" w:hAnsi="Times New Roman" w:cs="Times New Roman"/>
          <w:sz w:val="22"/>
          <w:szCs w:val="22"/>
        </w:rPr>
        <w:t xml:space="preserve">of other genes harbor </w:t>
      </w:r>
      <w:r w:rsidRPr="002653A9">
        <w:rPr>
          <w:rFonts w:ascii="Times New Roman" w:eastAsia="Times New Roman" w:hAnsi="Times New Roman" w:cs="Times New Roman"/>
          <w:sz w:val="22"/>
          <w:szCs w:val="22"/>
        </w:rPr>
        <w:t>driver mutations in different</w:t>
      </w:r>
      <w:r w:rsidR="001B2455">
        <w:rPr>
          <w:rFonts w:ascii="Times New Roman" w:eastAsia="Times New Roman" w:hAnsi="Times New Roman" w:cs="Times New Roman"/>
          <w:sz w:val="22"/>
          <w:szCs w:val="22"/>
        </w:rPr>
        <w:t xml:space="preserve"> cancer types. Similarly</w:t>
      </w:r>
      <w:r w:rsidRPr="002653A9">
        <w:rPr>
          <w:rFonts w:ascii="Times New Roman" w:eastAsia="Times New Roman" w:hAnsi="Times New Roman" w:cs="Times New Roman"/>
          <w:sz w:val="22"/>
          <w:szCs w:val="22"/>
        </w:rPr>
        <w:t xml:space="preserve">, we also need to comprehensively investigate </w:t>
      </w:r>
      <w:r w:rsidR="00CA4573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1B2455">
        <w:rPr>
          <w:rFonts w:ascii="Times New Roman" w:eastAsia="Times New Roman" w:hAnsi="Times New Roman" w:cs="Times New Roman"/>
          <w:sz w:val="22"/>
          <w:szCs w:val="22"/>
        </w:rPr>
        <w:t xml:space="preserve">presence of </w:t>
      </w:r>
      <w:r w:rsidRPr="002653A9">
        <w:rPr>
          <w:rFonts w:ascii="Times New Roman" w:hAnsi="Times New Roman" w:cs="Times New Roman"/>
          <w:color w:val="000000"/>
          <w:sz w:val="22"/>
          <w:szCs w:val="22"/>
        </w:rPr>
        <w:t xml:space="preserve">driver mutations in other regulatory elements such as UTRs, enhancers and </w:t>
      </w:r>
      <w:r w:rsidR="00BB6DAA">
        <w:rPr>
          <w:rFonts w:ascii="Times New Roman" w:hAnsi="Times New Roman" w:cs="Times New Roman"/>
          <w:color w:val="000000"/>
          <w:sz w:val="22"/>
          <w:szCs w:val="22"/>
        </w:rPr>
        <w:t>non</w:t>
      </w:r>
      <w:r w:rsidR="00AB1A9E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BB6DAA">
        <w:rPr>
          <w:rFonts w:ascii="Times New Roman" w:hAnsi="Times New Roman" w:cs="Times New Roman"/>
          <w:color w:val="000000"/>
          <w:sz w:val="22"/>
          <w:szCs w:val="22"/>
        </w:rPr>
        <w:t>coding RNAs (</w:t>
      </w:r>
      <w:r w:rsidRPr="002653A9">
        <w:rPr>
          <w:rFonts w:ascii="Times New Roman" w:hAnsi="Times New Roman" w:cs="Times New Roman"/>
          <w:color w:val="000000"/>
          <w:sz w:val="22"/>
          <w:szCs w:val="22"/>
        </w:rPr>
        <w:t>ncRNAs</w:t>
      </w:r>
      <w:r w:rsidR="00BB6DAA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2653A9">
        <w:rPr>
          <w:rFonts w:ascii="Times New Roman" w:hAnsi="Times New Roman" w:cs="Times New Roman"/>
          <w:color w:val="000000"/>
          <w:sz w:val="22"/>
          <w:szCs w:val="22"/>
        </w:rPr>
        <w:t xml:space="preserve">. However, </w:t>
      </w:r>
      <w:r w:rsidR="00CA4573">
        <w:rPr>
          <w:rFonts w:ascii="Times New Roman" w:hAnsi="Times New Roman" w:cs="Times New Roman"/>
          <w:color w:val="000000"/>
          <w:sz w:val="22"/>
          <w:szCs w:val="22"/>
        </w:rPr>
        <w:t xml:space="preserve">the </w:t>
      </w:r>
      <w:r w:rsidRPr="002653A9">
        <w:rPr>
          <w:rFonts w:ascii="Times New Roman" w:hAnsi="Times New Roman" w:cs="Times New Roman"/>
          <w:color w:val="000000"/>
          <w:sz w:val="22"/>
          <w:szCs w:val="22"/>
        </w:rPr>
        <w:t>exome</w:t>
      </w:r>
      <w:r w:rsidR="00CA4573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2653A9">
        <w:rPr>
          <w:rFonts w:ascii="Times New Roman" w:hAnsi="Times New Roman" w:cs="Times New Roman"/>
          <w:color w:val="000000"/>
          <w:sz w:val="22"/>
          <w:szCs w:val="22"/>
        </w:rPr>
        <w:t xml:space="preserve">plus approach adopted in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this</w:t>
      </w:r>
      <w:r w:rsidR="001D02CC" w:rsidRPr="002653A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653A9">
        <w:rPr>
          <w:rFonts w:ascii="Times New Roman" w:hAnsi="Times New Roman" w:cs="Times New Roman"/>
          <w:color w:val="000000"/>
          <w:sz w:val="22"/>
          <w:szCs w:val="22"/>
        </w:rPr>
        <w:t>st</w:t>
      </w:r>
      <w:r w:rsidR="006D1B72">
        <w:rPr>
          <w:rFonts w:ascii="Times New Roman" w:hAnsi="Times New Roman" w:cs="Times New Roman"/>
          <w:color w:val="000000"/>
          <w:sz w:val="22"/>
          <w:szCs w:val="22"/>
        </w:rPr>
        <w:t xml:space="preserve">udy might be </w:t>
      </w:r>
      <w:r w:rsidRPr="002653A9">
        <w:rPr>
          <w:rFonts w:ascii="Times New Roman" w:hAnsi="Times New Roman" w:cs="Times New Roman"/>
          <w:color w:val="000000"/>
          <w:sz w:val="22"/>
          <w:szCs w:val="22"/>
        </w:rPr>
        <w:t xml:space="preserve">limited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when trying to</w:t>
      </w:r>
      <w:r w:rsidR="001D02CC" w:rsidRPr="002653A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653A9">
        <w:rPr>
          <w:rFonts w:ascii="Times New Roman" w:hAnsi="Times New Roman" w:cs="Times New Roman"/>
          <w:color w:val="000000"/>
          <w:sz w:val="22"/>
          <w:szCs w:val="22"/>
        </w:rPr>
        <w:t xml:space="preserve">identify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 xml:space="preserve">driver events in </w:t>
      </w:r>
      <w:r w:rsidRPr="002653A9">
        <w:rPr>
          <w:rFonts w:ascii="Times New Roman" w:hAnsi="Times New Roman" w:cs="Times New Roman"/>
          <w:color w:val="000000"/>
          <w:sz w:val="22"/>
          <w:szCs w:val="22"/>
        </w:rPr>
        <w:t>other regulatory elements. Thus, it is important to leverage whole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2653A9">
        <w:rPr>
          <w:rFonts w:ascii="Times New Roman" w:hAnsi="Times New Roman" w:cs="Times New Roman"/>
          <w:color w:val="000000"/>
          <w:sz w:val="22"/>
          <w:szCs w:val="22"/>
        </w:rPr>
        <w:t>genome sequencing</w:t>
      </w:r>
      <w:r w:rsidR="00307659">
        <w:rPr>
          <w:rFonts w:ascii="Times New Roman" w:hAnsi="Times New Roman" w:cs="Times New Roman"/>
          <w:color w:val="000000"/>
          <w:sz w:val="22"/>
          <w:szCs w:val="22"/>
        </w:rPr>
        <w:t xml:space="preserve"> (WGS)</w:t>
      </w:r>
      <w:r w:rsidRPr="002653A9">
        <w:rPr>
          <w:rFonts w:ascii="Times New Roman" w:hAnsi="Times New Roman" w:cs="Times New Roman"/>
          <w:color w:val="000000"/>
          <w:sz w:val="22"/>
          <w:szCs w:val="22"/>
        </w:rPr>
        <w:t xml:space="preserve"> to comprehensively characterize driver mutations in non</w:t>
      </w:r>
      <w:r w:rsidR="00AB1A9E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2653A9">
        <w:rPr>
          <w:rFonts w:ascii="Times New Roman" w:hAnsi="Times New Roman" w:cs="Times New Roman"/>
          <w:color w:val="000000"/>
          <w:sz w:val="22"/>
          <w:szCs w:val="22"/>
        </w:rPr>
        <w:t xml:space="preserve">coding regions of the genome. Furthermore, WGS will also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aid in</w:t>
      </w:r>
      <w:r w:rsidRPr="002653A9">
        <w:rPr>
          <w:rFonts w:ascii="Times New Roman" w:hAnsi="Times New Roman" w:cs="Times New Roman"/>
          <w:color w:val="000000"/>
          <w:sz w:val="22"/>
          <w:szCs w:val="22"/>
        </w:rPr>
        <w:t xml:space="preserve"> identify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ing</w:t>
      </w:r>
      <w:r w:rsidRPr="002653A9">
        <w:rPr>
          <w:rFonts w:ascii="Times New Roman" w:hAnsi="Times New Roman" w:cs="Times New Roman"/>
          <w:color w:val="000000"/>
          <w:sz w:val="22"/>
          <w:szCs w:val="22"/>
        </w:rPr>
        <w:t xml:space="preserve"> other categories of driver alterations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2653A9">
        <w:rPr>
          <w:rFonts w:ascii="Times New Roman" w:hAnsi="Times New Roman" w:cs="Times New Roman"/>
          <w:color w:val="000000"/>
          <w:sz w:val="22"/>
          <w:szCs w:val="22"/>
        </w:rPr>
        <w:t xml:space="preserve"> such as copy number aberrations and large SVs.</w:t>
      </w:r>
      <w:r w:rsidR="00501B27" w:rsidRPr="002653A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The</w:t>
      </w:r>
      <w:r w:rsidR="002072E6">
        <w:rPr>
          <w:rFonts w:ascii="Times New Roman" w:hAnsi="Times New Roman" w:cs="Times New Roman"/>
          <w:color w:val="000000"/>
          <w:sz w:val="22"/>
          <w:szCs w:val="22"/>
        </w:rPr>
        <w:t xml:space="preserve"> r</w:t>
      </w:r>
      <w:r w:rsidR="00813350">
        <w:rPr>
          <w:rFonts w:ascii="Times New Roman" w:hAnsi="Times New Roman" w:cs="Times New Roman"/>
          <w:color w:val="000000"/>
          <w:sz w:val="22"/>
          <w:szCs w:val="22"/>
        </w:rPr>
        <w:t>elatively uniform coverage across the genome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 xml:space="preserve"> provided by WGS</w:t>
      </w:r>
      <w:r w:rsidR="00813350">
        <w:rPr>
          <w:rFonts w:ascii="Times New Roman" w:hAnsi="Times New Roman" w:cs="Times New Roman"/>
          <w:color w:val="000000"/>
          <w:sz w:val="22"/>
          <w:szCs w:val="22"/>
        </w:rPr>
        <w:t xml:space="preserve"> can also help in accurately identif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ying</w:t>
      </w:r>
      <w:r w:rsidR="00813350">
        <w:rPr>
          <w:rFonts w:ascii="Times New Roman" w:hAnsi="Times New Roman" w:cs="Times New Roman"/>
          <w:color w:val="000000"/>
          <w:sz w:val="22"/>
          <w:szCs w:val="22"/>
        </w:rPr>
        <w:t xml:space="preserve"> variants in </w:t>
      </w:r>
      <w:r w:rsidR="001D02CC" w:rsidRPr="002653A9">
        <w:rPr>
          <w:rFonts w:ascii="Times New Roman" w:hAnsi="Times New Roman" w:cs="Times New Roman"/>
          <w:color w:val="000000"/>
          <w:sz w:val="22"/>
          <w:szCs w:val="22"/>
        </w:rPr>
        <w:t>GC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813350" w:rsidRPr="002653A9">
        <w:rPr>
          <w:rFonts w:ascii="Times New Roman" w:hAnsi="Times New Roman" w:cs="Times New Roman"/>
          <w:color w:val="000000"/>
          <w:sz w:val="22"/>
          <w:szCs w:val="22"/>
        </w:rPr>
        <w:t>rich regulatory region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81335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7ABED66" w14:textId="04A7BEA1" w:rsidR="00900FA7" w:rsidRDefault="00F87B45" w:rsidP="001D02CC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F87B45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37494C">
        <w:rPr>
          <w:rFonts w:ascii="Times New Roman" w:hAnsi="Times New Roman" w:cs="Times New Roman"/>
          <w:color w:val="000000"/>
          <w:sz w:val="22"/>
          <w:szCs w:val="22"/>
        </w:rPr>
        <w:t>imilarly, s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>tatistical power is pivotal in identifying coding as well as non</w:t>
      </w:r>
      <w:r w:rsidR="0046577A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coding driver variants.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For a number of reasons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, uncovering </w:t>
      </w:r>
      <w:r w:rsidR="001D02CC"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driver mutations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 xml:space="preserve">in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>non</w:t>
      </w:r>
      <w:r w:rsidR="0046577A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coding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 xml:space="preserve">elements is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far more challenging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relative to those in</w:t>
      </w:r>
      <w:r w:rsidR="001D02CC"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to coding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regions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First, n</w:t>
      </w:r>
      <w:r w:rsidR="005D6C8E">
        <w:rPr>
          <w:rFonts w:ascii="Times New Roman" w:hAnsi="Times New Roman" w:cs="Times New Roman"/>
          <w:color w:val="000000"/>
          <w:sz w:val="22"/>
          <w:szCs w:val="22"/>
        </w:rPr>
        <w:t>on</w:t>
      </w:r>
      <w:r w:rsidR="0046577A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5D6C8E">
        <w:rPr>
          <w:rFonts w:ascii="Times New Roman" w:hAnsi="Times New Roman" w:cs="Times New Roman"/>
          <w:color w:val="000000"/>
          <w:sz w:val="22"/>
          <w:szCs w:val="22"/>
        </w:rPr>
        <w:t>coding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 regions are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generally much larger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 than coding regions. Second, we lack information regarding the functional unit or regulatory motif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 xml:space="preserve"> boundaries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 xml:space="preserve">for most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non-coding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elements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. Third,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evaluating the functional impacts of variants in non-coding regions is less straightforward than in coding elements.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 Furthermore, although both coding and non-coding regions comprise discontinuous block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 of functional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annotation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, there is clear distinction between them. For instance, exons in a coding region are clearly linked through splice junctions. However, we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 xml:space="preserve">usually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>lack such clear demarcation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 xml:space="preserve"> sites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 for the regulatory units in a given non</w:t>
      </w:r>
      <w:r w:rsidR="0046577A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>coding region. Finally, coding regions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often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reside</w:t>
      </w:r>
      <w:r w:rsidR="001D02CC"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90230">
        <w:rPr>
          <w:rFonts w:ascii="Times New Roman" w:hAnsi="Times New Roman" w:cs="Times New Roman"/>
          <w:color w:val="000000"/>
          <w:sz w:val="22"/>
          <w:szCs w:val="22"/>
        </w:rPr>
        <w:t xml:space="preserve">within </w:t>
      </w:r>
      <w:r w:rsidR="00790230" w:rsidRPr="00F87B45">
        <w:rPr>
          <w:rFonts w:ascii="Times New Roman" w:hAnsi="Times New Roman" w:cs="Times New Roman"/>
          <w:color w:val="000000"/>
          <w:sz w:val="22"/>
          <w:szCs w:val="22"/>
        </w:rPr>
        <w:t>uniform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chromosomal and epigenetic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 context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. In contrast,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 xml:space="preserve">the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genomic context of non-coding regions is relatively more heterogeneous,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thereby making</w:t>
      </w:r>
      <w:r w:rsidR="001D02CC"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background mutation rate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estimation </w:t>
      </w:r>
      <w:r w:rsidR="00027376">
        <w:rPr>
          <w:rFonts w:ascii="Times New Roman" w:hAnsi="Times New Roman" w:cs="Times New Roman"/>
          <w:color w:val="000000"/>
          <w:sz w:val="22"/>
          <w:szCs w:val="22"/>
        </w:rPr>
        <w:t>quite challenging. Thus</w:t>
      </w:r>
      <w:r w:rsidR="0036450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027376">
        <w:rPr>
          <w:rFonts w:ascii="Times New Roman" w:hAnsi="Times New Roman" w:cs="Times New Roman"/>
          <w:color w:val="000000"/>
          <w:sz w:val="22"/>
          <w:szCs w:val="22"/>
        </w:rPr>
        <w:t xml:space="preserve"> non-coding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>driver discover</w:t>
      </w:r>
      <w:r>
        <w:rPr>
          <w:rFonts w:ascii="Times New Roman" w:hAnsi="Times New Roman" w:cs="Times New Roman"/>
          <w:color w:val="000000"/>
          <w:sz w:val="22"/>
          <w:szCs w:val="22"/>
        </w:rPr>
        <w:t>y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 often requires correction for many covariates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AB36BF">
        <w:rPr>
          <w:rFonts w:ascii="Times New Roman" w:hAnsi="Times New Roman" w:cs="Times New Roman"/>
          <w:color w:val="000000"/>
          <w:sz w:val="22"/>
          <w:szCs w:val="22"/>
        </w:rPr>
        <w:t xml:space="preserve"> such as chromatin state, transcriptional activity and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>replication timing</w:t>
      </w:r>
      <w:r w:rsidR="00FD0E84">
        <w:rPr>
          <w:rFonts w:ascii="Times New Roman" w:hAnsi="Times New Roman" w:cs="Times New Roman"/>
          <w:color w:val="000000"/>
          <w:sz w:val="22"/>
          <w:szCs w:val="22"/>
        </w:rPr>
        <w:t>, which is non-trivial.</w:t>
      </w:r>
    </w:p>
    <w:p w14:paraId="02AD8BC6" w14:textId="3F2A0B33" w:rsidR="00F87B45" w:rsidRPr="00F87B45" w:rsidRDefault="00F87B45" w:rsidP="00900FA7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A simplistic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 xml:space="preserve">(but </w:t>
      </w:r>
      <w:r w:rsidR="001D02CC" w:rsidRPr="00F87B45">
        <w:rPr>
          <w:rFonts w:ascii="Times New Roman" w:hAnsi="Times New Roman" w:cs="Times New Roman"/>
          <w:color w:val="000000"/>
          <w:sz w:val="22"/>
          <w:szCs w:val="22"/>
        </w:rPr>
        <w:t>exceedingly expensive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approach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deal with these challenges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 is to sequence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large number of patients in a given cohort.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An a</w:t>
      </w:r>
      <w:r w:rsidR="001D02CC"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lternative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approach </w:t>
      </w:r>
      <w:r w:rsidR="006558F3">
        <w:rPr>
          <w:rFonts w:ascii="Times New Roman" w:hAnsi="Times New Roman" w:cs="Times New Roman"/>
          <w:color w:val="000000"/>
          <w:sz w:val="22"/>
          <w:szCs w:val="22"/>
        </w:rPr>
        <w:t xml:space="preserve">will be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>to develop better functional annotation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 of the non</w:t>
      </w:r>
      <w:r w:rsidR="0046577A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>coding genome with precise definition of functional motifs. Furthermore, we will need to link these functional motifs into distinct modules to better estimate the functional burden o</w:t>
      </w:r>
      <w:r w:rsidR="00042F97">
        <w:rPr>
          <w:rFonts w:ascii="Times New Roman" w:hAnsi="Times New Roman" w:cs="Times New Roman"/>
          <w:color w:val="000000"/>
          <w:sz w:val="22"/>
          <w:szCs w:val="22"/>
        </w:rPr>
        <w:t>f the non</w:t>
      </w:r>
      <w:r w:rsidR="0046577A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042F97">
        <w:rPr>
          <w:rFonts w:ascii="Times New Roman" w:hAnsi="Times New Roman" w:cs="Times New Roman"/>
          <w:color w:val="000000"/>
          <w:sz w:val="22"/>
          <w:szCs w:val="22"/>
        </w:rPr>
        <w:t xml:space="preserve">coding genome. </w:t>
      </w:r>
      <w:r w:rsidR="001D02CC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>e will also need to acc</w:t>
      </w:r>
      <w:r w:rsidR="0036450B">
        <w:rPr>
          <w:rFonts w:ascii="Times New Roman" w:hAnsi="Times New Roman" w:cs="Times New Roman"/>
          <w:color w:val="000000"/>
          <w:sz w:val="22"/>
          <w:szCs w:val="22"/>
        </w:rPr>
        <w:t xml:space="preserve">urately distinguish between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>functional consequences of high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impact (such as </w:t>
      </w:r>
      <w:r w:rsidR="005E2349" w:rsidRPr="00F87B45">
        <w:rPr>
          <w:rFonts w:ascii="Times New Roman" w:hAnsi="Times New Roman" w:cs="Times New Roman"/>
          <w:color w:val="000000"/>
          <w:sz w:val="22"/>
          <w:szCs w:val="22"/>
        </w:rPr>
        <w:t>motif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breaking 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>events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>) and low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 xml:space="preserve">impact mutations. 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42F97"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nother approach will be to 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>identify</w:t>
      </w:r>
      <w:r w:rsidR="005E2349"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42F97"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small blocks of 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>ultra-</w:t>
      </w:r>
      <w:r w:rsidR="00042F97" w:rsidRPr="00042F97">
        <w:rPr>
          <w:rFonts w:ascii="Times New Roman" w:hAnsi="Times New Roman" w:cs="Times New Roman"/>
          <w:color w:val="000000"/>
          <w:sz w:val="22"/>
          <w:szCs w:val="22"/>
        </w:rPr>
        <w:t>conserved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E2349"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non-coding 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 xml:space="preserve">elements </w:t>
      </w:r>
      <w:r w:rsidR="0066410F">
        <w:rPr>
          <w:rFonts w:ascii="Times New Roman" w:hAnsi="Times New Roman" w:cs="Times New Roman"/>
          <w:color w:val="000000"/>
          <w:sz w:val="22"/>
          <w:szCs w:val="22"/>
        </w:rPr>
        <w:t xml:space="preserve">and ultrasensitive sites in the </w:t>
      </w:r>
      <w:r w:rsidR="000C1208">
        <w:rPr>
          <w:rFonts w:ascii="Times New Roman" w:hAnsi="Times New Roman" w:cs="Times New Roman"/>
          <w:color w:val="000000"/>
          <w:sz w:val="22"/>
          <w:szCs w:val="22"/>
        </w:rPr>
        <w:t>genome (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>though a detailed understanding of such elements is often missing)</w:t>
      </w:r>
      <w:r w:rsidR="00042F97"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>Finally, accurate functional annotation will help in proper estimation of background mutation rate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>s (thought the statistical challenges of such estimations should not be understated)</w:t>
      </w:r>
      <w:r w:rsidRPr="00F87B4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F75B9ED" w14:textId="23C176D1" w:rsidR="00042F97" w:rsidRDefault="00042F97" w:rsidP="00042F97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042F97">
        <w:rPr>
          <w:rFonts w:ascii="Times New Roman" w:hAnsi="Times New Roman" w:cs="Times New Roman"/>
          <w:color w:val="000000"/>
          <w:sz w:val="22"/>
          <w:szCs w:val="22"/>
        </w:rPr>
        <w:t>Thus, larger cohort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 xml:space="preserve">s remain a popular paradigm, and this approach is adopted by the </w:t>
      </w:r>
      <w:r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Pan Cancer Analysis of Whole Genome (PCAWG) project, 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>in which</w:t>
      </w:r>
      <w:r w:rsidR="005E2349"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42F97">
        <w:rPr>
          <w:rFonts w:ascii="Times New Roman" w:hAnsi="Times New Roman" w:cs="Times New Roman"/>
          <w:color w:val="000000"/>
          <w:sz w:val="22"/>
          <w:szCs w:val="22"/>
        </w:rPr>
        <w:t>~2800 tumor-normal sample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 for 40 different cancer subtypes have been sequenced through 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>WGS</w:t>
      </w:r>
      <w:r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. The large number of samples 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 xml:space="preserve">sequenced </w:t>
      </w:r>
      <w:r w:rsidRPr="00042F97">
        <w:rPr>
          <w:rFonts w:ascii="Times New Roman" w:hAnsi="Times New Roman" w:cs="Times New Roman"/>
          <w:color w:val="000000"/>
          <w:sz w:val="22"/>
          <w:szCs w:val="22"/>
        </w:rPr>
        <w:t>can provide sufficient power to detect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 xml:space="preserve"> sparsely</w:t>
      </w:r>
      <w:r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 mutated regulatory elements. In addition, there is a vital need to develop more accurate non-coding genome annotations. The accuracy of non-coding annotation is particularly important because of their scale. An appreciable false positive rate in defining the annotations or </w:t>
      </w:r>
      <w:r>
        <w:rPr>
          <w:rFonts w:ascii="Times New Roman" w:hAnsi="Times New Roman" w:cs="Times New Roman"/>
          <w:color w:val="000000"/>
          <w:sz w:val="22"/>
          <w:szCs w:val="22"/>
        </w:rPr>
        <w:t>inaccurate</w:t>
      </w:r>
      <w:r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 annotations will quickly dilute any signal for positive selection in non</w:t>
      </w:r>
      <w:r w:rsidR="00031F0B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coding regions. </w:t>
      </w:r>
    </w:p>
    <w:p w14:paraId="3DA1D605" w14:textId="33BA0C84" w:rsidR="00E244A4" w:rsidRPr="00E8196E" w:rsidRDefault="00042F97" w:rsidP="00E8196E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042F97">
        <w:rPr>
          <w:rFonts w:ascii="Times New Roman" w:hAnsi="Times New Roman" w:cs="Times New Roman"/>
          <w:color w:val="000000"/>
          <w:sz w:val="22"/>
          <w:szCs w:val="22"/>
        </w:rPr>
        <w:t>In summary, th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 xml:space="preserve">e work by Esther </w:t>
      </w:r>
      <w:r w:rsidR="005E2349" w:rsidRPr="00613263">
        <w:rPr>
          <w:rFonts w:ascii="Times New Roman" w:hAnsi="Times New Roman" w:cs="Times New Roman"/>
          <w:i/>
          <w:color w:val="000000"/>
          <w:sz w:val="22"/>
          <w:szCs w:val="22"/>
        </w:rPr>
        <w:t>at al.</w:t>
      </w:r>
      <w:r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>underscores</w:t>
      </w:r>
      <w:r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 the importance of identifying non</w:t>
      </w:r>
      <w:r w:rsidR="00031F0B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coding driver mutations in cancer genome. 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 xml:space="preserve">The falling costs of </w:t>
      </w:r>
      <w:r w:rsidR="00F60CAD">
        <w:rPr>
          <w:rFonts w:ascii="Times New Roman" w:hAnsi="Times New Roman" w:cs="Times New Roman"/>
          <w:color w:val="000000"/>
          <w:sz w:val="22"/>
          <w:szCs w:val="22"/>
        </w:rPr>
        <w:t>WGS</w:t>
      </w:r>
      <w:r w:rsidR="00F60CAD"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 will</w:t>
      </w:r>
      <w:r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 further bolster such efforts to comprehensively characterize all clinically significant alterations in cancer genome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042F97">
        <w:rPr>
          <w:rFonts w:ascii="Times New Roman" w:hAnsi="Times New Roman" w:cs="Times New Roman"/>
          <w:color w:val="000000"/>
          <w:sz w:val="22"/>
          <w:szCs w:val="22"/>
        </w:rPr>
        <w:t xml:space="preserve">. Finally, these comprehensive catalogues of clinically relevant alterations will help us to achieve the goal of cancer </w:t>
      </w:r>
      <w:r w:rsidR="005E2349">
        <w:rPr>
          <w:rFonts w:ascii="Times New Roman" w:hAnsi="Times New Roman" w:cs="Times New Roman"/>
          <w:color w:val="000000"/>
          <w:sz w:val="22"/>
          <w:szCs w:val="22"/>
        </w:rPr>
        <w:t xml:space="preserve">diagnosis and </w:t>
      </w:r>
      <w:r w:rsidRPr="00042F97">
        <w:rPr>
          <w:rFonts w:ascii="Times New Roman" w:hAnsi="Times New Roman" w:cs="Times New Roman"/>
          <w:color w:val="000000"/>
          <w:sz w:val="22"/>
          <w:szCs w:val="22"/>
        </w:rPr>
        <w:t>precision medicine.</w:t>
      </w:r>
      <w:bookmarkStart w:id="0" w:name="_GoBack"/>
      <w:bookmarkEnd w:id="0"/>
    </w:p>
    <w:sectPr w:rsidR="00E244A4" w:rsidRPr="00E8196E" w:rsidSect="009D6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03E23"/>
    <w:multiLevelType w:val="hybridMultilevel"/>
    <w:tmpl w:val="E6FE3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A4"/>
    <w:rsid w:val="00027376"/>
    <w:rsid w:val="00031F0B"/>
    <w:rsid w:val="00035E11"/>
    <w:rsid w:val="00042F97"/>
    <w:rsid w:val="00080BF0"/>
    <w:rsid w:val="000C1208"/>
    <w:rsid w:val="000C18A8"/>
    <w:rsid w:val="000F2C99"/>
    <w:rsid w:val="00102E42"/>
    <w:rsid w:val="00122ADF"/>
    <w:rsid w:val="00140686"/>
    <w:rsid w:val="001A1721"/>
    <w:rsid w:val="001A7ED5"/>
    <w:rsid w:val="001B2455"/>
    <w:rsid w:val="001B5889"/>
    <w:rsid w:val="001B62AB"/>
    <w:rsid w:val="001D02CC"/>
    <w:rsid w:val="002072E6"/>
    <w:rsid w:val="00210F76"/>
    <w:rsid w:val="00241077"/>
    <w:rsid w:val="002653A9"/>
    <w:rsid w:val="002853CB"/>
    <w:rsid w:val="00287F3C"/>
    <w:rsid w:val="002D3E7A"/>
    <w:rsid w:val="002F5A36"/>
    <w:rsid w:val="00307659"/>
    <w:rsid w:val="003208DD"/>
    <w:rsid w:val="00334352"/>
    <w:rsid w:val="00346CE6"/>
    <w:rsid w:val="00354B8A"/>
    <w:rsid w:val="0036450B"/>
    <w:rsid w:val="0037235D"/>
    <w:rsid w:val="0037494C"/>
    <w:rsid w:val="0039160A"/>
    <w:rsid w:val="003B17A5"/>
    <w:rsid w:val="003B3A68"/>
    <w:rsid w:val="003B61E7"/>
    <w:rsid w:val="003D0947"/>
    <w:rsid w:val="00402A59"/>
    <w:rsid w:val="00441473"/>
    <w:rsid w:val="00450D3A"/>
    <w:rsid w:val="00454FF6"/>
    <w:rsid w:val="0046577A"/>
    <w:rsid w:val="00486AC0"/>
    <w:rsid w:val="004A6F6D"/>
    <w:rsid w:val="004C72B5"/>
    <w:rsid w:val="004F0DA7"/>
    <w:rsid w:val="00501B27"/>
    <w:rsid w:val="005216AC"/>
    <w:rsid w:val="005368CC"/>
    <w:rsid w:val="00545FA6"/>
    <w:rsid w:val="0055373A"/>
    <w:rsid w:val="00583D78"/>
    <w:rsid w:val="005A69D8"/>
    <w:rsid w:val="005D6C8E"/>
    <w:rsid w:val="005E2349"/>
    <w:rsid w:val="005E3121"/>
    <w:rsid w:val="005E435D"/>
    <w:rsid w:val="005E53C6"/>
    <w:rsid w:val="00613263"/>
    <w:rsid w:val="006558F3"/>
    <w:rsid w:val="0065794D"/>
    <w:rsid w:val="0066410F"/>
    <w:rsid w:val="006873FB"/>
    <w:rsid w:val="0069145C"/>
    <w:rsid w:val="006D1B72"/>
    <w:rsid w:val="006E7928"/>
    <w:rsid w:val="006F39CF"/>
    <w:rsid w:val="007178DA"/>
    <w:rsid w:val="00726733"/>
    <w:rsid w:val="0073018F"/>
    <w:rsid w:val="0073125B"/>
    <w:rsid w:val="00742974"/>
    <w:rsid w:val="00790230"/>
    <w:rsid w:val="007915B5"/>
    <w:rsid w:val="007A1B3C"/>
    <w:rsid w:val="007C2046"/>
    <w:rsid w:val="007E1A37"/>
    <w:rsid w:val="00813350"/>
    <w:rsid w:val="0082167F"/>
    <w:rsid w:val="008474CB"/>
    <w:rsid w:val="00893BFA"/>
    <w:rsid w:val="008A6DAD"/>
    <w:rsid w:val="008F40A8"/>
    <w:rsid w:val="00900FA7"/>
    <w:rsid w:val="00914EBE"/>
    <w:rsid w:val="00921B8E"/>
    <w:rsid w:val="009579FA"/>
    <w:rsid w:val="009B2B2D"/>
    <w:rsid w:val="009C0BF8"/>
    <w:rsid w:val="009D3C48"/>
    <w:rsid w:val="009D69BA"/>
    <w:rsid w:val="00A035EC"/>
    <w:rsid w:val="00A0527B"/>
    <w:rsid w:val="00A07FE6"/>
    <w:rsid w:val="00A473DA"/>
    <w:rsid w:val="00A5155B"/>
    <w:rsid w:val="00A90EDC"/>
    <w:rsid w:val="00AB1A9E"/>
    <w:rsid w:val="00AB36BF"/>
    <w:rsid w:val="00AC0910"/>
    <w:rsid w:val="00AF0617"/>
    <w:rsid w:val="00B15728"/>
    <w:rsid w:val="00B80357"/>
    <w:rsid w:val="00BA4B6D"/>
    <w:rsid w:val="00BB6DAA"/>
    <w:rsid w:val="00C0352E"/>
    <w:rsid w:val="00C334B6"/>
    <w:rsid w:val="00C34268"/>
    <w:rsid w:val="00CA4573"/>
    <w:rsid w:val="00CC4608"/>
    <w:rsid w:val="00CF3D17"/>
    <w:rsid w:val="00D12D8D"/>
    <w:rsid w:val="00D53200"/>
    <w:rsid w:val="00D665EE"/>
    <w:rsid w:val="00DC6C16"/>
    <w:rsid w:val="00DF14A5"/>
    <w:rsid w:val="00E06AAD"/>
    <w:rsid w:val="00E244A4"/>
    <w:rsid w:val="00E2686C"/>
    <w:rsid w:val="00E474DD"/>
    <w:rsid w:val="00E65CCC"/>
    <w:rsid w:val="00E8196E"/>
    <w:rsid w:val="00EA3607"/>
    <w:rsid w:val="00EC5DB2"/>
    <w:rsid w:val="00ED67EC"/>
    <w:rsid w:val="00F60CAD"/>
    <w:rsid w:val="00F627DD"/>
    <w:rsid w:val="00F87B45"/>
    <w:rsid w:val="00F96707"/>
    <w:rsid w:val="00FA4BDF"/>
    <w:rsid w:val="00FC77C7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633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A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61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1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1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1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1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1192</Words>
  <Characters>6795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2017-04-14T13:20:00Z</cp:lastPrinted>
  <dcterms:created xsi:type="dcterms:W3CDTF">2017-04-15T03:32:00Z</dcterms:created>
  <dcterms:modified xsi:type="dcterms:W3CDTF">2017-04-15T03:33:00Z</dcterms:modified>
</cp:coreProperties>
</file>