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49239" w14:textId="77777777" w:rsidR="00AF33D2" w:rsidRDefault="00C444CC">
      <w:pPr>
        <w:pStyle w:val="Heading1"/>
      </w:pPr>
      <w:r>
        <w:t>Integrating</w:t>
      </w:r>
      <w:r>
        <w:t xml:space="preserve"> ENCODE data to interpret regulatory changes in cancer</w:t>
      </w:r>
    </w:p>
    <w:p w14:paraId="0E0A688E" w14:textId="77777777" w:rsidR="00AF33D2" w:rsidRDefault="00C444CC">
      <w:pPr>
        <w:pStyle w:val="Heading2"/>
      </w:pPr>
      <w:r>
        <w:t>Abstract</w:t>
      </w:r>
    </w:p>
    <w:p w14:paraId="4059CCE1" w14:textId="0A0B3EC4" w:rsidR="00AF33D2" w:rsidRDefault="00AF33D2" w:rsidP="00685D12">
      <w:pPr>
        <w:pStyle w:val="NoSpacing"/>
      </w:pPr>
    </w:p>
    <w:p w14:paraId="02451854" w14:textId="49B844DF" w:rsidR="00DC4C50" w:rsidRDefault="00A46F05" w:rsidP="00DC4C50">
      <w:pPr>
        <w:pStyle w:val="NoSpacing"/>
      </w:pPr>
      <w:r>
        <w:t xml:space="preserve">Cancer is caused by mutations in the DNA which disrupt the normal physiology of cells. </w:t>
      </w:r>
      <w:r>
        <w:t>T</w:t>
      </w:r>
      <w:r w:rsidR="00C444CC">
        <w:t xml:space="preserve">he </w:t>
      </w:r>
      <w:r w:rsidR="00C444CC">
        <w:t>majority of catalogued mutations are within coding genes.</w:t>
      </w:r>
      <w:r w:rsidR="00C444CC">
        <w:t xml:space="preserve"> </w:t>
      </w:r>
      <w:r w:rsidR="00C444CC">
        <w:t>However,</w:t>
      </w:r>
      <w:r w:rsidR="00C444CC">
        <w:t xml:space="preserve"> the preponderance of </w:t>
      </w:r>
      <w:r w:rsidR="00C444CC">
        <w:t>mutations in tumors</w:t>
      </w:r>
      <w:r w:rsidR="00C444CC">
        <w:t xml:space="preserve"> occur in non-coding regions</w:t>
      </w:r>
      <w:r w:rsidR="00C444CC">
        <w:t xml:space="preserve"> </w:t>
      </w:r>
      <w:r w:rsidR="00C444CC">
        <w:t xml:space="preserve">throughout the genome. While coding mutations yield easily inferred </w:t>
      </w:r>
      <w:proofErr w:type="spellStart"/>
      <w:r w:rsidR="00C444CC">
        <w:t>mis</w:t>
      </w:r>
      <w:proofErr w:type="spellEnd"/>
      <w:r w:rsidR="00C444CC">
        <w:t>-sense, non-sense or frameshift events that lead to altered pr</w:t>
      </w:r>
      <w:r w:rsidR="00C444CC">
        <w:t>oteins, non-coding mutations are often exceptionally difficult to characterize.</w:t>
      </w:r>
    </w:p>
    <w:p w14:paraId="50159D8B" w14:textId="12FD6F55" w:rsidR="00AF33D2" w:rsidRDefault="00C444CC" w:rsidP="00860D1A">
      <w:pPr>
        <w:pStyle w:val="NoSpacing"/>
      </w:pPr>
      <w:r>
        <w:t>Functional mapping of the non-coding genome in efforts such as t</w:t>
      </w:r>
      <w:r>
        <w:t xml:space="preserve">he </w:t>
      </w:r>
      <w:r>
        <w:t xml:space="preserve">ENCODE </w:t>
      </w:r>
      <w:r w:rsidR="00D86EC2">
        <w:t>Project provide</w:t>
      </w:r>
      <w:r>
        <w:t xml:space="preserve"> an opportunity to assess non-coding mutations</w:t>
      </w:r>
      <w:r w:rsidR="000F3843">
        <w:t xml:space="preserve"> throughout the human genome</w:t>
      </w:r>
      <w:r w:rsidR="00A46F05">
        <w:t xml:space="preserve"> in light of</w:t>
      </w:r>
      <w:r>
        <w:t xml:space="preserve"> </w:t>
      </w:r>
      <w:r w:rsidR="00A46F05">
        <w:t xml:space="preserve">diverse </w:t>
      </w:r>
      <w:r w:rsidR="00A46F05">
        <w:t>genomic</w:t>
      </w:r>
      <w:r w:rsidR="000F3843">
        <w:t xml:space="preserve"> assay profiles. </w:t>
      </w:r>
      <w:r>
        <w:t xml:space="preserve">For </w:t>
      </w:r>
      <w:r>
        <w:t>a</w:t>
      </w:r>
      <w:r>
        <w:t xml:space="preserve"> variety of </w:t>
      </w:r>
      <w:r>
        <w:t>cancer</w:t>
      </w:r>
      <w:r>
        <w:t>-derived</w:t>
      </w:r>
      <w:r>
        <w:t xml:space="preserve"> cel</w:t>
      </w:r>
      <w:r>
        <w:t xml:space="preserve">l lines, </w:t>
      </w:r>
      <w:r>
        <w:t>as well as non-cancerous cell lines derived from the same tissues</w:t>
      </w:r>
      <w:r>
        <w:t xml:space="preserve"> (allowing in some cases for tissue-matched non-coding background mutation rate)</w:t>
      </w:r>
      <w:r>
        <w:t xml:space="preserve">, </w:t>
      </w:r>
      <w:r>
        <w:t>ENCODE provides diversity of genome-wide assays</w:t>
      </w:r>
      <w:r w:rsidR="00DC4C50">
        <w:t xml:space="preserve"> to measure genomic</w:t>
      </w:r>
      <w:r w:rsidR="00DC4C50">
        <w:t xml:space="preserve"> characteristics like chromatin state and transcription factor binding</w:t>
      </w:r>
      <w:r w:rsidR="00D86EC2">
        <w:t xml:space="preserve"> </w:t>
      </w:r>
      <w:r>
        <w:t xml:space="preserve">(e.g., </w:t>
      </w:r>
      <w:proofErr w:type="spellStart"/>
      <w:r>
        <w:t>ChIP-seq</w:t>
      </w:r>
      <w:proofErr w:type="spellEnd"/>
      <w:r>
        <w:t>, DNase-</w:t>
      </w:r>
      <w:proofErr w:type="spellStart"/>
      <w:r>
        <w:t>seq</w:t>
      </w:r>
      <w:proofErr w:type="spellEnd"/>
      <w:r>
        <w:t>, Enhancer-</w:t>
      </w:r>
      <w:proofErr w:type="spellStart"/>
      <w:r>
        <w:t>seq</w:t>
      </w:r>
      <w:proofErr w:type="spellEnd"/>
      <w:r>
        <w:t xml:space="preserve">, Hi-C, and </w:t>
      </w:r>
      <w:proofErr w:type="spellStart"/>
      <w:r>
        <w:t>ChIA</w:t>
      </w:r>
      <w:proofErr w:type="spellEnd"/>
      <w:r>
        <w:t>-PET)</w:t>
      </w:r>
      <w:r w:rsidR="00D86EC2">
        <w:t xml:space="preserve">. </w:t>
      </w:r>
      <w:r w:rsidR="00DC4C50">
        <w:t>Integration of ENCODE functional genomics data in cell lines</w:t>
      </w:r>
      <w:r w:rsidR="00C52B3E">
        <w:t>, with TCGA molecular profiles of</w:t>
      </w:r>
      <w:r w:rsidR="00DC4C50">
        <w:t xml:space="preserve"> tumor tissues</w:t>
      </w:r>
      <w:r w:rsidR="00C52B3E">
        <w:t>,</w:t>
      </w:r>
      <w:r w:rsidR="00DC4C50">
        <w:t xml:space="preserve"> enable us to bridge the knowledge gaps in a number of cancers to better model mutations in non-coding regions.</w:t>
      </w:r>
      <w:r>
        <w:t xml:space="preserve"> The resulting data and functional maps of the human genome provide a framework for assessing the potential for cancer mutations in the non-coding genome to dysregulate genes.</w:t>
      </w:r>
      <w:r w:rsidR="000F3843">
        <w:t xml:space="preserve"> </w:t>
      </w:r>
    </w:p>
    <w:p w14:paraId="2A1B6D1A" w14:textId="3042A768" w:rsidR="00523AAD" w:rsidRDefault="00E92184" w:rsidP="00BC242C">
      <w:pPr>
        <w:pStyle w:val="NoSpacing"/>
      </w:pPr>
      <w:r>
        <w:t xml:space="preserve">Here we integrate </w:t>
      </w:r>
      <w:r w:rsidR="00C444CC">
        <w:t>diverse ENCODE data</w:t>
      </w:r>
      <w:r w:rsidR="00523AAD">
        <w:t xml:space="preserve"> </w:t>
      </w:r>
      <w:r w:rsidR="00C444CC">
        <w:t>to define high-confidence regul</w:t>
      </w:r>
      <w:r w:rsidR="00C444CC">
        <w:t xml:space="preserve">atory elements and their </w:t>
      </w:r>
      <w:r w:rsidR="00E57130">
        <w:t>target</w:t>
      </w:r>
      <w:r w:rsidR="00C444CC">
        <w:t xml:space="preserve"> genes. This allows us to </w:t>
      </w:r>
      <w:r>
        <w:t>define</w:t>
      </w:r>
      <w:r w:rsidR="00523AAD">
        <w:t xml:space="preserve"> </w:t>
      </w:r>
      <w:r w:rsidR="00C444CC">
        <w:t>extended gene neighborhoods</w:t>
      </w:r>
      <w:r w:rsidR="00523AAD">
        <w:t xml:space="preserve"> </w:t>
      </w:r>
      <w:r w:rsidR="00C444CC">
        <w:t xml:space="preserve">for mutation recurrence analysis. </w:t>
      </w:r>
      <w:r w:rsidR="00E57130">
        <w:t>This</w:t>
      </w:r>
      <w:r w:rsidR="00523AAD">
        <w:t xml:space="preserve"> approach</w:t>
      </w:r>
      <w:r w:rsidR="00C444CC">
        <w:t xml:space="preserve"> </w:t>
      </w:r>
      <w:r w:rsidR="00E57130">
        <w:t>identified</w:t>
      </w:r>
      <w:r w:rsidR="00C444CC">
        <w:t xml:space="preserve"> </w:t>
      </w:r>
      <w:r w:rsidR="00E57130">
        <w:t xml:space="preserve">novel </w:t>
      </w:r>
      <w:r w:rsidR="00C444CC">
        <w:t>genes</w:t>
      </w:r>
      <w:r w:rsidR="00E57130">
        <w:t xml:space="preserve">, such as BCL6 in </w:t>
      </w:r>
      <w:proofErr w:type="gramStart"/>
      <w:r w:rsidR="00E57130">
        <w:t>leukemia, that</w:t>
      </w:r>
      <w:proofErr w:type="gramEnd"/>
      <w:r w:rsidR="00E57130">
        <w:t xml:space="preserve"> are recurrently mutated in cancers and</w:t>
      </w:r>
      <w:r w:rsidR="00C444CC">
        <w:t xml:space="preserve"> assoc</w:t>
      </w:r>
      <w:r w:rsidR="00C444CC">
        <w:t>iated with patient prognosis</w:t>
      </w:r>
      <w:r w:rsidR="00523AAD">
        <w:t>.</w:t>
      </w:r>
    </w:p>
    <w:p w14:paraId="6E8F9579" w14:textId="3FDDABAC" w:rsidR="00AF33D2" w:rsidRDefault="00E57130" w:rsidP="00BC242C">
      <w:pPr>
        <w:pStyle w:val="NoSpacing"/>
      </w:pPr>
      <w:r>
        <w:t xml:space="preserve">We also </w:t>
      </w:r>
      <w:r w:rsidR="00C444CC">
        <w:t>integrate</w:t>
      </w:r>
      <w:r>
        <w:t>d</w:t>
      </w:r>
      <w:r w:rsidR="00C444CC">
        <w:t xml:space="preserve"> the ENCODE data to build</w:t>
      </w:r>
      <w:r w:rsidR="00C444CC">
        <w:t xml:space="preserve"> hierarchical regulatory network</w:t>
      </w:r>
      <w:r>
        <w:t>s</w:t>
      </w:r>
      <w:r w:rsidR="00C444CC">
        <w:t>, including both transcription factors (TFs) and RNA-binding proteins (RBPs).</w:t>
      </w:r>
      <w:r w:rsidR="00523AAD">
        <w:t xml:space="preserve"> </w:t>
      </w:r>
      <w:r>
        <w:t>Intriguingly, TFs with higher mutation burden</w:t>
      </w:r>
      <w:r w:rsidR="00C444CC">
        <w:t xml:space="preserve"> tend to be located at the bottom of the hierarchy (e.g., EZH2 and NR2C2), whereas those </w:t>
      </w:r>
      <w:r>
        <w:t>with dysregulated expression</w:t>
      </w:r>
      <w:r w:rsidR="00523AAD">
        <w:t xml:space="preserve"> </w:t>
      </w:r>
      <w:r w:rsidR="00C444CC">
        <w:t xml:space="preserve">tend to </w:t>
      </w:r>
      <w:r>
        <w:t>reside</w:t>
      </w:r>
      <w:r w:rsidR="00C444CC">
        <w:t xml:space="preserve"> at the top. Furthermore, by comparing tumor and no</w:t>
      </w:r>
      <w:r w:rsidR="00C444CC">
        <w:t xml:space="preserve">rmal network, we </w:t>
      </w:r>
      <w:r w:rsidR="00523AAD">
        <w:t>identified highly “rewired”</w:t>
      </w:r>
      <w:r w:rsidR="004D4F3A">
        <w:t xml:space="preserve"> </w:t>
      </w:r>
      <w:r w:rsidR="00C444CC">
        <w:t>TFs</w:t>
      </w:r>
      <w:r w:rsidR="004D4F3A">
        <w:t xml:space="preserve"> with changed targets and prognostic value,</w:t>
      </w:r>
      <w:r w:rsidR="00C444CC">
        <w:t xml:space="preserve"> such as IKZF1 and MYC</w:t>
      </w:r>
      <w:r w:rsidR="00C444CC">
        <w:t xml:space="preserve">. Our results indicate that such rewiring events are mainly attributable to </w:t>
      </w:r>
      <w:r w:rsidR="004D4F3A">
        <w:t>epigenetic</w:t>
      </w:r>
      <w:r w:rsidR="004D4F3A">
        <w:t xml:space="preserve"> </w:t>
      </w:r>
      <w:r w:rsidR="00C444CC">
        <w:t>changes,</w:t>
      </w:r>
      <w:r w:rsidR="004D4F3A">
        <w:t xml:space="preserve"> rather than mutations that disrupt TF motifs.</w:t>
      </w:r>
    </w:p>
    <w:p w14:paraId="0CE987B7" w14:textId="1F28FEC8" w:rsidR="00AF33D2" w:rsidRDefault="004D4F3A" w:rsidP="00523AAD">
      <w:pPr>
        <w:pStyle w:val="NoSpacing"/>
      </w:pPr>
      <w:r>
        <w:t>Finally</w:t>
      </w:r>
      <w:r w:rsidR="00C444CC">
        <w:t>, we propose</w:t>
      </w:r>
      <w:r>
        <w:t>d</w:t>
      </w:r>
      <w:r w:rsidR="00C444CC">
        <w:t xml:space="preserve"> a prioritization scheme for key non-coding elements</w:t>
      </w:r>
      <w:r w:rsidR="00EB3CDD">
        <w:t xml:space="preserve">, as well as the mutations </w:t>
      </w:r>
      <w:r w:rsidR="00523AAD">
        <w:t>they contain</w:t>
      </w:r>
      <w:r w:rsidR="00EB3CDD">
        <w:t>,</w:t>
      </w:r>
      <w:r w:rsidR="00523AAD">
        <w:t xml:space="preserve"> according to their position</w:t>
      </w:r>
      <w:r w:rsidR="00C444CC">
        <w:t xml:space="preserve"> in re</w:t>
      </w:r>
      <w:r w:rsidR="00523AAD">
        <w:t>gulatory networks and potential</w:t>
      </w:r>
      <w:r w:rsidR="00C444CC">
        <w:t xml:space="preserve"> to drive </w:t>
      </w:r>
      <w:r w:rsidR="00C444CC">
        <w:t>expression changes</w:t>
      </w:r>
      <w:r w:rsidR="00EB3CDD">
        <w:t xml:space="preserve"> in cancer</w:t>
      </w:r>
      <w:r w:rsidR="00C444CC">
        <w:t xml:space="preserve">. </w:t>
      </w:r>
      <w:r w:rsidR="00C444CC">
        <w:t xml:space="preserve"> In particular, we prioritize CTCF as a key TF for blood cancer and SUB1 as a key </w:t>
      </w:r>
      <w:r w:rsidR="00EB3CDD">
        <w:t>RBP</w:t>
      </w:r>
      <w:r w:rsidR="00CD3F34">
        <w:t xml:space="preserve"> </w:t>
      </w:r>
      <w:r w:rsidR="00C444CC">
        <w:t>for liver and lung cancers</w:t>
      </w:r>
      <w:r w:rsidR="00662A31">
        <w:t>,</w:t>
      </w:r>
      <w:r w:rsidR="00C444CC">
        <w:t xml:space="preserve"> and validated them through siRNA knockdown experiments. Finally, we identify</w:t>
      </w:r>
      <w:r w:rsidR="00C444CC">
        <w:t xml:space="preserve"> active enhancers and seven high impact mutations therein</w:t>
      </w:r>
      <w:r w:rsidR="00662A31">
        <w:t xml:space="preserve"> in breast cancer</w:t>
      </w:r>
      <w:r w:rsidR="00C444CC">
        <w:t xml:space="preserve"> and validated their functional effects through luciferase assays</w:t>
      </w:r>
      <w:r w:rsidR="00C444CC">
        <w:t>.</w:t>
      </w:r>
    </w:p>
    <w:p w14:paraId="760828C8" w14:textId="77777777" w:rsidR="00AF33D2" w:rsidRDefault="00C444CC">
      <w:pPr>
        <w:pStyle w:val="Heading2"/>
      </w:pPr>
      <w:r>
        <w:t>I</w:t>
      </w:r>
      <w:r>
        <w:t>ntroduction</w:t>
      </w:r>
    </w:p>
    <w:p w14:paraId="61C6297B" w14:textId="0C11F10D" w:rsidR="00AF33D2" w:rsidRDefault="00662A31" w:rsidP="00685D12">
      <w:pPr>
        <w:pStyle w:val="NoSpacing"/>
      </w:pPr>
      <w:r>
        <w:t>Coding m</w:t>
      </w:r>
      <w:r w:rsidR="00C444CC">
        <w:t xml:space="preserve">utations associated with </w:t>
      </w:r>
      <w:r w:rsidR="00C444CC">
        <w:t xml:space="preserve">cancer have been </w:t>
      </w:r>
      <w:r>
        <w:t xml:space="preserve">the focus of extensive study. </w:t>
      </w:r>
      <w:r w:rsidR="00C444CC">
        <w:t xml:space="preserve">However, the overwhelming bulk of </w:t>
      </w:r>
      <w:r w:rsidR="00C444CC">
        <w:t xml:space="preserve">mutations in cancer genomes – particularly those </w:t>
      </w:r>
      <w:r>
        <w:t>discovered from</w:t>
      </w:r>
      <w:r w:rsidR="00523AAD">
        <w:t xml:space="preserve"> </w:t>
      </w:r>
      <w:r>
        <w:t>recent</w:t>
      </w:r>
      <w:r w:rsidR="00C444CC">
        <w:t xml:space="preserve"> large-scale cancer genomics initiatives – lie within non-coding regions. </w:t>
      </w:r>
      <w:r>
        <w:t>Whether</w:t>
      </w:r>
      <w:r w:rsidR="00523AAD">
        <w:t xml:space="preserve"> </w:t>
      </w:r>
      <w:r w:rsidR="00C444CC">
        <w:t xml:space="preserve">these </w:t>
      </w:r>
      <w:r>
        <w:t>mutations</w:t>
      </w:r>
      <w:r w:rsidR="00C444CC">
        <w:t xml:space="preserve"> drive cancer </w:t>
      </w:r>
      <w:r>
        <w:t xml:space="preserve">development or </w:t>
      </w:r>
      <w:r w:rsidR="00C444CC">
        <w:t>progression</w:t>
      </w:r>
      <w:r>
        <w:t>,</w:t>
      </w:r>
      <w:r w:rsidR="00C444CC">
        <w:t xml:space="preserve"> or simply emerge a</w:t>
      </w:r>
      <w:r>
        <w:t>s</w:t>
      </w:r>
      <w:r w:rsidR="00C444CC">
        <w:t xml:space="preserve"> byproducts of genomic instability</w:t>
      </w:r>
      <w:r w:rsidR="00CD3F34">
        <w:t>,</w:t>
      </w:r>
      <w:r w:rsidR="00C444CC">
        <w:t xml:space="preserve"> </w:t>
      </w:r>
      <w:r w:rsidR="00C444CC">
        <w:lastRenderedPageBreak/>
        <w:t>remains an open question. Newly-released data from the ENCODE Consortium can help address this question by providing comprehensive characterization o</w:t>
      </w:r>
      <w:r w:rsidR="00C444CC">
        <w:t xml:space="preserve">f non-coding genomic elements, as well as by linking </w:t>
      </w:r>
      <w:r>
        <w:t>such elements to</w:t>
      </w:r>
      <w:r>
        <w:t xml:space="preserve"> </w:t>
      </w:r>
      <w:r w:rsidR="00C444CC">
        <w:t>well-known cancer associated genes</w:t>
      </w:r>
      <w:r w:rsidR="00C444CC">
        <w:t>.</w:t>
      </w:r>
    </w:p>
    <w:p w14:paraId="0A324461" w14:textId="325490B4" w:rsidR="00AF33D2" w:rsidRDefault="00CD3F34" w:rsidP="00685D12">
      <w:pPr>
        <w:pStyle w:val="NoSpacing"/>
      </w:pPr>
      <w:r>
        <w:t>Here</w:t>
      </w:r>
      <w:r w:rsidR="00C444CC">
        <w:t xml:space="preserve"> we endeavor to provide a companion resource to the main ENCODE encyclopedia by </w:t>
      </w:r>
      <w:r w:rsidR="00C444CC">
        <w:t xml:space="preserve">building a “cancer encyclopedia”. </w:t>
      </w:r>
      <w:r w:rsidR="00C444CC">
        <w:t>The main encyclopedia is oriented toward brea</w:t>
      </w:r>
      <w:r>
        <w:t>dth of annotation, describing</w:t>
      </w:r>
      <w:r w:rsidR="00C444CC">
        <w:t xml:space="preserve"> elements over hundreds of cell lines. In contrast, we focus on </w:t>
      </w:r>
      <w:r w:rsidR="00C444CC">
        <w:t>cell lines</w:t>
      </w:r>
      <w:r w:rsidR="00523AAD">
        <w:t xml:space="preserve"> </w:t>
      </w:r>
      <w:r w:rsidR="00523AAD">
        <w:t>with wide variety of profiles</w:t>
      </w:r>
      <w:r w:rsidR="00B57E1C">
        <w:t xml:space="preserve"> (the “tier 1 &amp; 2” lines)</w:t>
      </w:r>
      <w:r w:rsidR="00C444CC">
        <w:t xml:space="preserve">. </w:t>
      </w:r>
      <w:r w:rsidR="00B57E1C">
        <w:t>Most</w:t>
      </w:r>
      <w:r w:rsidR="00B57E1C">
        <w:t xml:space="preserve"> </w:t>
      </w:r>
      <w:r w:rsidR="00C444CC">
        <w:t>of these cell line</w:t>
      </w:r>
      <w:r w:rsidR="00C444CC">
        <w:t>s are associated with</w:t>
      </w:r>
      <w:r w:rsidR="00D96AAD">
        <w:t xml:space="preserve"> cancers </w:t>
      </w:r>
      <w:r w:rsidR="00C444CC">
        <w:t>of the blood, liver, lung, cervix, and breast. We show that these cell lines can be used to provide a better understanding of</w:t>
      </w:r>
      <w:r w:rsidR="00B57E1C">
        <w:t xml:space="preserve"> the portion of the non-coding genome that is affected during cancer development and progression</w:t>
      </w:r>
      <w:r w:rsidR="00C444CC">
        <w:t>, and we provide a</w:t>
      </w:r>
      <w:r>
        <w:t xml:space="preserve"> </w:t>
      </w:r>
      <w:r w:rsidR="00C444CC">
        <w:t>resource for interpreting the wea</w:t>
      </w:r>
      <w:r w:rsidR="00C444CC">
        <w:t xml:space="preserve">lth of </w:t>
      </w:r>
      <w:r w:rsidR="006E3772">
        <w:t>mutational</w:t>
      </w:r>
      <w:r w:rsidR="006E3772">
        <w:t xml:space="preserve"> </w:t>
      </w:r>
      <w:r w:rsidR="00C444CC">
        <w:t xml:space="preserve">and </w:t>
      </w:r>
      <w:r w:rsidR="006E3772">
        <w:t xml:space="preserve">transcriptional profiles </w:t>
      </w:r>
      <w:r w:rsidR="00C444CC">
        <w:t>produced by the cancer community.</w:t>
      </w:r>
    </w:p>
    <w:p w14:paraId="78165D0F" w14:textId="403FA020" w:rsidR="00AF33D2" w:rsidRDefault="00842301" w:rsidP="00523AAD">
      <w:pPr>
        <w:pStyle w:val="Heading2"/>
      </w:pPr>
      <w:r>
        <w:rPr>
          <w:rStyle w:val="CommentReference"/>
          <w:rFonts w:ascii="Arial" w:eastAsia="SimSun" w:hAnsi="Arial" w:cs="Arial"/>
          <w:color w:val="000000"/>
        </w:rPr>
        <w:commentReference w:id="0"/>
      </w:r>
      <w:r w:rsidR="00C444CC">
        <w:t xml:space="preserve">Data for comprehensive functional characterization in ENCODE </w:t>
      </w:r>
    </w:p>
    <w:p w14:paraId="0CFCFAA5" w14:textId="170157CB" w:rsidR="00AF33D2" w:rsidRDefault="00C444CC" w:rsidP="00685D12">
      <w:pPr>
        <w:pStyle w:val="NoSpacing"/>
      </w:pPr>
      <w:r>
        <w:t xml:space="preserve">The </w:t>
      </w:r>
      <w:r>
        <w:t>most comprehensive set of assays</w:t>
      </w:r>
      <w:r w:rsidR="00354323">
        <w:t xml:space="preserve"> for ENCODE</w:t>
      </w:r>
      <w:r>
        <w:t xml:space="preserve"> are availa</w:t>
      </w:r>
      <w:r>
        <w:t>ble for</w:t>
      </w:r>
      <w:r>
        <w:t xml:space="preserve"> tier 1</w:t>
      </w:r>
      <w:r w:rsidR="00354323">
        <w:t xml:space="preserve"> cell lines</w:t>
      </w:r>
      <w:r>
        <w:t xml:space="preserve">. These cell lines therefore provide </w:t>
      </w:r>
      <w:r w:rsidR="00354323">
        <w:t>good models</w:t>
      </w:r>
      <w:r w:rsidR="00D66AFA">
        <w:t xml:space="preserve"> </w:t>
      </w:r>
      <w:r w:rsidR="00354323">
        <w:t xml:space="preserve">for </w:t>
      </w:r>
      <w:r>
        <w:t>studying gen</w:t>
      </w:r>
      <w:r w:rsidR="00354323">
        <w:t>e</w:t>
      </w:r>
      <w:r>
        <w:t xml:space="preserve"> regulation</w:t>
      </w:r>
      <w:r w:rsidR="00F75B33">
        <w:t xml:space="preserve"> in detail.</w:t>
      </w:r>
      <w:r w:rsidR="00D66AFA">
        <w:t xml:space="preserve"> </w:t>
      </w:r>
      <w:r w:rsidR="00354323">
        <w:t>Five tier 1 cell lines are derived from cancers, including cancer of the</w:t>
      </w:r>
      <w:r w:rsidR="00CD3F34">
        <w:t xml:space="preserve"> </w:t>
      </w:r>
      <w:r>
        <w:t>blood</w:t>
      </w:r>
      <w:r w:rsidR="00354323">
        <w:t xml:space="preserve"> (K562)</w:t>
      </w:r>
      <w:r>
        <w:t>, breast</w:t>
      </w:r>
      <w:r w:rsidR="00354323">
        <w:t xml:space="preserve"> (MCF-7)</w:t>
      </w:r>
      <w:r>
        <w:t>, liver</w:t>
      </w:r>
      <w:r w:rsidR="00354323">
        <w:t xml:space="preserve"> (HepG2)</w:t>
      </w:r>
      <w:r>
        <w:t>, lung</w:t>
      </w:r>
      <w:r w:rsidR="00354323">
        <w:t xml:space="preserve"> (A549)</w:t>
      </w:r>
      <w:r>
        <w:t>, and cervix</w:t>
      </w:r>
      <w:r w:rsidR="00354323">
        <w:t xml:space="preserve"> (HeLa-S3)</w:t>
      </w:r>
      <w:r>
        <w:t>.</w:t>
      </w:r>
    </w:p>
    <w:p w14:paraId="60283886" w14:textId="58BE5610" w:rsidR="00AF33D2" w:rsidRDefault="00F75B33" w:rsidP="00685D12">
      <w:pPr>
        <w:pStyle w:val="NoSpacing"/>
      </w:pPr>
      <w:r>
        <w:t>For</w:t>
      </w:r>
      <w:r w:rsidR="00C444CC">
        <w:t xml:space="preserve"> four of the</w:t>
      </w:r>
      <w:r>
        <w:t>se</w:t>
      </w:r>
      <w:r w:rsidR="00C444CC">
        <w:t xml:space="preserve"> five cell lines</w:t>
      </w:r>
      <w:r w:rsidR="00C444CC">
        <w:t>, there is another</w:t>
      </w:r>
      <w:r>
        <w:t xml:space="preserve"> immortalized</w:t>
      </w:r>
      <w:r w:rsidR="00C444CC">
        <w:t xml:space="preserve"> cell line </w:t>
      </w:r>
      <w:r>
        <w:t>from corresponding healthy tissue.</w:t>
      </w:r>
      <w:r w:rsidR="00CD3F34">
        <w:t xml:space="preserve"> </w:t>
      </w:r>
      <w:r w:rsidR="00C444CC">
        <w:t xml:space="preserve">This provides an approximate </w:t>
      </w:r>
      <w:r w:rsidR="008231D1">
        <w:t>‘</w:t>
      </w:r>
      <w:r w:rsidR="00C444CC">
        <w:t>normal</w:t>
      </w:r>
      <w:r w:rsidR="008231D1">
        <w:t>’</w:t>
      </w:r>
      <w:r w:rsidR="00C444CC">
        <w:t xml:space="preserve"> match to </w:t>
      </w:r>
      <w:r w:rsidR="008231D1">
        <w:t xml:space="preserve">these tumor-derived cell lines. It is worth noting that both the matching of cell lines to cancers and matching of tumor-normal pairs are very approximate in nature, as </w:t>
      </w:r>
      <w:r w:rsidR="00C444CC">
        <w:t xml:space="preserve">these matchings are not intended to </w:t>
      </w:r>
      <w:r w:rsidR="00C444CC">
        <w:t>substitute</w:t>
      </w:r>
      <w:r w:rsidR="00D66AFA">
        <w:t xml:space="preserve"> </w:t>
      </w:r>
      <w:r w:rsidR="00C444CC">
        <w:t xml:space="preserve">data from real </w:t>
      </w:r>
      <w:r w:rsidR="008231D1">
        <w:t>tumor and normal</w:t>
      </w:r>
      <w:r w:rsidR="008231D1">
        <w:t xml:space="preserve"> </w:t>
      </w:r>
      <w:r w:rsidR="00C444CC">
        <w:t>tissue</w:t>
      </w:r>
      <w:r w:rsidR="008231D1">
        <w:t>s</w:t>
      </w:r>
      <w:r w:rsidR="00C444CC">
        <w:t xml:space="preserve">. </w:t>
      </w:r>
      <w:r w:rsidR="008231D1">
        <w:t xml:space="preserve">Nonetheless, they </w:t>
      </w:r>
      <w:r w:rsidR="00C444CC">
        <w:t>can be used to integrate a wide variety of available omics data</w:t>
      </w:r>
      <w:r w:rsidR="008231D1">
        <w:t xml:space="preserve"> to determine significant differences between the tumor-derived and immortalized ‘normal’ cells</w:t>
      </w:r>
      <w:r w:rsidR="00C444CC">
        <w:t xml:space="preserve">. </w:t>
      </w:r>
      <w:r w:rsidR="008231D1">
        <w:t>Importantly</w:t>
      </w:r>
      <w:r w:rsidR="00C444CC">
        <w:t>,</w:t>
      </w:r>
      <w:r w:rsidR="00D66AFA">
        <w:t xml:space="preserve"> this ex</w:t>
      </w:r>
      <w:r w:rsidR="008231D1">
        <w:t>ercise</w:t>
      </w:r>
      <w:r w:rsidR="00C444CC">
        <w:t xml:space="preserve"> provide</w:t>
      </w:r>
      <w:r w:rsidR="008231D1">
        <w:t>s</w:t>
      </w:r>
      <w:r w:rsidR="00C444CC">
        <w:t xml:space="preserve"> a resource that can then be used to better interpret </w:t>
      </w:r>
      <w:r w:rsidR="00C444CC">
        <w:t xml:space="preserve">more </w:t>
      </w:r>
      <w:r w:rsidR="00C444CC">
        <w:t>limited volume of data derived from true cancer tissue.</w:t>
      </w:r>
    </w:p>
    <w:p w14:paraId="020D4972" w14:textId="77777777" w:rsidR="00AF33D2" w:rsidRDefault="00C444CC" w:rsidP="00AD1040">
      <w:pPr>
        <w:pStyle w:val="NoSpacing"/>
      </w:pPr>
      <w:r>
        <w:t xml:space="preserve"> (Fig 1A). </w:t>
      </w:r>
    </w:p>
    <w:p w14:paraId="52C748F2" w14:textId="14DE5A30" w:rsidR="00AF33D2" w:rsidRDefault="00C444CC" w:rsidP="00842301">
      <w:pPr>
        <w:pStyle w:val="NoSpacing"/>
      </w:pPr>
      <w:r>
        <w:t xml:space="preserve">To build a </w:t>
      </w:r>
      <w:r w:rsidR="009C6DF1">
        <w:t>“</w:t>
      </w:r>
      <w:r>
        <w:t>cancer</w:t>
      </w:r>
      <w:r w:rsidR="009C6DF1">
        <w:t>-relevant</w:t>
      </w:r>
      <w:r>
        <w:t xml:space="preserve"> encyclopedia</w:t>
      </w:r>
      <w:r w:rsidR="009C6DF1">
        <w:t xml:space="preserve"> of DNA elements” (C-ENCODE)</w:t>
      </w:r>
      <w:r>
        <w:t>, we first construct</w:t>
      </w:r>
      <w:r w:rsidR="009C6DF1">
        <w:t>ed</w:t>
      </w:r>
      <w:r>
        <w:t xml:space="preserve"> a comprehensive data matrix by normalizing raw signals of genomic features that severely confound somatic mutagenic processes (see Supp. File/</w:t>
      </w:r>
      <w:proofErr w:type="gramStart"/>
      <w:r>
        <w:t>Section(</w:t>
      </w:r>
      <w:proofErr w:type="gramEnd"/>
      <w:r>
        <w:t xml:space="preserve">?) </w:t>
      </w:r>
      <w:proofErr w:type="gramStart"/>
      <w:r>
        <w:t>X )</w:t>
      </w:r>
      <w:proofErr w:type="gramEnd"/>
      <w:r>
        <w:t>. In contrast to previous a</w:t>
      </w:r>
      <w:r>
        <w:t>pproaches that rely on single histone modification marks, we implement</w:t>
      </w:r>
      <w:r w:rsidR="009C6DF1">
        <w:t>ed</w:t>
      </w:r>
      <w:r>
        <w:t xml:space="preserve"> an ensemble-based method called ESCAPE, which performs large-scale data integration to accurately identify active enhancers. This integration involves predictions using a diverse collec</w:t>
      </w:r>
      <w:r>
        <w:t xml:space="preserve">tion of histone </w:t>
      </w:r>
      <w:r w:rsidR="009C6DF1">
        <w:t xml:space="preserve">mark </w:t>
      </w:r>
      <w:proofErr w:type="spellStart"/>
      <w:r>
        <w:t>ChIP-seq</w:t>
      </w:r>
      <w:proofErr w:type="spellEnd"/>
      <w:r>
        <w:t>, DNase-</w:t>
      </w:r>
      <w:proofErr w:type="spellStart"/>
      <w:r>
        <w:t>seq</w:t>
      </w:r>
      <w:proofErr w:type="spellEnd"/>
      <w:r>
        <w:t xml:space="preserve"> and Enhancer-</w:t>
      </w:r>
      <w:proofErr w:type="spellStart"/>
      <w:r>
        <w:t>seq</w:t>
      </w:r>
      <w:proofErr w:type="spellEnd"/>
      <w:r>
        <w:t xml:space="preserve"> datasets. We further link these to genes by optimally investigating how the histone modification marks on enhancers help predict the gene expression of the potential target gene. This group of potential </w:t>
      </w:r>
      <w:r>
        <w:t>linkages is then filtered through the results of Hi-C experiments, which provide</w:t>
      </w:r>
      <w:r w:rsidR="009C6DF1">
        <w:t xml:space="preserve"> a</w:t>
      </w:r>
      <w:r>
        <w:t xml:space="preserve"> low</w:t>
      </w:r>
      <w:r>
        <w:t xml:space="preserve"> resolution</w:t>
      </w:r>
      <w:r w:rsidR="009C6DF1">
        <w:t xml:space="preserve"> three dimensional</w:t>
      </w:r>
      <w:r>
        <w:t xml:space="preserve"> </w:t>
      </w:r>
      <w:r>
        <w:t xml:space="preserve">physical picture of </w:t>
      </w:r>
      <w:r>
        <w:t xml:space="preserve">inter-genomic </w:t>
      </w:r>
      <w:r w:rsidR="009C6DF1">
        <w:t>chromatin interactions</w:t>
      </w:r>
      <w:r w:rsidR="009C6DF1">
        <w:t xml:space="preserve"> </w:t>
      </w:r>
      <w:r>
        <w:t xml:space="preserve">(see Supp. File/Section(?) X). To </w:t>
      </w:r>
      <w:r>
        <w:t>improve</w:t>
      </w:r>
      <w:r>
        <w:t xml:space="preserve"> functional interpretation, we us</w:t>
      </w:r>
      <w:r>
        <w:t>e</w:t>
      </w:r>
      <w:r w:rsidR="009C6DF1">
        <w:t>d</w:t>
      </w:r>
      <w:r>
        <w:t xml:space="preserve"> these high-quality linkages to construct what we term</w:t>
      </w:r>
      <w:r w:rsidR="009C6DF1">
        <w:t>ed</w:t>
      </w:r>
      <w:r>
        <w:t xml:space="preserve"> “extended gene neighborhoods” – coding regions matched with key regulatory elements, such as enhancers, promoters, and binding sites from regulators (Fig1 B). In addition, we also explore</w:t>
      </w:r>
      <w:r w:rsidR="001711CB">
        <w:t>d</w:t>
      </w:r>
      <w:r>
        <w:t xml:space="preserve"> the binding </w:t>
      </w:r>
      <w:r>
        <w:t>profiles in ENCODE data, and construct</w:t>
      </w:r>
      <w:r w:rsidR="001711CB">
        <w:t>ed</w:t>
      </w:r>
      <w:r>
        <w:t xml:space="preserve"> high-confidence gene regulatory networks for both TFs and RBPs (Fig. 1C and Fig. X in Supp. File/</w:t>
      </w:r>
      <w:proofErr w:type="gramStart"/>
      <w:r>
        <w:t>Section(</w:t>
      </w:r>
      <w:proofErr w:type="gramEnd"/>
      <w:r>
        <w:t xml:space="preserve">?) X). </w:t>
      </w:r>
      <w:proofErr w:type="gramStart"/>
      <w:r>
        <w:t>Finally</w:t>
      </w:r>
      <w:proofErr w:type="gramEnd"/>
      <w:r>
        <w:t>, we merge</w:t>
      </w:r>
      <w:r w:rsidR="001711CB">
        <w:t>d</w:t>
      </w:r>
      <w:r>
        <w:t xml:space="preserve"> our </w:t>
      </w:r>
      <w:r w:rsidR="001711CB">
        <w:t xml:space="preserve">integrated analysis </w:t>
      </w:r>
      <w:r>
        <w:t xml:space="preserve">with </w:t>
      </w:r>
      <w:r>
        <w:t>broader ENCODE</w:t>
      </w:r>
      <w:r w:rsidR="00CD3F34">
        <w:t xml:space="preserve"> </w:t>
      </w:r>
      <w:r w:rsidR="001711CB">
        <w:t>data</w:t>
      </w:r>
      <w:r>
        <w:t>, and we provide consistent</w:t>
      </w:r>
      <w:r>
        <w:t xml:space="preserve"> identifiers and definitions</w:t>
      </w:r>
      <w:r w:rsidR="001711CB">
        <w:t xml:space="preserve"> for the C-ENCODE resource</w:t>
      </w:r>
      <w:r>
        <w:t xml:space="preserve">. </w:t>
      </w:r>
    </w:p>
    <w:p w14:paraId="42463E0A" w14:textId="2C840EAE" w:rsidR="00AF33D2" w:rsidRDefault="00C444CC" w:rsidP="00842301">
      <w:pPr>
        <w:pStyle w:val="NoSpacing"/>
      </w:pPr>
      <w:r>
        <w:t xml:space="preserve">In </w:t>
      </w:r>
      <w:r w:rsidR="001711CB">
        <w:t>summary</w:t>
      </w:r>
      <w:r>
        <w:t xml:space="preserve">, our </w:t>
      </w:r>
      <w:r w:rsidR="001711CB">
        <w:t>the C-ENCODE resource</w:t>
      </w:r>
      <w:r w:rsidR="001711CB">
        <w:t xml:space="preserve"> </w:t>
      </w:r>
      <w:r>
        <w:t>consists of a list of accurately determined enhancers, a list of</w:t>
      </w:r>
      <w:r w:rsidR="001711CB">
        <w:t xml:space="preserve"> regions with high mutation</w:t>
      </w:r>
      <w:r>
        <w:t xml:space="preserve"> burden</w:t>
      </w:r>
      <w:r w:rsidR="001711CB">
        <w:t xml:space="preserve"> in cancer</w:t>
      </w:r>
      <w:r>
        <w:t xml:space="preserve">, the regulatory network of TFs (and for some lines RBPs), as well as the most rewired TFs in this regulatory network (see </w:t>
      </w:r>
      <w:r>
        <w:t xml:space="preserve">supplementary materials). Collectively, these resources allow us to prioritize a few key elements </w:t>
      </w:r>
      <w:r>
        <w:lastRenderedPageBreak/>
        <w:t>as being associated with oncogenesis, some of which are then validated using small-scale experiment</w:t>
      </w:r>
      <w:r w:rsidR="001711CB">
        <w:t>s</w:t>
      </w:r>
      <w:r>
        <w:t xml:space="preserve"> (see table S1). </w:t>
      </w:r>
    </w:p>
    <w:p w14:paraId="1BC6D31C" w14:textId="77777777" w:rsidR="00AF33D2" w:rsidRDefault="00C444CC">
      <w:pPr>
        <w:pStyle w:val="Heading2"/>
      </w:pPr>
      <w:r>
        <w:t>M</w:t>
      </w:r>
      <w:r>
        <w:t>ulti-level data integration bet</w:t>
      </w:r>
      <w:r>
        <w:t>ter enables recurrent variant analysis in cancer</w:t>
      </w:r>
    </w:p>
    <w:p w14:paraId="359DABF8" w14:textId="57BA245E" w:rsidR="00AF33D2" w:rsidRDefault="00C444CC" w:rsidP="00685D12">
      <w:pPr>
        <w:pStyle w:val="NoSpacing"/>
      </w:pPr>
      <w:r>
        <w:t xml:space="preserve">One of the most powerful ways of identifying key elements and </w:t>
      </w:r>
      <w:r w:rsidR="001711CB">
        <w:t>functional</w:t>
      </w:r>
      <w:r w:rsidR="001711CB">
        <w:t xml:space="preserve"> </w:t>
      </w:r>
      <w:r>
        <w:t xml:space="preserve">mutations in cancer is through recurrence analysis, </w:t>
      </w:r>
      <w:r w:rsidR="001711CB">
        <w:t>which identifies</w:t>
      </w:r>
      <w:r>
        <w:t xml:space="preserve"> regions of the genome that are more </w:t>
      </w:r>
      <w:r w:rsidR="001711CB">
        <w:t>frequently</w:t>
      </w:r>
      <w:r w:rsidR="001711CB">
        <w:t xml:space="preserve"> </w:t>
      </w:r>
      <w:r>
        <w:t>muta</w:t>
      </w:r>
      <w:r>
        <w:t xml:space="preserve">ted than expected. </w:t>
      </w:r>
      <w:r w:rsidR="001711CB">
        <w:t xml:space="preserve">However, </w:t>
      </w:r>
      <w:r w:rsidR="00CD3F34">
        <w:t xml:space="preserve">a </w:t>
      </w:r>
      <w:r>
        <w:t>mutation</w:t>
      </w:r>
      <w:r w:rsidR="00CD3F34">
        <w:t>al</w:t>
      </w:r>
      <w:r>
        <w:t xml:space="preserve"> process </w:t>
      </w:r>
      <w:r w:rsidR="001711CB">
        <w:t>could be influenced by or associated with</w:t>
      </w:r>
      <w:r w:rsidR="00CD3F34">
        <w:t xml:space="preserve"> </w:t>
      </w:r>
      <w:r>
        <w:t>confounding factors (in the form of both external genomic factors and local context effects), which can result in many false positives or nega</w:t>
      </w:r>
      <w:r>
        <w:t>tives</w:t>
      </w:r>
      <w:r w:rsidR="001711CB">
        <w:t xml:space="preserve"> in recurrence analysis</w:t>
      </w:r>
      <w:r>
        <w:t xml:space="preserve"> (see Supp. File/</w:t>
      </w:r>
      <w:proofErr w:type="gramStart"/>
      <w:r>
        <w:t>Section(</w:t>
      </w:r>
      <w:proofErr w:type="gramEnd"/>
      <w:r>
        <w:t xml:space="preserve">?) X). </w:t>
      </w:r>
      <w:r w:rsidR="001711CB">
        <w:t>In addition</w:t>
      </w:r>
      <w:r>
        <w:t xml:space="preserve">, traditional burden tests often neglect the </w:t>
      </w:r>
      <w:r w:rsidR="00F11F0F">
        <w:t>association</w:t>
      </w:r>
      <w:r w:rsidR="00F11F0F">
        <w:t xml:space="preserve"> </w:t>
      </w:r>
      <w:r>
        <w:t>among annotation categories</w:t>
      </w:r>
      <w:r w:rsidR="00F11F0F">
        <w:t xml:space="preserve"> and</w:t>
      </w:r>
      <w:r>
        <w:t xml:space="preserve"> </w:t>
      </w:r>
      <w:r>
        <w:t>test</w:t>
      </w:r>
      <w:r>
        <w:t xml:space="preserve"> regions separately. Consequently, these tests </w:t>
      </w:r>
      <w:r>
        <w:t xml:space="preserve">sometimes </w:t>
      </w:r>
      <w:r w:rsidR="00F11F0F">
        <w:t>fail</w:t>
      </w:r>
      <w:r w:rsidR="007C3224">
        <w:t xml:space="preserve"> </w:t>
      </w:r>
      <w:r>
        <w:t>to identify distributed mutation signals fro</w:t>
      </w:r>
      <w:r>
        <w:t>m biologically relevant</w:t>
      </w:r>
      <w:r w:rsidR="00F11F0F">
        <w:t xml:space="preserve"> genomic</w:t>
      </w:r>
      <w:r>
        <w:t xml:space="preserve"> regions, thereby limiting the</w:t>
      </w:r>
      <w:r w:rsidR="00F11F0F">
        <w:t xml:space="preserve"> interpretation power of burden tests</w:t>
      </w:r>
      <w:r>
        <w:t>.</w:t>
      </w:r>
    </w:p>
    <w:p w14:paraId="7CDB17EA" w14:textId="41B2FF82" w:rsidR="00AF33D2" w:rsidRDefault="00F11F0F" w:rsidP="00685D12">
      <w:pPr>
        <w:pStyle w:val="NoSpacing"/>
      </w:pPr>
      <w:r>
        <w:t>To address these limitatio</w:t>
      </w:r>
      <w:r w:rsidR="007C3224">
        <w:t>n of traditional recurrence anal</w:t>
      </w:r>
      <w:r>
        <w:t>ysis, we integrated the C-</w:t>
      </w:r>
      <w:r w:rsidR="00C444CC">
        <w:t>ENCODE resource</w:t>
      </w:r>
      <w:r w:rsidR="00C444CC">
        <w:t xml:space="preserve"> at two levels</w:t>
      </w:r>
      <w:r w:rsidR="00C444CC">
        <w:t xml:space="preserve">. First, we predict an accurate local BMR by regressing out </w:t>
      </w:r>
      <w:r w:rsidR="00C444CC">
        <w:t>the confounding effects of features in a cancer-specific manner (see Supp. File/</w:t>
      </w:r>
      <w:proofErr w:type="gramStart"/>
      <w:r w:rsidR="00C444CC">
        <w:t>Section(</w:t>
      </w:r>
      <w:proofErr w:type="gramEnd"/>
      <w:r w:rsidR="00C444CC">
        <w:t xml:space="preserve">?) X). </w:t>
      </w:r>
      <w:proofErr w:type="gramStart"/>
      <w:r w:rsidR="00C444CC">
        <w:t>Specifically</w:t>
      </w:r>
      <w:proofErr w:type="gramEnd"/>
      <w:r w:rsidR="00C444CC">
        <w:t>, we prepare a covariate matrix by normalizing 475 features from ENCODE to remove those effects that may confound the BMR. We then separated the whol</w:t>
      </w:r>
      <w:r w:rsidR="00C444CC">
        <w:t>e genome into 64 categories according to the local 3-mers</w:t>
      </w:r>
      <w:r w:rsidR="00512344">
        <w:t>,</w:t>
      </w:r>
      <w:r w:rsidR="00C444CC">
        <w:t xml:space="preserve"> and run separate regression models to further</w:t>
      </w:r>
      <w:r>
        <w:t xml:space="preserve"> remove confounders from intrinsic sequence context</w:t>
      </w:r>
      <w:r w:rsidR="00C444CC">
        <w:t xml:space="preserve">. In contrast to methods that use unmatched data \{cite </w:t>
      </w:r>
      <w:proofErr w:type="spellStart"/>
      <w:r w:rsidR="00C444CC">
        <w:t>MutsigCV</w:t>
      </w:r>
      <w:proofErr w:type="spellEnd"/>
      <w:r w:rsidR="00C444CC">
        <w:t xml:space="preserve">}, our regression-based approach </w:t>
      </w:r>
      <w:r>
        <w:t>with</w:t>
      </w:r>
      <w:r w:rsidR="00C444CC">
        <w:t xml:space="preserve"> mat</w:t>
      </w:r>
      <w:r w:rsidR="00C444CC">
        <w:t xml:space="preserve">ched data usually </w:t>
      </w:r>
      <w:r>
        <w:t>yields</w:t>
      </w:r>
      <w:r w:rsidR="00C444CC">
        <w:t xml:space="preserve"> higher BMR prediction precision (Fig 2A, see also Supp. File/</w:t>
      </w:r>
      <w:proofErr w:type="gramStart"/>
      <w:r w:rsidR="00C444CC">
        <w:t>Section(</w:t>
      </w:r>
      <w:proofErr w:type="gramEnd"/>
      <w:r w:rsidR="00C444CC">
        <w:t xml:space="preserve">?) X). </w:t>
      </w:r>
      <w:proofErr w:type="gramStart"/>
      <w:r w:rsidR="00C444CC">
        <w:t>In</w:t>
      </w:r>
      <w:proofErr w:type="gramEnd"/>
      <w:r w:rsidR="00C444CC">
        <w:t xml:space="preserve"> breast cancer, for example, the</w:t>
      </w:r>
      <w:r>
        <w:t xml:space="preserve"> spearman’s </w:t>
      </w:r>
      <w:r w:rsidR="00C444CC">
        <w:t>correlation</w:t>
      </w:r>
      <w:r>
        <w:t xml:space="preserve"> </w:t>
      </w:r>
      <w:r>
        <w:t>(</w:t>
      </w:r>
      <m:oMath>
        <m:r>
          <w:rPr>
            <w:rFonts w:ascii="Cambria Math" w:hAnsi="Cambria Math"/>
          </w:rPr>
          <m:t>ρ</m:t>
        </m:r>
      </m:oMath>
      <w:r>
        <w:t>)</w:t>
      </w:r>
      <w:r>
        <w:t xml:space="preserve"> </w:t>
      </w:r>
      <w:r w:rsidR="00C444CC">
        <w:t>between observed and predicted mutation counts over 1-megabase bins</w:t>
      </w:r>
      <w:r>
        <w:t xml:space="preserve"> increases from XX to XXX when</w:t>
      </w:r>
      <w:r w:rsidR="00C444CC">
        <w:t xml:space="preserve"> using replication-timing signals </w:t>
      </w:r>
      <w:r w:rsidR="00C444CC">
        <w:t>(from MCF-7</w:t>
      </w:r>
      <w:r>
        <w:t xml:space="preserve"> instead of HeLa-S3)</w:t>
      </w:r>
      <w:r w:rsidR="00C444CC">
        <w:t>. T</w:t>
      </w:r>
      <w:r>
        <w:t>his underlies the importance of</w:t>
      </w:r>
      <w:r w:rsidR="007C3224">
        <w:t xml:space="preserve"> </w:t>
      </w:r>
      <w:r w:rsidR="00C444CC">
        <w:t>integrat</w:t>
      </w:r>
      <w:r>
        <w:t>ing</w:t>
      </w:r>
      <w:r w:rsidR="00C444CC">
        <w:t xml:space="preserve"> these </w:t>
      </w:r>
      <w:r>
        <w:t xml:space="preserve">chromatin </w:t>
      </w:r>
      <w:r w:rsidR="00C444CC">
        <w:t>features</w:t>
      </w:r>
      <w:r>
        <w:t xml:space="preserve"> from matched tissues</w:t>
      </w:r>
      <w:r w:rsidR="00C444CC">
        <w:t xml:space="preserve"> to infer BMR (Fig 1B). For example, </w:t>
      </w:r>
      <m:oMath>
        <m:r>
          <w:rPr>
            <w:rFonts w:ascii="Cambria Math" w:hAnsi="Cambria Math"/>
          </w:rPr>
          <m:t>ρ</m:t>
        </m:r>
      </m:oMath>
      <w:r w:rsidR="00C444CC">
        <w:t xml:space="preserve"> only ranges from xxx-xxx using matched replication timing, but its range increases to x</w:t>
      </w:r>
      <w:r w:rsidR="00C444CC">
        <w:t>xx-xxx by adding 1 PC from the remaining covariates. It progressively increases to the xxx-xxx regime by adding PCs to the full model through forward selection (Fig 1B, see Supp. File/</w:t>
      </w:r>
      <w:proofErr w:type="gramStart"/>
      <w:r w:rsidR="00C444CC">
        <w:t>Section(</w:t>
      </w:r>
      <w:proofErr w:type="gramEnd"/>
      <w:r w:rsidR="00C444CC">
        <w:t xml:space="preserve">?) X). </w:t>
      </w:r>
      <w:proofErr w:type="gramStart"/>
      <w:r w:rsidR="00C444CC">
        <w:t>Such</w:t>
      </w:r>
      <w:proofErr w:type="gramEnd"/>
      <w:r w:rsidR="00C444CC">
        <w:t xml:space="preserve"> noticeable improvements in BMR estimation significan</w:t>
      </w:r>
      <w:r w:rsidR="00C444CC">
        <w:t>tly improve</w:t>
      </w:r>
      <w:r>
        <w:t xml:space="preserve"> the</w:t>
      </w:r>
      <w:r w:rsidR="00C444CC">
        <w:t xml:space="preserve"> burden analyses (</w:t>
      </w:r>
      <w:r w:rsidR="00C444CC">
        <w:t xml:space="preserve">below). </w:t>
      </w:r>
    </w:p>
    <w:p w14:paraId="7C316F81" w14:textId="769E4E7B" w:rsidR="00AF33D2" w:rsidRDefault="00C444CC" w:rsidP="00AD1040">
      <w:pPr>
        <w:pStyle w:val="NoSpacing"/>
      </w:pPr>
      <w:r>
        <w:t>Rather than separately testing standalone annotation categories, we employ our extended gene (detailed above) as joint test units (see Supp. File/</w:t>
      </w:r>
      <w:proofErr w:type="gramStart"/>
      <w:r>
        <w:t>Section(</w:t>
      </w:r>
      <w:proofErr w:type="gramEnd"/>
      <w:r>
        <w:t>?) X). Such a scheme allows for the accumulation of weak mut</w:t>
      </w:r>
      <w:r>
        <w:t xml:space="preserve">ation signals distributed across multiple biologically relevant functional elements, which may otherwise be </w:t>
      </w:r>
      <w:r w:rsidR="000873DB">
        <w:t>missed</w:t>
      </w:r>
      <w:r w:rsidR="000873DB">
        <w:t xml:space="preserve"> </w:t>
      </w:r>
      <w:r>
        <w:t xml:space="preserve">if evaluated under individual tests (Fig. </w:t>
      </w:r>
      <w:proofErr w:type="spellStart"/>
      <w:r>
        <w:t>Sx</w:t>
      </w:r>
      <w:proofErr w:type="spellEnd"/>
      <w:r>
        <w:t xml:space="preserve"> in Supp. section X). Furthermore, it enables to collectively assess the overall burdening associat</w:t>
      </w:r>
      <w:r>
        <w:t>ed with a well-known cancer associated gene</w:t>
      </w:r>
      <w:r w:rsidR="00512344">
        <w:t>s. B</w:t>
      </w:r>
      <w:r>
        <w:t xml:space="preserve">urdening in the protein coding regions may be matched by apparently un-connected mutations in the regulatory regions. We demonstrate that our </w:t>
      </w:r>
      <w:r w:rsidR="000873DB">
        <w:t>approach</w:t>
      </w:r>
      <w:r w:rsidR="000873DB">
        <w:t xml:space="preserve"> </w:t>
      </w:r>
      <w:r>
        <w:t>can effectively remove false positives and di</w:t>
      </w:r>
      <w:r>
        <w:t xml:space="preserve">scover meaningful burdened regions (Fig 2C). For example, in the context of </w:t>
      </w:r>
      <w:r w:rsidR="000873DB">
        <w:t>K562 cells derived from</w:t>
      </w:r>
      <w:r w:rsidR="005E606B">
        <w:t xml:space="preserve"> </w:t>
      </w:r>
      <w:r w:rsidR="000873DB">
        <w:t xml:space="preserve">a chronic lymphocytic </w:t>
      </w:r>
      <w:r>
        <w:t>leukemia</w:t>
      </w:r>
      <w:r w:rsidR="000873DB">
        <w:t xml:space="preserve"> (CLL)</w:t>
      </w:r>
      <w:r>
        <w:t>, our analysis identifies well-known highly mutated genes (such as TP53 and ATM) as well as other genes (such as BCL6) that are missed by the</w:t>
      </w:r>
      <w:r w:rsidR="000873DB">
        <w:t xml:space="preserve"> recurrence</w:t>
      </w:r>
      <w:r>
        <w:t xml:space="preserve"> analysis of coding regions. BC</w:t>
      </w:r>
      <w:r>
        <w:t xml:space="preserve">L6 </w:t>
      </w:r>
      <w:r w:rsidR="00136151">
        <w:t>has</w:t>
      </w:r>
      <w:r w:rsidR="00136151">
        <w:t xml:space="preserve"> </w:t>
      </w:r>
      <w:r>
        <w:t>strong prognostic value with respect to patient survival (Fig. 2D), indicating that the extended gene should be used as an annotation set for recurrence analysis. In addition, we can easily generalize this BMR calibration approach for</w:t>
      </w:r>
      <w:r>
        <w:t xml:space="preserve"> can</w:t>
      </w:r>
      <w:r>
        <w:t xml:space="preserve">cer </w:t>
      </w:r>
      <w:r w:rsidR="00512344">
        <w:t>types apart from the five we focus</w:t>
      </w:r>
      <w:r w:rsidR="00136151">
        <w:t xml:space="preserve"> on, as our model will work to pick an appropriately matched C-ENCODE signal type.</w:t>
      </w:r>
    </w:p>
    <w:p w14:paraId="0F8F9FAD" w14:textId="77777777" w:rsidR="00AF33D2" w:rsidRDefault="00C444CC">
      <w:pPr>
        <w:pStyle w:val="Heading2"/>
      </w:pPr>
      <w:r>
        <w:t>E</w:t>
      </w:r>
      <w:r>
        <w:t xml:space="preserve">xtensive rewiring events of several transcription factors in cancer </w:t>
      </w:r>
    </w:p>
    <w:p w14:paraId="13ED7469" w14:textId="3ABBB2C3" w:rsidR="00AF33D2" w:rsidRDefault="00C444CC" w:rsidP="00685D12">
      <w:pPr>
        <w:pStyle w:val="NoSpacing"/>
      </w:pPr>
      <w:r>
        <w:t xml:space="preserve">We </w:t>
      </w:r>
      <w:r w:rsidR="00136151">
        <w:t>next</w:t>
      </w:r>
      <w:r w:rsidR="00136151">
        <w:t xml:space="preserve"> </w:t>
      </w:r>
      <w:r>
        <w:t xml:space="preserve">investigated </w:t>
      </w:r>
      <w:r>
        <w:t>transcription regulat</w:t>
      </w:r>
      <w:r w:rsidR="00136151">
        <w:t>ory</w:t>
      </w:r>
      <w:r>
        <w:t xml:space="preserve"> network</w:t>
      </w:r>
      <w:r w:rsidR="00136151">
        <w:t>s</w:t>
      </w:r>
      <w:r>
        <w:t xml:space="preserve"> in a tissue</w:t>
      </w:r>
      <w:r w:rsidR="00136151">
        <w:t>-</w:t>
      </w:r>
      <w:r>
        <w:t xml:space="preserve">specific </w:t>
      </w:r>
      <w:r w:rsidR="00136151">
        <w:t>manner</w:t>
      </w:r>
      <w:r>
        <w:t xml:space="preserve">. In each cell type, we organized </w:t>
      </w:r>
      <w:r>
        <w:t>TF regulatory network</w:t>
      </w:r>
      <w:r w:rsidR="00136151">
        <w:t>s</w:t>
      </w:r>
      <w:r>
        <w:t xml:space="preserve"> into a hierarchy by comparing the inbound and </w:t>
      </w:r>
      <w:r>
        <w:lastRenderedPageBreak/>
        <w:t>outbound edges of each factor, thereby enabling us to investigate the global topology of TF r</w:t>
      </w:r>
      <w:r>
        <w:t>egulation (Fig. 1E, see also Supp. File/</w:t>
      </w:r>
      <w:proofErr w:type="gramStart"/>
      <w:r>
        <w:t>Section(</w:t>
      </w:r>
      <w:proofErr w:type="gramEnd"/>
      <w:r>
        <w:t>?) X). TFs in different levels of the hierarchy reflect the extent to which they directly regulate the expression of other TFs \{cite 25880651}. For example, TFs in the top layer have more outbound than inbou</w:t>
      </w:r>
      <w:r>
        <w:t xml:space="preserve">nd edges in the network, and thus play larger roles in regulating other TFs (Supp. Fig. xx). In this representation, two patterns readily emerge. In </w:t>
      </w:r>
      <w:r w:rsidR="00136151">
        <w:t>the blood cell comparison (K562 vs. GM12878)</w:t>
      </w:r>
      <w:r>
        <w:t>, top-level TFs tend to more strongly influence the differential expression between</w:t>
      </w:r>
      <w:r w:rsidR="00136151">
        <w:t xml:space="preserve"> the</w:t>
      </w:r>
      <w:r>
        <w:t xml:space="preserve"> </w:t>
      </w:r>
      <w:r w:rsidR="00323981">
        <w:t>CLL-derived K562 cells (tumor)</w:t>
      </w:r>
      <w:r w:rsidR="00323981">
        <w:t xml:space="preserve"> </w:t>
      </w:r>
      <w:r>
        <w:t>and</w:t>
      </w:r>
      <w:r w:rsidR="00323981">
        <w:t xml:space="preserve"> the immortalized GM12878 </w:t>
      </w:r>
      <w:proofErr w:type="spellStart"/>
      <w:r w:rsidR="00323981">
        <w:t>lymphoblastoid</w:t>
      </w:r>
      <w:proofErr w:type="spellEnd"/>
      <w:r w:rsidR="00323981">
        <w:t xml:space="preserve"> cells (normal)</w:t>
      </w:r>
      <w:r>
        <w:t xml:space="preserve">. The average Pearson correlation between TF binding events and tumor-normal expression changes increases from 0.125 in the bottom layer to 0.270 in the top layer (Table </w:t>
      </w:r>
      <w:proofErr w:type="spellStart"/>
      <w:r>
        <w:t>Sx</w:t>
      </w:r>
      <w:proofErr w:type="spellEnd"/>
      <w:r>
        <w:t>). TFs in the bottom layer are more frequently associated with burdened bindi</w:t>
      </w:r>
      <w:r>
        <w:t xml:space="preserve">ng sites in general, perhaps reflecting their increased resilience to mutation (see Supp. Section X, Table </w:t>
      </w:r>
      <w:proofErr w:type="spellStart"/>
      <w:r>
        <w:t>Sx</w:t>
      </w:r>
      <w:proofErr w:type="spellEnd"/>
      <w:r>
        <w:t>).</w:t>
      </w:r>
    </w:p>
    <w:p w14:paraId="17979B57" w14:textId="092F978A" w:rsidR="00AF33D2" w:rsidRDefault="00C444CC" w:rsidP="00685D12">
      <w:pPr>
        <w:pStyle w:val="NoSpacing"/>
      </w:pPr>
      <w:r>
        <w:t xml:space="preserve">When comparing the common regulators in approximately matched tumor and normal </w:t>
      </w:r>
      <w:r w:rsidR="00323981">
        <w:t xml:space="preserve">regulatory </w:t>
      </w:r>
      <w:r>
        <w:t>networks, rewiring (i.e., target changing) analysis may help to i</w:t>
      </w:r>
      <w:r>
        <w:t>dentify cancer-associated deregulation. Hence, we investigate</w:t>
      </w:r>
      <w:r w:rsidR="00323981">
        <w:t>d</w:t>
      </w:r>
      <w:r>
        <w:t xml:space="preserve"> rewiring events in TF networks using multiple formulations (see Supp. File/</w:t>
      </w:r>
      <w:proofErr w:type="gramStart"/>
      <w:r>
        <w:t>Section(</w:t>
      </w:r>
      <w:proofErr w:type="gramEnd"/>
      <w:r>
        <w:t xml:space="preserve">?) X). Specifically for </w:t>
      </w:r>
      <w:r w:rsidR="00323981">
        <w:t>the CLL example</w:t>
      </w:r>
      <w:r>
        <w:t>,</w:t>
      </w:r>
      <w:r w:rsidR="005E606B">
        <w:t xml:space="preserve"> </w:t>
      </w:r>
      <w:r>
        <w:t>we remove</w:t>
      </w:r>
      <w:r w:rsidR="00323981">
        <w:t>d</w:t>
      </w:r>
      <w:r>
        <w:t xml:space="preserve"> the gener</w:t>
      </w:r>
      <w:r>
        <w:t xml:space="preserve">al TFs and restricted our rewiring analysis to </w:t>
      </w:r>
      <w:r>
        <w:t>61</w:t>
      </w:r>
      <w:r w:rsidR="00323981">
        <w:t xml:space="preserve"> common TF </w:t>
      </w:r>
      <w:proofErr w:type="spellStart"/>
      <w:r w:rsidR="00323981">
        <w:t>ChIP-seq</w:t>
      </w:r>
      <w:proofErr w:type="spellEnd"/>
      <w:r w:rsidR="00323981">
        <w:t xml:space="preserve"> in K562 and GM12878 from ENCODE</w:t>
      </w:r>
      <w:r>
        <w:t xml:space="preserve"> (see Supp. File/</w:t>
      </w:r>
      <w:proofErr w:type="gramStart"/>
      <w:r>
        <w:t>Section(</w:t>
      </w:r>
      <w:proofErr w:type="gramEnd"/>
      <w:r>
        <w:t>?) X). We first rank</w:t>
      </w:r>
      <w:r w:rsidR="00323981">
        <w:t>ed</w:t>
      </w:r>
      <w:r>
        <w:t xml:space="preserve"> TFs according to</w:t>
      </w:r>
      <w:r w:rsidR="00323981">
        <w:t xml:space="preserve"> </w:t>
      </w:r>
      <w:r w:rsidR="00323981">
        <w:t>a “rewiring index” (Fig. 3 A, see also Supp. File/</w:t>
      </w:r>
      <w:proofErr w:type="gramStart"/>
      <w:r w:rsidR="00323981">
        <w:t>Section(</w:t>
      </w:r>
      <w:proofErr w:type="gramEnd"/>
      <w:r w:rsidR="00323981">
        <w:t>?) X)</w:t>
      </w:r>
      <w:r w:rsidR="00323981">
        <w:t>,</w:t>
      </w:r>
      <w:r w:rsidR="00323981">
        <w:t xml:space="preserve"> which calculates </w:t>
      </w:r>
      <w:r>
        <w:t xml:space="preserve">their respective number of lost and gained edges, </w:t>
      </w:r>
      <w:r w:rsidR="00323981">
        <w:t>O</w:t>
      </w:r>
      <w:r>
        <w:t>ncogen</w:t>
      </w:r>
      <w:r>
        <w:t xml:space="preserve">es </w:t>
      </w:r>
      <w:r>
        <w:t>such as MYC and NRF1</w:t>
      </w:r>
      <w:r>
        <w:t xml:space="preserve"> are among the top edge gainers. In contrast, IKZF1</w:t>
      </w:r>
      <w:r w:rsidR="00323981">
        <w:t>,</w:t>
      </w:r>
      <w:r>
        <w:t xml:space="preserve"> </w:t>
      </w:r>
      <w:r w:rsidR="00323981">
        <w:t xml:space="preserve">whose </w:t>
      </w:r>
      <w:r>
        <w:t xml:space="preserve">somatic mutations </w:t>
      </w:r>
      <w:r>
        <w:t>serve as a hallmark of high-risk acute lymphoblastic leukemia</w:t>
      </w:r>
      <w:r>
        <w:t xml:space="preserve"> is the most significant edge loser, with up to xxx% of lost edges in K562 (Fig 3</w:t>
      </w:r>
      <w:r>
        <w:t xml:space="preserve">A). </w:t>
      </w:r>
      <w:r w:rsidR="00323981">
        <w:t>However</w:t>
      </w:r>
      <w:r>
        <w:t>, several ubiquitously distributed TFs</w:t>
      </w:r>
      <w:r w:rsidR="00323981">
        <w:t>,</w:t>
      </w:r>
      <w:r w:rsidR="00F663D1">
        <w:t xml:space="preserve"> </w:t>
      </w:r>
      <w:r>
        <w:t>such as YY1</w:t>
      </w:r>
      <w:r w:rsidR="00323981">
        <w:t>,</w:t>
      </w:r>
      <w:r>
        <w:t xml:space="preserve"> retain their regulatory linkages (</w:t>
      </w:r>
      <w:r>
        <w:t xml:space="preserve">Fig 3A). We observe a similar trend in TFs using a distal, proximal and combined network (see details in supplementary file). </w:t>
      </w:r>
      <w:r w:rsidR="00323981">
        <w:t>W</w:t>
      </w:r>
      <w:r>
        <w:t>e also observe highly rewired TFs in lung and liver cancer</w:t>
      </w:r>
      <w:r w:rsidR="00685D12">
        <w:t>s</w:t>
      </w:r>
      <w:r>
        <w:t xml:space="preserve"> (see fig XX) </w:t>
      </w:r>
      <w:r w:rsidR="00685D12">
        <w:t>al</w:t>
      </w:r>
      <w:r>
        <w:t xml:space="preserve">though we do not have as many common TFs between tumor and normal cell lines for these tissues. </w:t>
      </w:r>
    </w:p>
    <w:p w14:paraId="2E2F1F1D" w14:textId="1956EF4F" w:rsidR="00AF33D2" w:rsidRDefault="00C444CC" w:rsidP="00AD1040">
      <w:pPr>
        <w:pStyle w:val="NoSpacing"/>
      </w:pPr>
      <w:r>
        <w:t xml:space="preserve">Our rewiring index only considers direct connections associated with a given TF. One </w:t>
      </w:r>
      <w:r>
        <w:t xml:space="preserve">may also consider </w:t>
      </w:r>
      <w:r w:rsidR="00685D12">
        <w:t xml:space="preserve">rewiring </w:t>
      </w:r>
      <w:r>
        <w:t>that include</w:t>
      </w:r>
      <w:r w:rsidR="00685D12">
        <w:t>s</w:t>
      </w:r>
      <w:r>
        <w:t xml:space="preserve"> not only direct connections, but also </w:t>
      </w:r>
      <w:r>
        <w:t xml:space="preserve">the whole neighborhood of connections </w:t>
      </w:r>
      <w:r>
        <w:t>a TF associates</w:t>
      </w:r>
      <w:r w:rsidR="008E7348">
        <w:t xml:space="preserve"> with</w:t>
      </w:r>
      <w:r>
        <w:t xml:space="preserve"> through </w:t>
      </w:r>
      <w:r>
        <w:t xml:space="preserve">membership and topic models. In particular, we used a mixed-membership model </w:t>
      </w:r>
      <w:r>
        <w:t xml:space="preserve">to </w:t>
      </w:r>
      <w:r w:rsidR="00F17A6C">
        <w:t>take a wide view of local gene neighborhoods, and</w:t>
      </w:r>
      <w:r>
        <w:t xml:space="preserve"> re-rank </w:t>
      </w:r>
      <w:r>
        <w:t>TFs</w:t>
      </w:r>
      <w:r w:rsidR="00F17A6C">
        <w:t xml:space="preserve"> accordingly</w:t>
      </w:r>
      <w:r>
        <w:t xml:space="preserve"> (see Supp. File/</w:t>
      </w:r>
      <w:proofErr w:type="gramStart"/>
      <w:r>
        <w:t>Section(</w:t>
      </w:r>
      <w:proofErr w:type="gramEnd"/>
      <w:r>
        <w:t>?) X). Similar patterns are observed using this model. We also observed that MYC (a well-known oncogene) becomes a top</w:t>
      </w:r>
      <w:r w:rsidR="00685D12">
        <w:t xml:space="preserve"> edge</w:t>
      </w:r>
      <w:r>
        <w:t xml:space="preserve"> gainer (Fig 3A). To study the consequences</w:t>
      </w:r>
      <w:r>
        <w:t xml:space="preserve"> of network rewiring under this model, we performed </w:t>
      </w:r>
      <w:r>
        <w:t>survival analysis on xxx AML patients</w:t>
      </w:r>
      <w:r w:rsidR="005E606B">
        <w:t xml:space="preserve"> </w:t>
      </w:r>
      <w:r w:rsidR="00685D12">
        <w:t>and found</w:t>
      </w:r>
      <w:r>
        <w:t xml:space="preserve"> IKZF1 to be significantly associated with tumor progression (see Supp. File/</w:t>
      </w:r>
      <w:proofErr w:type="gramStart"/>
      <w:r>
        <w:t>Section(</w:t>
      </w:r>
      <w:proofErr w:type="gramEnd"/>
      <w:r>
        <w:t>?) X).</w:t>
      </w:r>
    </w:p>
    <w:p w14:paraId="60C97273" w14:textId="37275DED" w:rsidR="00AF33D2" w:rsidRDefault="00C444CC" w:rsidP="00DC4C50">
      <w:pPr>
        <w:pStyle w:val="NoSpacing"/>
      </w:pPr>
      <w:r>
        <w:t xml:space="preserve">The combinatorial regulation of many TFs jointly determines the “ON” and “OFF” states of </w:t>
      </w:r>
      <w:r>
        <w:t>genes as part of maintaining homeostasis in healthy cells. The disruption of co-regulatory relationships for key elements in cancer cell lines ultimately results i</w:t>
      </w:r>
      <w:r>
        <w:t xml:space="preserve">n erroneous gene expression patterns. We quantified the co-association </w:t>
      </w:r>
      <w:r>
        <w:t>of each TF, and observe</w:t>
      </w:r>
      <w:r w:rsidR="00685D12">
        <w:t>d</w:t>
      </w:r>
      <w:r>
        <w:t xml:space="preserve"> major co-association changes in some of the key TFs when comparing the regulatory networks of K562 to GM12878. For example, ZNFXXX is a suppressor TF that</w:t>
      </w:r>
      <w:r>
        <w:t xml:space="preserve"> shows only marginal co-binding events in GM12878</w:t>
      </w:r>
      <w:r w:rsidR="00685D12">
        <w:t>, with</w:t>
      </w:r>
      <w:r>
        <w:t xml:space="preserve"> binding site</w:t>
      </w:r>
      <w:r>
        <w:t xml:space="preserve"> increases from xxx to xxx in K562. In addition, up to xxx% of its binding sites co-bind with other TFs</w:t>
      </w:r>
      <w:r w:rsidR="00685D12">
        <w:t xml:space="preserve"> (in which cell?)</w:t>
      </w:r>
      <w:r>
        <w:t xml:space="preserve">. </w:t>
      </w:r>
    </w:p>
    <w:p w14:paraId="2B389A98" w14:textId="690ADBE5" w:rsidR="00AF33D2" w:rsidRDefault="00C444CC" w:rsidP="00842301">
      <w:pPr>
        <w:pStyle w:val="NoSpacing"/>
      </w:pPr>
      <w:r>
        <w:t>A remaining uncertain</w:t>
      </w:r>
      <w:r w:rsidR="00F17A6C">
        <w:t>ty lies in the underlying cause</w:t>
      </w:r>
      <w:r>
        <w:t xml:space="preserve"> of this rewiring. </w:t>
      </w:r>
      <w:r>
        <w:t xml:space="preserve">Is it a direct effect of mutations, which could knock out a binding site? Or it is due to indirect effects of chromatin changes, which could cover and uncover binding sites? We find that </w:t>
      </w:r>
      <w:r w:rsidR="00685D12">
        <w:t>a</w:t>
      </w:r>
      <w:r w:rsidR="00685D12">
        <w:t xml:space="preserve"> </w:t>
      </w:r>
      <w:r>
        <w:t>majority of rewiring events result from changes in chromatin stat</w:t>
      </w:r>
      <w:r>
        <w:t>us, rather than from variant-induced loss or gain events (Fig. 3A). For example, JUND is a top gainer in K562 (with xxx gains an</w:t>
      </w:r>
      <w:r w:rsidR="00F17A6C">
        <w:t>d xx losses). We find that many</w:t>
      </w:r>
      <w:r>
        <w:t xml:space="preserve"> of the gain/loss events are associated with substantial expression changes (of at least 2-fold)</w:t>
      </w:r>
      <w:r>
        <w:t xml:space="preserve"> and </w:t>
      </w:r>
      <w:r>
        <w:lastRenderedPageBreak/>
        <w:t xml:space="preserve">changes to chromatin states. </w:t>
      </w:r>
      <w:r w:rsidR="00685D12">
        <w:t>O</w:t>
      </w:r>
      <w:r>
        <w:t xml:space="preserve">nly xxx percent of them could be potentially due to direct motif loss/gain effects. (Fig. 3D). </w:t>
      </w:r>
    </w:p>
    <w:p w14:paraId="358F7384" w14:textId="77777777" w:rsidR="00AF33D2" w:rsidRDefault="00AF33D2" w:rsidP="00842301">
      <w:pPr>
        <w:pStyle w:val="NoSpacing"/>
      </w:pPr>
    </w:p>
    <w:p w14:paraId="5B4F4E91" w14:textId="1138B686" w:rsidR="00AF33D2" w:rsidRDefault="00C444CC">
      <w:pPr>
        <w:pStyle w:val="Heading2"/>
      </w:pPr>
      <w:r>
        <w:t>I</w:t>
      </w:r>
      <w:r>
        <w:t xml:space="preserve">ntegrating ENCODE data with </w:t>
      </w:r>
      <w:r w:rsidR="00685D12">
        <w:t>tumor</w:t>
      </w:r>
      <w:r w:rsidR="00685D12">
        <w:t xml:space="preserve"> </w:t>
      </w:r>
      <w:r>
        <w:t>expression profiles identifies key regulators in cancer</w:t>
      </w:r>
    </w:p>
    <w:p w14:paraId="73DFE5AF" w14:textId="77777777" w:rsidR="00AA7A4A" w:rsidRDefault="00685D12" w:rsidP="00685D12">
      <w:pPr>
        <w:pStyle w:val="NoSpacing"/>
      </w:pPr>
      <w:r w:rsidRPr="00C81961">
        <w:t>Using a regression-based learning method</w:t>
      </w:r>
      <w:r w:rsidDel="008C5EDC">
        <w:t xml:space="preserve"> </w:t>
      </w:r>
      <w:r>
        <w:t>(</w:t>
      </w:r>
      <w:r w:rsidRPr="00B65F54">
        <w:t>see Supp. File/</w:t>
      </w:r>
      <w:proofErr w:type="gramStart"/>
      <w:r w:rsidRPr="00B65F54">
        <w:t>Section(</w:t>
      </w:r>
      <w:proofErr w:type="gramEnd"/>
      <w:r w:rsidRPr="00B65F54">
        <w:t>?) X</w:t>
      </w:r>
      <w:r>
        <w:t>), we integrated the molecular profiles of 8,202 TCGA tumors with 921 ENCODE regulatory binding profiles to systematically search for TFs</w:t>
      </w:r>
      <w:r w:rsidRPr="00C5692C">
        <w:t xml:space="preserve"> </w:t>
      </w:r>
      <w:r>
        <w:t xml:space="preserve">and RBPs </w:t>
      </w:r>
      <w:r w:rsidRPr="00C5692C">
        <w:t>that drive tumor</w:t>
      </w:r>
      <w:r>
        <w:t>-</w:t>
      </w:r>
      <w:r w:rsidRPr="00C5692C">
        <w:t>specific expression patterns</w:t>
      </w:r>
      <w:r>
        <w:t xml:space="preserve"> (Table </w:t>
      </w:r>
      <w:proofErr w:type="spellStart"/>
      <w:r>
        <w:t>Sx</w:t>
      </w:r>
      <w:proofErr w:type="spellEnd"/>
      <w:r>
        <w:t>). For each tumor sample, our integration framework selects a set of regulator binding profiles to best explain the expression difference between the tumor sample and normal controls. For each cancer type, our framework further tests whether the regulatory targets identified in a ENCODE experiment are sufficiently correlated with the regulator’s molecular status across tumors. The final output of our framework is the estimated fraction of patients with target genes differentially regulated between each pair of cancer type and regulator (</w:t>
      </w:r>
      <w:r w:rsidRPr="00B65F54">
        <w:t>see Supp. File/</w:t>
      </w:r>
      <w:proofErr w:type="gramStart"/>
      <w:r w:rsidRPr="00B65F54">
        <w:t>Section(</w:t>
      </w:r>
      <w:proofErr w:type="gramEnd"/>
      <w:r w:rsidRPr="00B65F54">
        <w:t>?) X</w:t>
      </w:r>
      <w:r>
        <w:t xml:space="preserve">). </w:t>
      </w:r>
    </w:p>
    <w:p w14:paraId="5070C475" w14:textId="2A5D72E1" w:rsidR="00DF356D" w:rsidRDefault="00AA7A4A" w:rsidP="00DE2951">
      <w:pPr>
        <w:pStyle w:val="NoSpacing"/>
      </w:pPr>
      <w:r w:rsidRPr="00AA7A4A">
        <w:t xml:space="preserve">The overall trends for the key TFs and RBPs detected are given in Fig. 4A. The predicted impacts of regulators on tumor gene expression are highly consistent with previous findings. For example, we find that the target genes of MYC are significantly up-regulated in numerous cancers (star in Fig </w:t>
      </w:r>
      <w:proofErr w:type="spellStart"/>
      <w:r w:rsidRPr="00AA7A4A">
        <w:t>Sx</w:t>
      </w:r>
      <w:proofErr w:type="spellEnd"/>
      <w:r w:rsidRPr="00AA7A4A">
        <w:t xml:space="preserve">), which is consistent with the known role of MYC as an oncogenic TF. In addition to recapitulating existing knowledge from previous studies, our analysis also predicts previously unidentified functions for regulators in cancer. For example, the predicted targets of the RBP SUB1 were significantly up-regulated in many cancer types (Fig. 4C). Moreover, the up-regulation of SUB1 target genes is correlated with a worse patient survival in cancer types such as lung cancer (Fig. 4). Previously, SUB1 was considered as a TF. However, the ENCODE </w:t>
      </w:r>
      <w:proofErr w:type="spellStart"/>
      <w:r w:rsidRPr="00AA7A4A">
        <w:t>eCLIP</w:t>
      </w:r>
      <w:proofErr w:type="spellEnd"/>
      <w:r w:rsidRPr="00AA7A4A">
        <w:t xml:space="preserve"> experiment has pr</w:t>
      </w:r>
      <w:r w:rsidR="00DF356D">
        <w:t xml:space="preserve">ofiled many SUB1 peaks on gene </w:t>
      </w:r>
      <w:r w:rsidRPr="00AA7A4A">
        <w:t>3</w:t>
      </w:r>
      <w:r w:rsidR="00DF356D">
        <w:t>’</w:t>
      </w:r>
      <w:r w:rsidRPr="00AA7A4A">
        <w:t>UTR regions (</w:t>
      </w:r>
      <w:proofErr w:type="spellStart"/>
      <w:r w:rsidRPr="00AA7A4A">
        <w:t>Supp</w:t>
      </w:r>
      <w:proofErr w:type="spellEnd"/>
      <w:r w:rsidRPr="00AA7A4A">
        <w:t xml:space="preserve"> Fig. X). In HepG2 cell</w:t>
      </w:r>
      <w:r w:rsidR="00F17A6C">
        <w:t>s</w:t>
      </w:r>
      <w:r w:rsidRPr="00AA7A4A">
        <w:t xml:space="preserve"> where SUB1 </w:t>
      </w:r>
      <w:proofErr w:type="spellStart"/>
      <w:r w:rsidRPr="00AA7A4A">
        <w:t>eCLIP</w:t>
      </w:r>
      <w:proofErr w:type="spellEnd"/>
      <w:r w:rsidRPr="00AA7A4A">
        <w:t xml:space="preserve"> experiment was done, the dec</w:t>
      </w:r>
      <w:r w:rsidR="00F17A6C">
        <w:t>ay rate of SUB1 target genes is</w:t>
      </w:r>
      <w:r w:rsidRPr="00AA7A4A">
        <w:t xml:space="preserve"> significantly shorter than non-targets (Fig. 4C). After knoc</w:t>
      </w:r>
      <w:r w:rsidR="00F17A6C">
        <w:t>k-down of</w:t>
      </w:r>
      <w:r w:rsidRPr="00AA7A4A">
        <w:t xml:space="preserve"> SUB1, its predicted targets are also down regulated comparing to other genes (Fig. 4D). These results indicate that SUB1 may bind gene 3’UTR regions to stabilize transcript level</w:t>
      </w:r>
      <w:r w:rsidR="00F17A6C">
        <w:t>s</w:t>
      </w:r>
      <w:r w:rsidRPr="00AA7A4A">
        <w:t>. From our integrated analysis, higher SUB1 activity through regulatory binding on 3’UTR regions is likely to drive tumor specific expression patterns in many cancer types.</w:t>
      </w:r>
    </w:p>
    <w:p w14:paraId="2407EA96" w14:textId="77777777" w:rsidR="00DE2951" w:rsidRDefault="00DE2951" w:rsidP="00DE2951">
      <w:pPr>
        <w:pStyle w:val="NoSpacing"/>
        <w:ind w:firstLine="0"/>
      </w:pPr>
    </w:p>
    <w:p w14:paraId="2E8DB664" w14:textId="07DBBDBE" w:rsidR="00DF356D" w:rsidRDefault="00DF356D" w:rsidP="00DF356D">
      <w:pPr>
        <w:pStyle w:val="Heading2"/>
      </w:pPr>
      <w:r>
        <w:t>Step-wise prioritization schemes pinpoint deleterious SNVs in cancer</w:t>
      </w:r>
    </w:p>
    <w:p w14:paraId="140ADDAB" w14:textId="77777777" w:rsidR="00DF356D" w:rsidRDefault="00DF356D" w:rsidP="00685D12">
      <w:pPr>
        <w:pStyle w:val="NoSpacing"/>
      </w:pPr>
    </w:p>
    <w:p w14:paraId="0AD17E03" w14:textId="6D71FF62" w:rsidR="00AF33D2" w:rsidRDefault="00C444CC" w:rsidP="00685D12">
      <w:pPr>
        <w:pStyle w:val="NoSpacing"/>
      </w:pPr>
      <w:r>
        <w:t xml:space="preserve">The above description of </w:t>
      </w:r>
      <w:r>
        <w:t>regulatory network</w:t>
      </w:r>
      <w:r w:rsidR="00F17A6C">
        <w:t>s</w:t>
      </w:r>
      <w:r>
        <w:t xml:space="preserve"> and </w:t>
      </w:r>
      <w:r>
        <w:t xml:space="preserve">mutation recurrence provide </w:t>
      </w:r>
      <w:r w:rsidR="00F216DE">
        <w:t>an approach</w:t>
      </w:r>
      <w:r>
        <w:t xml:space="preserve"> to prioritize key genomic features associated with cancer. The workflow in Fig.5 A describes this prioritization scheme in </w:t>
      </w:r>
      <w:r>
        <w:t>a systematic fashion. First, we start by searching for key regulators that</w:t>
      </w:r>
      <w:r>
        <w:t xml:space="preserve"> frequently rewire</w:t>
      </w:r>
      <w:r w:rsidR="00F216DE">
        <w:t>,</w:t>
      </w:r>
      <w:r w:rsidR="00DE2951">
        <w:t xml:space="preserve"> </w:t>
      </w:r>
      <w:r w:rsidR="00F216DE">
        <w:t xml:space="preserve">locate in </w:t>
      </w:r>
      <w:r w:rsidR="00CB78A2">
        <w:t>network hubs or at the</w:t>
      </w:r>
      <w:r>
        <w:t xml:space="preserve"> top of </w:t>
      </w:r>
      <w:r w:rsidR="00CB78A2">
        <w:t>a</w:t>
      </w:r>
      <w:r>
        <w:t xml:space="preserve"> network hierarchy</w:t>
      </w:r>
      <w:r w:rsidR="00F216DE">
        <w:t>,</w:t>
      </w:r>
      <w:r>
        <w:t xml:space="preserve"> or</w:t>
      </w:r>
      <w:r>
        <w:t xml:space="preserve"> significantly drive </w:t>
      </w:r>
      <w:r>
        <w:t>expression changes</w:t>
      </w:r>
      <w:r w:rsidR="00F216DE">
        <w:t xml:space="preserve"> in cancer</w:t>
      </w:r>
      <w:r>
        <w:t>. We then prioritize functional</w:t>
      </w:r>
      <w:r>
        <w:t xml:space="preserve"> elements that are associated with </w:t>
      </w:r>
      <w:r w:rsidR="00F216DE">
        <w:t xml:space="preserve">top </w:t>
      </w:r>
      <w:r>
        <w:t>regulators, undergo large regulatory and chromatin changes, or (most importantly) are highly mutated in tumor</w:t>
      </w:r>
      <w:r w:rsidR="00F216DE">
        <w:t>s</w:t>
      </w:r>
      <w:r>
        <w:t>. Finally, on a nucleotide level, we can pinpoint impactful SNVs for small-scale func</w:t>
      </w:r>
      <w:r w:rsidR="00CB78A2">
        <w:t xml:space="preserve">tional characterization, </w:t>
      </w:r>
      <w:r w:rsidR="00CB78A2" w:rsidRPr="00CB78A2">
        <w:t xml:space="preserve">related </w:t>
      </w:r>
      <w:r w:rsidR="00CB78A2">
        <w:t>to their disruption or creation of</w:t>
      </w:r>
      <w:r w:rsidR="00CB78A2" w:rsidRPr="00CB78A2">
        <w:t xml:space="preserve"> specific binding sites,</w:t>
      </w:r>
      <w:r w:rsidR="00CB78A2">
        <w:t xml:space="preserve"> or</w:t>
      </w:r>
      <w:r w:rsidR="00CB78A2" w:rsidRPr="00CB78A2">
        <w:t xml:space="preserve"> induced chromatin changes, or position in areas of</w:t>
      </w:r>
      <w:r w:rsidR="00CB78A2">
        <w:t xml:space="preserve"> particularly high conservation</w:t>
      </w:r>
      <w:r w:rsidR="00CB78A2" w:rsidRPr="00CB78A2">
        <w:t>.</w:t>
      </w:r>
    </w:p>
    <w:p w14:paraId="21DC000D" w14:textId="3F8E54F1" w:rsidR="00AF33D2" w:rsidRDefault="00C444CC" w:rsidP="00685D12">
      <w:pPr>
        <w:pStyle w:val="NoSpacing"/>
        <w:rPr>
          <w:rFonts w:eastAsia="Times New Roman" w:cs="Times New Roman"/>
        </w:rPr>
      </w:pPr>
      <w:r>
        <w:t xml:space="preserve">Using this framework, we subject a number of key regulators (such as </w:t>
      </w:r>
      <w:r w:rsidR="00F216DE">
        <w:t xml:space="preserve">MYC </w:t>
      </w:r>
      <w:r>
        <w:t>and SUB1) to</w:t>
      </w:r>
      <w:r w:rsidR="00F216DE">
        <w:t xml:space="preserve"> siRNA</w:t>
      </w:r>
      <w:r>
        <w:t xml:space="preserve"> knock</w:t>
      </w:r>
      <w:r w:rsidR="00F216DE">
        <w:t>-</w:t>
      </w:r>
      <w:r>
        <w:t xml:space="preserve">down </w:t>
      </w:r>
      <w:r>
        <w:t>to validate their regulat</w:t>
      </w:r>
      <w:r w:rsidR="00F216DE">
        <w:t>ory</w:t>
      </w:r>
      <w:r w:rsidR="00CB78A2">
        <w:t xml:space="preserve"> effect</w:t>
      </w:r>
      <w:r>
        <w:t xml:space="preserve"> (Fig 4D). We then identified several active enhancers in noncoding regions, and validated their ability to </w:t>
      </w:r>
      <w:r w:rsidR="00F216DE">
        <w:t>influence</w:t>
      </w:r>
      <w:r w:rsidR="00F216DE">
        <w:t xml:space="preserve"> </w:t>
      </w:r>
      <w:r>
        <w:t xml:space="preserve">transcription using </w:t>
      </w:r>
      <w:r>
        <w:lastRenderedPageBreak/>
        <w:t>luciferase assays (see Supp. File/</w:t>
      </w:r>
      <w:proofErr w:type="gramStart"/>
      <w:r>
        <w:t>Section(</w:t>
      </w:r>
      <w:proofErr w:type="gramEnd"/>
      <w:r>
        <w:t xml:space="preserve">?) X). </w:t>
      </w:r>
      <w:proofErr w:type="gramStart"/>
      <w:r w:rsidR="00F216DE">
        <w:t>We</w:t>
      </w:r>
      <w:proofErr w:type="gramEnd"/>
      <w:r>
        <w:t xml:space="preserve"> further selected key SNVs within these enhancers that are important for gene expression control (table </w:t>
      </w:r>
      <w:proofErr w:type="spellStart"/>
      <w:r>
        <w:t>Sx</w:t>
      </w:r>
      <w:proofErr w:type="spellEnd"/>
      <w:r>
        <w:t xml:space="preserve">). Of the </w:t>
      </w:r>
      <w:r w:rsidR="00F216DE">
        <w:t>eight</w:t>
      </w:r>
      <w:r>
        <w:t xml:space="preserve"> motif-disrupting SNVs that we tested, </w:t>
      </w:r>
      <w:r w:rsidR="00F216DE">
        <w:t>six showed</w:t>
      </w:r>
      <w:r w:rsidR="00CB78A2">
        <w:t xml:space="preserve"> a</w:t>
      </w:r>
      <w:r w:rsidR="00BA0DF1">
        <w:t xml:space="preserve"> </w:t>
      </w:r>
      <w:r>
        <w:t>consistent up- or down-regula</w:t>
      </w:r>
      <w:r w:rsidR="00F216DE">
        <w:t>tion</w:t>
      </w:r>
      <w:r w:rsidR="00CB78A2">
        <w:t xml:space="preserve"> effect o</w:t>
      </w:r>
      <w:r w:rsidR="00F216DE">
        <w:t>n expression</w:t>
      </w:r>
      <w:r>
        <w:t xml:space="preserve"> relative to </w:t>
      </w:r>
      <w:r>
        <w:t>wild type</w:t>
      </w:r>
      <w:r>
        <w:t xml:space="preserve"> (Fig. 5B and Supp. File/Section(?) X). One pa</w:t>
      </w:r>
      <w:r w:rsidR="00CB78A2">
        <w:t xml:space="preserve">rticularly interesting example </w:t>
      </w:r>
      <w:r>
        <w:t>illus</w:t>
      </w:r>
      <w:r w:rsidR="00CB78A2">
        <w:t>trating ENCODE data integration</w:t>
      </w:r>
      <w:r>
        <w:t xml:space="preserve"> is on chromosome 6, 13.5xxx (Fig. 5C). This enhancer is located in a noncoding region. Both histone modification and DHS signals </w:t>
      </w:r>
      <w:r w:rsidR="00CB78A2">
        <w:t>indicate an active regulatory role</w:t>
      </w:r>
      <w:r>
        <w:t xml:space="preserve"> </w:t>
      </w:r>
      <w:r>
        <w:t xml:space="preserve">(Fig. 5C), and both our </w:t>
      </w:r>
      <w:proofErr w:type="spellStart"/>
      <w:r>
        <w:t>HisShape</w:t>
      </w:r>
      <w:proofErr w:type="spellEnd"/>
      <w:r>
        <w:t xml:space="preserve"> enhancer prediction method and </w:t>
      </w:r>
      <w:proofErr w:type="spellStart"/>
      <w:r>
        <w:t>EnhancerSeq</w:t>
      </w:r>
      <w:proofErr w:type="spellEnd"/>
      <w:r>
        <w:t xml:space="preserve"> experiment</w:t>
      </w:r>
      <w:r>
        <w:t xml:space="preserve"> </w:t>
      </w:r>
      <w:r w:rsidR="00F216DE">
        <w:t xml:space="preserve">support its </w:t>
      </w:r>
      <w:r>
        <w:t>enhancer</w:t>
      </w:r>
      <w:r w:rsidR="00F216DE">
        <w:t xml:space="preserve"> function</w:t>
      </w:r>
      <w:r>
        <w:t xml:space="preserve"> (Fig. 5D). Hi-C and </w:t>
      </w:r>
      <w:proofErr w:type="spellStart"/>
      <w:r>
        <w:t>ChIA</w:t>
      </w:r>
      <w:proofErr w:type="spellEnd"/>
      <w:r>
        <w:t>-PET data link this region to a downstream gene SYCP2. 21 out of the 52</w:t>
      </w:r>
      <w:r>
        <w:t xml:space="preserve"> </w:t>
      </w:r>
      <w:proofErr w:type="spellStart"/>
      <w:r>
        <w:t>ChIP-Seq</w:t>
      </w:r>
      <w:proofErr w:type="spellEnd"/>
      <w:r>
        <w:t xml:space="preserve"> experiments demonstrate that the region has high </w:t>
      </w:r>
      <w:r w:rsidR="00F216DE">
        <w:t xml:space="preserve">frequency chromatin interactions, </w:t>
      </w:r>
      <w:r>
        <w:t>and motif analysis predicts th</w:t>
      </w:r>
      <w:r w:rsidR="00F216DE">
        <w:t>e</w:t>
      </w:r>
      <w:r>
        <w:t xml:space="preserve"> C to G mutation </w:t>
      </w:r>
      <w:r>
        <w:t xml:space="preserve">significantly disrupts </w:t>
      </w:r>
      <w:r>
        <w:t>FOLS2 binding affinity (see Supp. File/</w:t>
      </w:r>
      <w:proofErr w:type="gramStart"/>
      <w:r>
        <w:t>Section(</w:t>
      </w:r>
      <w:proofErr w:type="gramEnd"/>
      <w:r>
        <w:t xml:space="preserve">?) X). </w:t>
      </w:r>
      <w:r w:rsidR="00F216DE">
        <w:t>L</w:t>
      </w:r>
      <w:r>
        <w:t>uciferase assa</w:t>
      </w:r>
      <w:r>
        <w:t>y</w:t>
      </w:r>
      <w:r w:rsidR="00F216DE">
        <w:t>s</w:t>
      </w:r>
      <w:r>
        <w:t xml:space="preserve"> demonstrate</w:t>
      </w:r>
      <w:r>
        <w:t xml:space="preserve"> that this m</w:t>
      </w:r>
      <w:r>
        <w:t xml:space="preserve">utation introduces an xx-fold reduction in expression relative to wild type expression levels, indicating a strong repressive effect </w:t>
      </w:r>
      <w:r w:rsidR="00CB78A2">
        <w:t>on this enhancer’s function</w:t>
      </w:r>
      <w:r>
        <w:t xml:space="preserve">. </w:t>
      </w:r>
    </w:p>
    <w:p w14:paraId="0FFAA6BA" w14:textId="77777777" w:rsidR="00AF33D2" w:rsidRDefault="00C444CC">
      <w:pPr>
        <w:pStyle w:val="Heading2"/>
      </w:pPr>
      <w:bookmarkStart w:id="1" w:name="_yhiuisza6bc0"/>
      <w:bookmarkEnd w:id="1"/>
      <w:r>
        <w:t>C</w:t>
      </w:r>
      <w:r>
        <w:t>onclusion</w:t>
      </w:r>
    </w:p>
    <w:p w14:paraId="714E9726" w14:textId="4DA9EBCD" w:rsidR="00AF33D2" w:rsidRDefault="00C444CC" w:rsidP="00AE0B54">
      <w:pPr>
        <w:pStyle w:val="NoSpacing"/>
      </w:pPr>
      <w:r>
        <w:t>This study highlights the values of ENCODE as a resource for cancer research,</w:t>
      </w:r>
      <w:r>
        <w:t xml:space="preserve"> and leverages ENCODE to provide a </w:t>
      </w:r>
      <w:r>
        <w:t xml:space="preserve">prioritization scheme to pinpoint key regulatory elements and SNVs for small-scale validations. </w:t>
      </w:r>
      <w:r w:rsidR="00CB78A2">
        <w:t>A key aspect</w:t>
      </w:r>
      <w:r>
        <w:t xml:space="preserve"> of our analysis</w:t>
      </w:r>
      <w:r w:rsidR="00CB78A2">
        <w:t>,</w:t>
      </w:r>
      <w:r>
        <w:t xml:space="preserve"> </w:t>
      </w:r>
      <w:r w:rsidR="00CB78A2">
        <w:t>is that it</w:t>
      </w:r>
      <w:r>
        <w:t xml:space="preserve"> scales with larger</w:t>
      </w:r>
      <w:r w:rsidR="00CB78A2">
        <w:t xml:space="preserve"> quantities of data,</w:t>
      </w:r>
      <w:r>
        <w:t xml:space="preserve"> </w:t>
      </w:r>
      <w:r>
        <w:t>and more diverse data types. In partic</w:t>
      </w:r>
      <w:r>
        <w:t>ular, we anticipate that higher quality</w:t>
      </w:r>
      <w:r w:rsidR="00F216DE">
        <w:t xml:space="preserve"> annotations of</w:t>
      </w:r>
      <w:r>
        <w:t xml:space="preserve"> non-coding </w:t>
      </w:r>
      <w:r w:rsidR="00F216DE">
        <w:t xml:space="preserve">elements </w:t>
      </w:r>
      <w:r>
        <w:t>through progressively more accurate Enhancer-</w:t>
      </w:r>
      <w:proofErr w:type="spellStart"/>
      <w:r>
        <w:t>seq</w:t>
      </w:r>
      <w:proofErr w:type="spellEnd"/>
      <w:r>
        <w:t xml:space="preserve"> experiments and deeper Hi-C experiments</w:t>
      </w:r>
      <w:r>
        <w:t xml:space="preserve"> will</w:t>
      </w:r>
      <w:r w:rsidR="00BA0DF1">
        <w:t xml:space="preserve"> </w:t>
      </w:r>
      <w:r w:rsidR="00F216DE">
        <w:t>link them better with target genes</w:t>
      </w:r>
      <w:r w:rsidR="00AE0B54">
        <w:t>. Likewise,</w:t>
      </w:r>
      <w:r>
        <w:t xml:space="preserve"> </w:t>
      </w:r>
      <w:r w:rsidR="00AE0B54">
        <w:t xml:space="preserve">mutation </w:t>
      </w:r>
      <w:r>
        <w:t>recurrence analysis can be further improved by collecting b</w:t>
      </w:r>
      <w:r>
        <w:t>etter-matched data sets</w:t>
      </w:r>
      <w:r w:rsidR="00393D04">
        <w:t>,</w:t>
      </w:r>
      <w:r>
        <w:t xml:space="preserve"> and expanding the size of tumor cohorts. </w:t>
      </w:r>
      <w:r w:rsidR="00AD1040">
        <w:t xml:space="preserve">In that the analyses presented here improve </w:t>
      </w:r>
      <w:r w:rsidR="00393D04">
        <w:t>with increasing</w:t>
      </w:r>
      <w:bookmarkStart w:id="2" w:name="_GoBack"/>
      <w:bookmarkEnd w:id="2"/>
      <w:r w:rsidR="00AD1040">
        <w:t xml:space="preserve"> data integration, it provides future investigations with a blueprint for similar studies going forward. By amassing ever-larger data sets, we may obtain a more accurate picture of the cancer genome through large-scale data integration.</w:t>
      </w:r>
    </w:p>
    <w:sectPr w:rsidR="00AF33D2">
      <w:footerReference w:type="default" r:id="rId10"/>
      <w:pgSz w:w="12240" w:h="15840"/>
      <w:pgMar w:top="1440" w:right="1800" w:bottom="1440" w:left="1800" w:header="0" w:footer="720" w:gutter="0"/>
      <w:cols w:space="720"/>
      <w:formProt w:val="0"/>
      <w:docGrid w:linePitch="360"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trick" w:date="2017-03-02T16:18:00Z" w:initials="P">
    <w:p w14:paraId="00F0A0C3" w14:textId="7712BDF5" w:rsidR="00842301" w:rsidRDefault="00842301">
      <w:pPr>
        <w:pStyle w:val="CommentText"/>
      </w:pPr>
      <w:r>
        <w:rPr>
          <w:rStyle w:val="CommentReference"/>
        </w:rPr>
        <w:annotationRef/>
      </w:r>
      <w:r>
        <w:t>SL advised deleting these two paragraphs.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F0A0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6CBDE" w14:textId="77777777" w:rsidR="00C444CC" w:rsidRDefault="00C444CC">
      <w:r>
        <w:separator/>
      </w:r>
    </w:p>
  </w:endnote>
  <w:endnote w:type="continuationSeparator" w:id="0">
    <w:p w14:paraId="7761C68F" w14:textId="77777777" w:rsidR="00C444CC" w:rsidRDefault="00C4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20603050405020304"/>
    <w:charset w:val="4D"/>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BD314" w14:textId="77777777" w:rsidR="00AF33D2" w:rsidRDefault="00C444CC">
    <w:pPr>
      <w:pStyle w:val="Footer"/>
      <w:ind w:right="360"/>
    </w:pPr>
    <w:r>
      <w:rPr>
        <w:noProof/>
      </w:rPr>
      <mc:AlternateContent>
        <mc:Choice Requires="wps">
          <w:drawing>
            <wp:anchor distT="0" distB="0" distL="0" distR="0" simplePos="0" relativeHeight="2" behindDoc="1" locked="0" layoutInCell="1" allowOverlap="1" wp14:anchorId="5D55E85D" wp14:editId="43C032E4">
              <wp:simplePos x="0" y="0"/>
              <wp:positionH relativeFrom="margin">
                <wp:align>right</wp:align>
              </wp:positionH>
              <wp:positionV relativeFrom="paragraph">
                <wp:posOffset>635</wp:posOffset>
              </wp:positionV>
              <wp:extent cx="77470"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3F6D3F60" w14:textId="77777777" w:rsidR="00AF33D2" w:rsidRDefault="00C444CC">
                          <w:pPr>
                            <w:pStyle w:val="Footer"/>
                            <w:rPr>
                              <w:color w:val="auto"/>
                            </w:rPr>
                          </w:pPr>
                          <w:r>
                            <w:rPr>
                              <w:color w:val="auto"/>
                            </w:rPr>
                            <w:fldChar w:fldCharType="begin"/>
                          </w:r>
                          <w:r>
                            <w:instrText>PAGE</w:instrText>
                          </w:r>
                          <w:r>
                            <w:fldChar w:fldCharType="separate"/>
                          </w:r>
                          <w:r w:rsidR="00393D04">
                            <w:rPr>
                              <w:noProof/>
                            </w:rPr>
                            <w:t>6</w:t>
                          </w:r>
                          <w:r>
                            <w:fldChar w:fldCharType="end"/>
                          </w:r>
                        </w:p>
                      </w:txbxContent>
                    </wps:txbx>
                    <wps:bodyPr lIns="0" tIns="0" rIns="0" bIns="0">
                      <a:spAutoFit/>
                    </wps:bodyPr>
                  </wps:wsp>
                </a:graphicData>
              </a:graphic>
            </wp:anchor>
          </w:drawing>
        </mc:Choice>
        <mc:Fallback>
          <w:pict>
            <v:rect w14:anchorId="5D55E85D" id="Frame1" o:spid="_x0000_s1026" style="position:absolute;margin-left:-45.1pt;margin-top:.05pt;width:6.1pt;height:13.7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" filled="f" stroked="f">
              <v:textbox style="mso-fit-shape-to-text:t" inset="0,0,0,0">
                <w:txbxContent>
                  <w:p w14:paraId="3F6D3F60" w14:textId="77777777" w:rsidR="00AF33D2" w:rsidRDefault="00C444CC">
                    <w:pPr>
                      <w:pStyle w:val="Footer"/>
                      <w:rPr>
                        <w:color w:val="auto"/>
                      </w:rPr>
                    </w:pPr>
                    <w:r>
                      <w:rPr>
                        <w:color w:val="auto"/>
                      </w:rPr>
                      <w:fldChar w:fldCharType="begin"/>
                    </w:r>
                    <w:r>
                      <w:instrText>PAGE</w:instrText>
                    </w:r>
                    <w:r>
                      <w:fldChar w:fldCharType="separate"/>
                    </w:r>
                    <w:r w:rsidR="00393D04">
                      <w:rPr>
                        <w:noProof/>
                      </w:rPr>
                      <w:t>6</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955BB" w14:textId="77777777" w:rsidR="00C444CC" w:rsidRDefault="00C444CC">
      <w:r>
        <w:separator/>
      </w:r>
    </w:p>
  </w:footnote>
  <w:footnote w:type="continuationSeparator" w:id="0">
    <w:p w14:paraId="6C5774BC" w14:textId="77777777" w:rsidR="00C444CC" w:rsidRDefault="00C444C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w15:presenceInfo w15:providerId="None" w15:userId="Pat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D2"/>
    <w:rsid w:val="000647EE"/>
    <w:rsid w:val="000873DB"/>
    <w:rsid w:val="000F3843"/>
    <w:rsid w:val="00136151"/>
    <w:rsid w:val="001711CB"/>
    <w:rsid w:val="00323981"/>
    <w:rsid w:val="00354323"/>
    <w:rsid w:val="00393D04"/>
    <w:rsid w:val="004D4F3A"/>
    <w:rsid w:val="00512344"/>
    <w:rsid w:val="00523AAD"/>
    <w:rsid w:val="005E606B"/>
    <w:rsid w:val="00662A31"/>
    <w:rsid w:val="00685D12"/>
    <w:rsid w:val="006E3772"/>
    <w:rsid w:val="007C3224"/>
    <w:rsid w:val="00804235"/>
    <w:rsid w:val="008231D1"/>
    <w:rsid w:val="00842301"/>
    <w:rsid w:val="00860D1A"/>
    <w:rsid w:val="008E7348"/>
    <w:rsid w:val="009725F2"/>
    <w:rsid w:val="009C6DF1"/>
    <w:rsid w:val="00A46F05"/>
    <w:rsid w:val="00AA7A4A"/>
    <w:rsid w:val="00AD1040"/>
    <w:rsid w:val="00AD2207"/>
    <w:rsid w:val="00AE0B54"/>
    <w:rsid w:val="00AF33D2"/>
    <w:rsid w:val="00B57E1C"/>
    <w:rsid w:val="00BA0DF1"/>
    <w:rsid w:val="00BC242C"/>
    <w:rsid w:val="00C444CC"/>
    <w:rsid w:val="00C52B3E"/>
    <w:rsid w:val="00CB78A2"/>
    <w:rsid w:val="00CD3F34"/>
    <w:rsid w:val="00D66AFA"/>
    <w:rsid w:val="00D86EC2"/>
    <w:rsid w:val="00D96AAD"/>
    <w:rsid w:val="00DC4C50"/>
    <w:rsid w:val="00DE2951"/>
    <w:rsid w:val="00DF356D"/>
    <w:rsid w:val="00E57130"/>
    <w:rsid w:val="00E92184"/>
    <w:rsid w:val="00EB3CDD"/>
    <w:rsid w:val="00F11F0F"/>
    <w:rsid w:val="00F13412"/>
    <w:rsid w:val="00F17A6C"/>
    <w:rsid w:val="00F216DE"/>
    <w:rsid w:val="00F663D1"/>
    <w:rsid w:val="00F75B3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B890"/>
  <w15:docId w15:val="{E2731830-245C-42A3-B1C2-6CE0F22C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CD9"/>
    <w:rPr>
      <w:rFonts w:ascii="Times New Roman" w:hAnsi="Times New Roman"/>
      <w:color w:val="00000A"/>
      <w:sz w:val="24"/>
    </w:rPr>
  </w:style>
  <w:style w:type="paragraph" w:styleId="Heading1">
    <w:name w:val="heading 1"/>
    <w:basedOn w:val="Normal"/>
    <w:next w:val="Normal"/>
    <w:link w:val="Heading1Char"/>
    <w:autoRedefine/>
    <w:qFormat/>
    <w:rsid w:val="00594B24"/>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94B24"/>
    <w:rPr>
      <w:rFonts w:asciiTheme="majorHAnsi" w:eastAsiaTheme="majorEastAsia" w:hAnsiTheme="majorHAnsi" w:cstheme="majorBidi"/>
      <w:b/>
      <w:bCs/>
      <w:color w:val="345A8A" w:themeColor="accent1" w:themeShade="B5"/>
      <w:sz w:val="32"/>
      <w:szCs w:val="32"/>
    </w:rPr>
  </w:style>
  <w:style w:type="character" w:customStyle="1" w:styleId="TitleChar">
    <w:name w:val="Title Char"/>
    <w:basedOn w:val="DefaultParagraphFont"/>
    <w:link w:val="Title"/>
    <w:qFormat/>
    <w:rsid w:val="00165789"/>
    <w:rPr>
      <w:rFonts w:ascii="Arial" w:eastAsia="SimSun" w:hAnsi="Arial" w:cs="Arial"/>
      <w:color w:val="000000"/>
      <w:sz w:val="52"/>
      <w:szCs w:val="52"/>
    </w:rPr>
  </w:style>
  <w:style w:type="character" w:customStyle="1" w:styleId="Heading2Char">
    <w:name w:val="Heading 2 Char"/>
    <w:basedOn w:val="DefaultParagraphFont"/>
    <w:link w:val="Heading2"/>
    <w:uiPriority w:val="9"/>
    <w:qFormat/>
    <w:rsid w:val="00ED4CD9"/>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qFormat/>
    <w:rsid w:val="00165789"/>
    <w:rPr>
      <w:rFonts w:ascii="Arial" w:eastAsia="SimSun" w:hAnsi="Arial" w:cs="Arial"/>
      <w:color w:val="000000"/>
    </w:rPr>
  </w:style>
  <w:style w:type="character" w:styleId="CommentReference">
    <w:name w:val="annotation reference"/>
    <w:basedOn w:val="DefaultParagraphFont"/>
    <w:uiPriority w:val="99"/>
    <w:semiHidden/>
    <w:unhideWhenUsed/>
    <w:qFormat/>
    <w:rsid w:val="00165789"/>
    <w:rPr>
      <w:sz w:val="18"/>
      <w:szCs w:val="18"/>
    </w:rPr>
  </w:style>
  <w:style w:type="character" w:customStyle="1" w:styleId="BalloonTextChar">
    <w:name w:val="Balloon Text Char"/>
    <w:basedOn w:val="DefaultParagraphFont"/>
    <w:link w:val="BalloonText"/>
    <w:uiPriority w:val="99"/>
    <w:semiHidden/>
    <w:qFormat/>
    <w:rsid w:val="00165789"/>
    <w:rPr>
      <w:rFonts w:ascii="Lucida Grande" w:hAnsi="Lucida Grande" w:cs="Lucida Grande"/>
      <w:sz w:val="18"/>
      <w:szCs w:val="18"/>
    </w:rPr>
  </w:style>
  <w:style w:type="character" w:customStyle="1" w:styleId="DocumentMapChar">
    <w:name w:val="Document Map Char"/>
    <w:basedOn w:val="DefaultParagraphFont"/>
    <w:link w:val="DocumentMap"/>
    <w:uiPriority w:val="99"/>
    <w:semiHidden/>
    <w:qFormat/>
    <w:rsid w:val="001843A1"/>
    <w:rPr>
      <w:rFonts w:ascii="Lucida Grande" w:hAnsi="Lucida Grande" w:cs="Lucida Grande"/>
    </w:rPr>
  </w:style>
  <w:style w:type="character" w:customStyle="1" w:styleId="FooterChar">
    <w:name w:val="Footer Char"/>
    <w:basedOn w:val="DefaultParagraphFont"/>
    <w:link w:val="Footer"/>
    <w:uiPriority w:val="99"/>
    <w:qFormat/>
    <w:rsid w:val="001843A1"/>
  </w:style>
  <w:style w:type="character" w:styleId="PageNumber">
    <w:name w:val="page number"/>
    <w:basedOn w:val="DefaultParagraphFont"/>
    <w:uiPriority w:val="99"/>
    <w:semiHidden/>
    <w:unhideWhenUsed/>
    <w:qFormat/>
    <w:rsid w:val="001843A1"/>
  </w:style>
  <w:style w:type="character" w:customStyle="1" w:styleId="CommentSubjectChar">
    <w:name w:val="Comment Subject Char"/>
    <w:basedOn w:val="CommentTextChar"/>
    <w:link w:val="CommentSubject"/>
    <w:uiPriority w:val="99"/>
    <w:semiHidden/>
    <w:qFormat/>
    <w:rsid w:val="0025616B"/>
    <w:rPr>
      <w:rFonts w:ascii="Times New Roman" w:eastAsia="SimSun" w:hAnsi="Times New Roman" w:cs="Arial"/>
      <w:b/>
      <w:bCs/>
      <w:color w:val="000000"/>
      <w:sz w:val="20"/>
      <w:szCs w:val="20"/>
    </w:rPr>
  </w:style>
  <w:style w:type="character" w:customStyle="1" w:styleId="HeaderChar">
    <w:name w:val="Header Char"/>
    <w:basedOn w:val="DefaultParagraphFont"/>
    <w:link w:val="Header"/>
    <w:uiPriority w:val="99"/>
    <w:qFormat/>
    <w:rsid w:val="00DE6784"/>
    <w:rPr>
      <w:rFonts w:ascii="Times New Roman" w:hAnsi="Times New Roman"/>
    </w:rPr>
  </w:style>
  <w:style w:type="character" w:customStyle="1" w:styleId="apple-converted-space">
    <w:name w:val="apple-converted-space"/>
    <w:basedOn w:val="DefaultParagraphFont"/>
    <w:qFormat/>
    <w:rsid w:val="008E3291"/>
  </w:style>
  <w:style w:type="character" w:styleId="PlaceholderText">
    <w:name w:val="Placeholder Text"/>
    <w:basedOn w:val="DefaultParagraphFont"/>
    <w:uiPriority w:val="99"/>
    <w:semiHidden/>
    <w:qFormat/>
    <w:rsid w:val="00124BB7"/>
    <w:rPr>
      <w:color w:val="808080"/>
    </w:rPr>
  </w:style>
  <w:style w:type="character" w:customStyle="1" w:styleId="m-6924689563504031353s1">
    <w:name w:val="m_-6924689563504031353s1"/>
    <w:basedOn w:val="DefaultParagraphFont"/>
    <w:qFormat/>
    <w:rsid w:val="003341AC"/>
  </w:style>
  <w:style w:type="character" w:customStyle="1" w:styleId="m3073604687002118250s1">
    <w:name w:val="m_3073604687002118250s1"/>
    <w:basedOn w:val="DefaultParagraphFont"/>
    <w:qFormat/>
    <w:rsid w:val="00693708"/>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EndNoteBibliography">
    <w:name w:val="EndNote Bibliography"/>
    <w:basedOn w:val="Normal"/>
    <w:qFormat/>
    <w:rsid w:val="0059415B"/>
    <w:pPr>
      <w:spacing w:before="120" w:after="120"/>
      <w:jc w:val="both"/>
    </w:pPr>
    <w:rPr>
      <w:rFonts w:cs="Times New Roman"/>
    </w:rPr>
  </w:style>
  <w:style w:type="paragraph" w:customStyle="1" w:styleId="EndNoteBibliographyTitle">
    <w:name w:val="EndNote Bibliography Title"/>
    <w:basedOn w:val="Normal"/>
    <w:qFormat/>
    <w:rsid w:val="0059415B"/>
    <w:pPr>
      <w:spacing w:before="120" w:line="360" w:lineRule="auto"/>
      <w:jc w:val="center"/>
    </w:pPr>
    <w:rPr>
      <w:rFonts w:cs="Times New Roman"/>
    </w:rPr>
  </w:style>
  <w:style w:type="paragraph" w:styleId="Title">
    <w:name w:val="Title"/>
    <w:basedOn w:val="Normal"/>
    <w:next w:val="Normal"/>
    <w:link w:val="TitleChar"/>
    <w:qFormat/>
    <w:rsid w:val="00165789"/>
    <w:pPr>
      <w:keepNext/>
      <w:keepLines/>
      <w:spacing w:after="60" w:line="276" w:lineRule="auto"/>
      <w:contextualSpacing/>
    </w:pPr>
    <w:rPr>
      <w:rFonts w:ascii="Arial" w:eastAsia="SimSun" w:hAnsi="Arial" w:cs="Arial"/>
      <w:color w:val="000000"/>
      <w:sz w:val="52"/>
      <w:szCs w:val="52"/>
    </w:rPr>
  </w:style>
  <w:style w:type="paragraph" w:customStyle="1" w:styleId="Normal1">
    <w:name w:val="Normal1"/>
    <w:qFormat/>
    <w:rsid w:val="00165789"/>
    <w:pPr>
      <w:spacing w:line="276" w:lineRule="auto"/>
    </w:pPr>
    <w:rPr>
      <w:rFonts w:ascii="Arial" w:eastAsia="SimSun" w:hAnsi="Arial" w:cs="Arial"/>
      <w:color w:val="000000"/>
      <w:sz w:val="22"/>
      <w:szCs w:val="22"/>
    </w:rPr>
  </w:style>
  <w:style w:type="paragraph" w:styleId="CommentText">
    <w:name w:val="annotation text"/>
    <w:basedOn w:val="Normal"/>
    <w:link w:val="CommentTextChar"/>
    <w:uiPriority w:val="99"/>
    <w:unhideWhenUsed/>
    <w:qFormat/>
    <w:rsid w:val="00165789"/>
    <w:rPr>
      <w:rFonts w:ascii="Arial" w:eastAsia="SimSun" w:hAnsi="Arial" w:cs="Arial"/>
      <w:color w:val="000000"/>
    </w:rPr>
  </w:style>
  <w:style w:type="paragraph" w:styleId="BalloonText">
    <w:name w:val="Balloon Text"/>
    <w:basedOn w:val="Normal"/>
    <w:link w:val="BalloonTextChar"/>
    <w:uiPriority w:val="99"/>
    <w:semiHidden/>
    <w:unhideWhenUsed/>
    <w:qFormat/>
    <w:rsid w:val="00165789"/>
    <w:rPr>
      <w:rFonts w:ascii="Lucida Grande" w:hAnsi="Lucida Grande" w:cs="Lucida Grande"/>
      <w:sz w:val="18"/>
      <w:szCs w:val="18"/>
    </w:rPr>
  </w:style>
  <w:style w:type="paragraph" w:customStyle="1" w:styleId="ContentsHeading">
    <w:name w:val="Contents Heading"/>
    <w:basedOn w:val="Heading1"/>
    <w:next w:val="Normal"/>
    <w:uiPriority w:val="39"/>
    <w:unhideWhenUsed/>
    <w:qFormat/>
    <w:rsid w:val="001843A1"/>
    <w:pPr>
      <w:spacing w:line="276" w:lineRule="auto"/>
    </w:pPr>
    <w:rPr>
      <w:color w:val="365F91" w:themeColor="accent1" w:themeShade="BF"/>
      <w:sz w:val="28"/>
      <w:szCs w:val="28"/>
    </w:rPr>
  </w:style>
  <w:style w:type="paragraph" w:customStyle="1" w:styleId="Contents2">
    <w:name w:val="Contents 2"/>
    <w:basedOn w:val="Normal"/>
    <w:next w:val="Normal"/>
    <w:autoRedefine/>
    <w:uiPriority w:val="39"/>
    <w:unhideWhenUsed/>
    <w:rsid w:val="001843A1"/>
    <w:pPr>
      <w:ind w:left="240"/>
    </w:pPr>
    <w:rPr>
      <w:b/>
      <w:sz w:val="22"/>
      <w:szCs w:val="22"/>
    </w:rPr>
  </w:style>
  <w:style w:type="paragraph" w:customStyle="1" w:styleId="Contents1">
    <w:name w:val="Contents 1"/>
    <w:basedOn w:val="Normal"/>
    <w:next w:val="Normal"/>
    <w:autoRedefine/>
    <w:uiPriority w:val="39"/>
    <w:semiHidden/>
    <w:unhideWhenUsed/>
    <w:rsid w:val="001843A1"/>
    <w:pPr>
      <w:spacing w:before="120"/>
    </w:pPr>
    <w:rPr>
      <w:b/>
    </w:rPr>
  </w:style>
  <w:style w:type="paragraph" w:customStyle="1" w:styleId="Contents3">
    <w:name w:val="Contents 3"/>
    <w:basedOn w:val="Normal"/>
    <w:next w:val="Normal"/>
    <w:autoRedefine/>
    <w:uiPriority w:val="39"/>
    <w:semiHidden/>
    <w:unhideWhenUsed/>
    <w:rsid w:val="001843A1"/>
    <w:pPr>
      <w:ind w:left="480"/>
    </w:pPr>
    <w:rPr>
      <w:sz w:val="22"/>
      <w:szCs w:val="22"/>
    </w:rPr>
  </w:style>
  <w:style w:type="paragraph" w:customStyle="1" w:styleId="Contents4">
    <w:name w:val="Contents 4"/>
    <w:basedOn w:val="Normal"/>
    <w:next w:val="Normal"/>
    <w:autoRedefine/>
    <w:uiPriority w:val="39"/>
    <w:semiHidden/>
    <w:unhideWhenUsed/>
    <w:rsid w:val="001843A1"/>
    <w:pPr>
      <w:ind w:left="720"/>
    </w:pPr>
    <w:rPr>
      <w:sz w:val="20"/>
      <w:szCs w:val="20"/>
    </w:rPr>
  </w:style>
  <w:style w:type="paragraph" w:customStyle="1" w:styleId="Contents5">
    <w:name w:val="Contents 5"/>
    <w:basedOn w:val="Normal"/>
    <w:next w:val="Normal"/>
    <w:autoRedefine/>
    <w:uiPriority w:val="39"/>
    <w:semiHidden/>
    <w:unhideWhenUsed/>
    <w:rsid w:val="001843A1"/>
    <w:pPr>
      <w:ind w:left="960"/>
    </w:pPr>
    <w:rPr>
      <w:sz w:val="20"/>
      <w:szCs w:val="20"/>
    </w:rPr>
  </w:style>
  <w:style w:type="paragraph" w:customStyle="1" w:styleId="Contents6">
    <w:name w:val="Contents 6"/>
    <w:basedOn w:val="Normal"/>
    <w:next w:val="Normal"/>
    <w:autoRedefine/>
    <w:uiPriority w:val="39"/>
    <w:semiHidden/>
    <w:unhideWhenUsed/>
    <w:rsid w:val="001843A1"/>
    <w:pPr>
      <w:ind w:left="1200"/>
    </w:pPr>
    <w:rPr>
      <w:sz w:val="20"/>
      <w:szCs w:val="20"/>
    </w:rPr>
  </w:style>
  <w:style w:type="paragraph" w:customStyle="1" w:styleId="Contents7">
    <w:name w:val="Contents 7"/>
    <w:basedOn w:val="Normal"/>
    <w:next w:val="Normal"/>
    <w:autoRedefine/>
    <w:uiPriority w:val="39"/>
    <w:semiHidden/>
    <w:unhideWhenUsed/>
    <w:rsid w:val="001843A1"/>
    <w:pPr>
      <w:ind w:left="1440"/>
    </w:pPr>
    <w:rPr>
      <w:sz w:val="20"/>
      <w:szCs w:val="20"/>
    </w:rPr>
  </w:style>
  <w:style w:type="paragraph" w:customStyle="1" w:styleId="Contents8">
    <w:name w:val="Contents 8"/>
    <w:basedOn w:val="Normal"/>
    <w:next w:val="Normal"/>
    <w:autoRedefine/>
    <w:uiPriority w:val="39"/>
    <w:semiHidden/>
    <w:unhideWhenUsed/>
    <w:rsid w:val="001843A1"/>
    <w:pPr>
      <w:ind w:left="1680"/>
    </w:pPr>
    <w:rPr>
      <w:sz w:val="20"/>
      <w:szCs w:val="20"/>
    </w:rPr>
  </w:style>
  <w:style w:type="paragraph" w:customStyle="1" w:styleId="Contents9">
    <w:name w:val="Contents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qFormat/>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paragraph" w:styleId="NoSpacing">
    <w:name w:val="No Spacing"/>
    <w:aliases w:val="TextBody"/>
    <w:autoRedefine/>
    <w:uiPriority w:val="1"/>
    <w:qFormat/>
    <w:rsid w:val="00685D12"/>
    <w:pPr>
      <w:spacing w:before="120" w:after="120"/>
      <w:ind w:firstLine="432"/>
      <w:jc w:val="both"/>
    </w:pPr>
    <w:rPr>
      <w:rFonts w:ascii="Times New Roman" w:hAnsi="Times New Roman"/>
      <w:color w:val="00000A"/>
      <w:sz w:val="22"/>
    </w:rPr>
  </w:style>
  <w:style w:type="paragraph" w:styleId="NormalWeb">
    <w:name w:val="Normal (Web)"/>
    <w:basedOn w:val="Normal"/>
    <w:uiPriority w:val="99"/>
    <w:semiHidden/>
    <w:unhideWhenUsed/>
    <w:qFormat/>
    <w:rsid w:val="002A05D5"/>
    <w:pPr>
      <w:spacing w:beforeAutospacing="1" w:afterAutospacing="1"/>
    </w:pPr>
    <w:rPr>
      <w:rFonts w:ascii="Times" w:hAnsi="Times" w:cs="Times New Roman"/>
      <w:sz w:val="20"/>
      <w:szCs w:val="20"/>
    </w:rPr>
  </w:style>
  <w:style w:type="paragraph" w:styleId="CommentSubject">
    <w:name w:val="annotation subject"/>
    <w:basedOn w:val="CommentText"/>
    <w:link w:val="CommentSubjectChar"/>
    <w:uiPriority w:val="99"/>
    <w:semiHidden/>
    <w:unhideWhenUsed/>
    <w:qFormat/>
    <w:rsid w:val="0025616B"/>
    <w:rPr>
      <w:rFonts w:ascii="Times New Roman" w:eastAsiaTheme="minorEastAsia" w:hAnsi="Times New Roman" w:cstheme="minorBidi"/>
      <w:b/>
      <w:bCs/>
      <w:color w:val="00000A"/>
      <w:sz w:val="20"/>
      <w:szCs w:val="20"/>
    </w:rPr>
  </w:style>
  <w:style w:type="paragraph" w:styleId="Header">
    <w:name w:val="header"/>
    <w:basedOn w:val="Normal"/>
    <w:link w:val="HeaderChar"/>
    <w:uiPriority w:val="99"/>
    <w:unhideWhenUsed/>
    <w:rsid w:val="00DE6784"/>
    <w:pPr>
      <w:tabs>
        <w:tab w:val="center" w:pos="4320"/>
        <w:tab w:val="right" w:pos="8640"/>
      </w:tabs>
    </w:pPr>
  </w:style>
  <w:style w:type="paragraph" w:styleId="Revision">
    <w:name w:val="Revision"/>
    <w:uiPriority w:val="99"/>
    <w:semiHidden/>
    <w:qFormat/>
    <w:rsid w:val="003F4B59"/>
    <w:rPr>
      <w:rFonts w:ascii="Times New Roman" w:hAnsi="Times New Roman"/>
      <w:color w:val="00000A"/>
      <w:sz w:val="24"/>
    </w:rPr>
  </w:style>
  <w:style w:type="paragraph" w:customStyle="1" w:styleId="m-6924689563504031353p1">
    <w:name w:val="m_-6924689563504031353p1"/>
    <w:basedOn w:val="Normal"/>
    <w:qFormat/>
    <w:rsid w:val="003341AC"/>
    <w:pPr>
      <w:spacing w:beforeAutospacing="1" w:afterAutospacing="1"/>
    </w:pPr>
    <w:rPr>
      <w:rFonts w:cs="Times New Roman"/>
    </w:rPr>
  </w:style>
  <w:style w:type="paragraph" w:customStyle="1" w:styleId="m3073604687002118250p1">
    <w:name w:val="m_3073604687002118250p1"/>
    <w:basedOn w:val="Normal"/>
    <w:qFormat/>
    <w:rsid w:val="00693708"/>
    <w:pPr>
      <w:spacing w:beforeAutospacing="1" w:afterAutospacing="1"/>
    </w:pPr>
    <w:rPr>
      <w:rFonts w:cs="Times New Roman"/>
    </w:rPr>
  </w:style>
  <w:style w:type="paragraph" w:customStyle="1" w:styleId="m3073604687002118250p2">
    <w:name w:val="m_3073604687002118250p2"/>
    <w:basedOn w:val="Normal"/>
    <w:qFormat/>
    <w:rsid w:val="00693708"/>
    <w:pPr>
      <w:spacing w:beforeAutospacing="1" w:afterAutospacing="1"/>
    </w:pPr>
    <w:rPr>
      <w:rFonts w:cs="Times New Roman"/>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06A64-5058-4300-BA48-4B0D4A538172}">
  <ds:schemaRefs>
    <ds:schemaRef ds:uri="http://schemas.openxmlformats.org/officeDocument/2006/bibliography"/>
  </ds:schemaRefs>
</ds:datastoreItem>
</file>

<file path=customXml/itemProps2.xml><?xml version="1.0" encoding="utf-8"?>
<ds:datastoreItem xmlns:ds="http://schemas.openxmlformats.org/officeDocument/2006/customXml" ds:itemID="{AC7EDAB5-7834-493B-AD30-CEDFE1FB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21996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Zhang</dc:creator>
  <cp:lastModifiedBy>Patrick</cp:lastModifiedBy>
  <cp:revision>17</cp:revision>
  <cp:lastPrinted>2017-01-21T19:24:00Z</cp:lastPrinted>
  <dcterms:created xsi:type="dcterms:W3CDTF">2017-03-02T21:23:00Z</dcterms:created>
  <dcterms:modified xsi:type="dcterms:W3CDTF">2017-03-02T22:36:00Z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