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Outline: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Prioritizing Key elements through mutation burden analysis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Integrating covariate matrix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Accurate gene mutation rate estimation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Extended gene annotation by linking various non coding elements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Improved burden analysis by synthesizing signals from both nc and coding elements from each gene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Prioritizing Key elements through gene expression analysis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TF analysis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RBP analysis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Prioritizing Key elements through network rewiring analysis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Gene-gene mega network via proximal and distal regulatory elements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Single node analysis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Rank TFs according to rewiring measurements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TFs Clustering according to rewiring status within K&amp;G network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Pairwise nodes analysis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Disruption of co-associated TFs in tumor cells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Change of co-association types (loregic)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Topology analysis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TF hierarchy changes in Tumor and normal cells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TF motif gain and loss events in Tumor and normal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Prioritizing SNVs in Key elements discovered by 1-3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Integrating element score and individual SNV score to have a finalized score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Experimental validation of key elements and SNV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sh-RNAseq MCF-7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Wild type and Mutant enhancers in MCF-7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Data Novelty: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Most comprehensive non-coding elements list that are linked to genes with high confidence in model tumor cell lines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Experiments list includes: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CHIP-seq (TF) -&gt; TFBS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CHIP-seq (Histone) + Enhancer-seq -&gt; Enhancers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Hi-C + CHIA-PET + CHIP-seq (Histone) -&gt; Enhancer-gene linkage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RAMPAGE -&gt; accurate active promoter definitions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iCLIP -&gt; RNA-regulatory regions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Most comprehensive covariate list to  better characterize the somatic mutational landscape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Most comprehensive list of CHIP-seq data for transcription factors activities in several cancer cells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Wild and mutation enhancer in </w:t>
      </w:r>
      <w:r w:rsidDel="00000000" w:rsidR="00000000" w:rsidRPr="00000000">
        <w:rPr>
          <w:color w:val="333333"/>
          <w:highlight w:val="white"/>
          <w:rtl w:val="0"/>
        </w:rPr>
        <w:t xml:space="preserve">luciferase assay for SNV effect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1440" w:top="1440" w:left="108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630"/>
      </w:tabs>
      <w:spacing w:after="200" w:before="0" w:line="276" w:lineRule="auto"/>
      <w:ind w:left="0" w:right="0" w:firstLine="0"/>
      <w:contextualSpacing w:val="0"/>
      <w:jc w:val="right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