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98866" w14:textId="77777777" w:rsidR="00D2427D" w:rsidRPr="001C0A4B" w:rsidRDefault="00D2427D" w:rsidP="002E1D87">
      <w:pPr>
        <w:widowControl w:val="0"/>
        <w:autoSpaceDE w:val="0"/>
        <w:autoSpaceDN w:val="0"/>
        <w:adjustRightInd w:val="0"/>
        <w:spacing w:after="240" w:line="276" w:lineRule="auto"/>
        <w:jc w:val="both"/>
        <w:rPr>
          <w:rFonts w:ascii="Arial" w:hAnsi="Arial" w:cs="Arial"/>
          <w:sz w:val="22"/>
          <w:szCs w:val="22"/>
        </w:rPr>
      </w:pPr>
      <w:r w:rsidRPr="001C0A4B">
        <w:rPr>
          <w:rFonts w:ascii="Arial" w:hAnsi="Arial" w:cs="Arial"/>
          <w:b/>
          <w:bCs/>
          <w:sz w:val="22"/>
          <w:szCs w:val="22"/>
        </w:rPr>
        <w:t>FACILITIES AND OTHER RESOURCES:</w:t>
      </w:r>
    </w:p>
    <w:p w14:paraId="788445D6" w14:textId="0FB4D9A8" w:rsidR="00576CCC" w:rsidRDefault="00576CCC" w:rsidP="002E1D87">
      <w:pPr>
        <w:widowControl w:val="0"/>
        <w:autoSpaceDE w:val="0"/>
        <w:autoSpaceDN w:val="0"/>
        <w:adjustRightInd w:val="0"/>
        <w:spacing w:after="240" w:line="276" w:lineRule="auto"/>
        <w:jc w:val="both"/>
        <w:rPr>
          <w:rFonts w:ascii="Arial" w:hAnsi="Arial" w:cs="Arial"/>
          <w:sz w:val="22"/>
          <w:szCs w:val="22"/>
        </w:rPr>
      </w:pPr>
      <w:r w:rsidRPr="001C0A4B">
        <w:rPr>
          <w:rFonts w:ascii="Arial" w:hAnsi="Arial" w:cs="Arial"/>
          <w:b/>
          <w:bCs/>
          <w:sz w:val="22"/>
          <w:szCs w:val="22"/>
        </w:rPr>
        <w:t>CLINICAL</w:t>
      </w:r>
      <w:r w:rsidRPr="001C0A4B">
        <w:rPr>
          <w:rFonts w:ascii="Arial" w:hAnsi="Arial" w:cs="Arial"/>
          <w:sz w:val="22"/>
          <w:szCs w:val="22"/>
        </w:rPr>
        <w:t xml:space="preserve">: </w:t>
      </w:r>
      <w:r>
        <w:rPr>
          <w:rFonts w:ascii="Arial" w:hAnsi="Arial" w:cs="Arial"/>
          <w:sz w:val="22"/>
          <w:szCs w:val="22"/>
        </w:rPr>
        <w:t>The Yale New Haven Hospital is the 6th largest hospital in the United States and currently has capacity for over 1500 patients at any given time. The Yale Cancer Center and Smilow Cancer Hospital is an NCI-designated Comprehensive Cancer Center and is part of the National Comprehensive Cancer Network. The Genitourinary Cancer Program has an active clinical and translational research team. The hospital is ideally set up adjacent to research laboratories for translational research studies. Patients are consented for research in the clinic and procurement of blood is obtained in the blood draw station or prior to surgery. These specimens are immediately transported to the laboratory. The operating rooms are adjacent to the pathology station to allow procurement and processing of fresh tissue. This allows rapid acquisition of patient material for research purposes.</w:t>
      </w:r>
    </w:p>
    <w:p w14:paraId="057819BB" w14:textId="28825194" w:rsidR="00576CCC" w:rsidRPr="001C0A4B" w:rsidRDefault="00576CCC" w:rsidP="002E1D87">
      <w:pPr>
        <w:widowControl w:val="0"/>
        <w:autoSpaceDE w:val="0"/>
        <w:autoSpaceDN w:val="0"/>
        <w:adjustRightInd w:val="0"/>
        <w:spacing w:after="240" w:line="276" w:lineRule="auto"/>
        <w:jc w:val="both"/>
        <w:rPr>
          <w:rFonts w:ascii="Arial" w:hAnsi="Arial" w:cs="Arial"/>
          <w:sz w:val="22"/>
          <w:szCs w:val="22"/>
        </w:rPr>
      </w:pPr>
      <w:r w:rsidRPr="001C0A4B">
        <w:rPr>
          <w:rFonts w:ascii="Arial" w:hAnsi="Arial" w:cs="Arial"/>
          <w:b/>
          <w:bCs/>
          <w:sz w:val="22"/>
          <w:szCs w:val="22"/>
        </w:rPr>
        <w:t>OFFICE</w:t>
      </w:r>
      <w:r w:rsidRPr="001C0A4B">
        <w:rPr>
          <w:rFonts w:ascii="Arial" w:hAnsi="Arial" w:cs="Arial"/>
          <w:sz w:val="22"/>
          <w:szCs w:val="22"/>
        </w:rPr>
        <w:t>: Dr. Shuch also has a 120 sq</w:t>
      </w:r>
      <w:r w:rsidR="007E0C90">
        <w:rPr>
          <w:rFonts w:ascii="Arial" w:hAnsi="Arial" w:cs="Arial"/>
          <w:sz w:val="22"/>
          <w:szCs w:val="22"/>
        </w:rPr>
        <w:t xml:space="preserve">. </w:t>
      </w:r>
      <w:r w:rsidRPr="001C0A4B">
        <w:rPr>
          <w:rFonts w:ascii="Arial" w:hAnsi="Arial" w:cs="Arial"/>
          <w:sz w:val="22"/>
          <w:szCs w:val="22"/>
        </w:rPr>
        <w:t>ft</w:t>
      </w:r>
      <w:r w:rsidR="007E0C90">
        <w:rPr>
          <w:rFonts w:ascii="Arial" w:hAnsi="Arial" w:cs="Arial"/>
          <w:sz w:val="22"/>
          <w:szCs w:val="22"/>
        </w:rPr>
        <w:t>.</w:t>
      </w:r>
      <w:r w:rsidRPr="001C0A4B">
        <w:rPr>
          <w:rFonts w:ascii="Arial" w:hAnsi="Arial" w:cs="Arial"/>
          <w:sz w:val="22"/>
          <w:szCs w:val="22"/>
        </w:rPr>
        <w:t xml:space="preserve"> office located within the Department of Urology research space adjacent to the Brady Memorial Urology laboratory. Additionally he shares a Department administrator for academic support who</w:t>
      </w:r>
      <w:r w:rsidR="007E0C90">
        <w:rPr>
          <w:rFonts w:ascii="Arial" w:hAnsi="Arial" w:cs="Arial"/>
          <w:sz w:val="22"/>
          <w:szCs w:val="22"/>
        </w:rPr>
        <w:t xml:space="preserve"> is located</w:t>
      </w:r>
      <w:r w:rsidRPr="001C0A4B">
        <w:rPr>
          <w:rFonts w:ascii="Arial" w:hAnsi="Arial" w:cs="Arial"/>
          <w:sz w:val="22"/>
          <w:szCs w:val="22"/>
        </w:rPr>
        <w:t xml:space="preserve"> adjacent </w:t>
      </w:r>
      <w:r w:rsidR="007E0C90">
        <w:rPr>
          <w:rFonts w:ascii="Arial" w:hAnsi="Arial" w:cs="Arial"/>
          <w:sz w:val="22"/>
          <w:szCs w:val="22"/>
        </w:rPr>
        <w:t>to</w:t>
      </w:r>
      <w:r w:rsidR="007E0C90" w:rsidRPr="001C0A4B">
        <w:rPr>
          <w:rFonts w:ascii="Arial" w:hAnsi="Arial" w:cs="Arial"/>
          <w:sz w:val="22"/>
          <w:szCs w:val="22"/>
        </w:rPr>
        <w:t xml:space="preserve"> </w:t>
      </w:r>
      <w:r w:rsidRPr="001C0A4B">
        <w:rPr>
          <w:rFonts w:ascii="Arial" w:hAnsi="Arial" w:cs="Arial"/>
          <w:sz w:val="22"/>
          <w:szCs w:val="22"/>
        </w:rPr>
        <w:t xml:space="preserve">his office. </w:t>
      </w:r>
    </w:p>
    <w:p w14:paraId="6B7FDF7E" w14:textId="77777777" w:rsidR="00576CCC" w:rsidRPr="001C0A4B" w:rsidRDefault="00576CCC" w:rsidP="002E1D87">
      <w:pPr>
        <w:widowControl w:val="0"/>
        <w:autoSpaceDE w:val="0"/>
        <w:autoSpaceDN w:val="0"/>
        <w:adjustRightInd w:val="0"/>
        <w:spacing w:after="240" w:line="276" w:lineRule="auto"/>
        <w:jc w:val="both"/>
        <w:rPr>
          <w:rFonts w:ascii="Arial" w:hAnsi="Arial" w:cs="Arial"/>
          <w:sz w:val="22"/>
          <w:szCs w:val="22"/>
        </w:rPr>
      </w:pPr>
      <w:r>
        <w:rPr>
          <w:rFonts w:ascii="Arial" w:hAnsi="Arial" w:cs="Arial"/>
          <w:b/>
          <w:bCs/>
          <w:sz w:val="22"/>
          <w:szCs w:val="22"/>
        </w:rPr>
        <w:t xml:space="preserve">PERSONAL </w:t>
      </w:r>
      <w:r w:rsidRPr="001C0A4B">
        <w:rPr>
          <w:rFonts w:ascii="Arial" w:hAnsi="Arial" w:cs="Arial"/>
          <w:b/>
          <w:bCs/>
          <w:sz w:val="22"/>
          <w:szCs w:val="22"/>
        </w:rPr>
        <w:t>COMPUT</w:t>
      </w:r>
      <w:r>
        <w:rPr>
          <w:rFonts w:ascii="Arial" w:hAnsi="Arial" w:cs="Arial"/>
          <w:b/>
          <w:bCs/>
          <w:sz w:val="22"/>
          <w:szCs w:val="22"/>
        </w:rPr>
        <w:t>ING</w:t>
      </w:r>
      <w:r w:rsidRPr="001C0A4B">
        <w:rPr>
          <w:rFonts w:ascii="Arial" w:hAnsi="Arial" w:cs="Arial"/>
          <w:sz w:val="22"/>
          <w:szCs w:val="22"/>
        </w:rPr>
        <w:t xml:space="preserve">: In Dr. Shuch’s office </w:t>
      </w:r>
      <w:r>
        <w:rPr>
          <w:rFonts w:ascii="Arial" w:hAnsi="Arial" w:cs="Arial"/>
          <w:sz w:val="22"/>
          <w:szCs w:val="22"/>
        </w:rPr>
        <w:t>there is a brand new high-powered Macintosh</w:t>
      </w:r>
      <w:r w:rsidRPr="001C0A4B">
        <w:rPr>
          <w:rFonts w:ascii="Arial" w:hAnsi="Arial" w:cs="Arial"/>
          <w:sz w:val="22"/>
          <w:szCs w:val="22"/>
        </w:rPr>
        <w:t xml:space="preserve"> desktop with 32 GB 1600 MHz with a 3.4 GHz Intel Core. There are also two 27-inch thunderbolt displays. This three-screen set up is useful for running various genomic programs. The machine also has Mac Parallels installed to run Windows for specific genomics programs. Additionally he has a </w:t>
      </w:r>
      <w:proofErr w:type="spellStart"/>
      <w:r w:rsidRPr="001C0A4B">
        <w:rPr>
          <w:rFonts w:ascii="Arial" w:hAnsi="Arial" w:cs="Arial"/>
          <w:sz w:val="22"/>
          <w:szCs w:val="22"/>
        </w:rPr>
        <w:t>Macbook</w:t>
      </w:r>
      <w:proofErr w:type="spellEnd"/>
      <w:r w:rsidRPr="001C0A4B">
        <w:rPr>
          <w:rFonts w:ascii="Arial" w:hAnsi="Arial" w:cs="Arial"/>
          <w:sz w:val="22"/>
          <w:szCs w:val="22"/>
        </w:rPr>
        <w:t xml:space="preserve"> Pro La</w:t>
      </w:r>
      <w:r>
        <w:rPr>
          <w:rFonts w:ascii="Arial" w:hAnsi="Arial" w:cs="Arial"/>
          <w:sz w:val="22"/>
          <w:szCs w:val="22"/>
        </w:rPr>
        <w:t>p</w:t>
      </w:r>
      <w:r w:rsidRPr="001C0A4B">
        <w:rPr>
          <w:rFonts w:ascii="Arial" w:hAnsi="Arial" w:cs="Arial"/>
          <w:sz w:val="22"/>
          <w:szCs w:val="22"/>
        </w:rPr>
        <w:t>top 8 GB 1600MHz with a 3 G</w:t>
      </w:r>
      <w:r>
        <w:rPr>
          <w:rFonts w:ascii="Arial" w:hAnsi="Arial" w:cs="Arial"/>
          <w:sz w:val="22"/>
          <w:szCs w:val="22"/>
        </w:rPr>
        <w:t>H</w:t>
      </w:r>
      <w:r w:rsidRPr="001C0A4B">
        <w:rPr>
          <w:rFonts w:ascii="Arial" w:hAnsi="Arial" w:cs="Arial"/>
          <w:sz w:val="22"/>
          <w:szCs w:val="22"/>
        </w:rPr>
        <w:t>z Core.</w:t>
      </w:r>
    </w:p>
    <w:p w14:paraId="5298EBB7" w14:textId="29F5DC4A" w:rsidR="005B785D" w:rsidRPr="00B24404" w:rsidRDefault="00D2427D" w:rsidP="002E1D87">
      <w:pPr>
        <w:widowControl w:val="0"/>
        <w:autoSpaceDE w:val="0"/>
        <w:autoSpaceDN w:val="0"/>
        <w:adjustRightInd w:val="0"/>
        <w:spacing w:after="240" w:line="276" w:lineRule="auto"/>
        <w:jc w:val="both"/>
        <w:rPr>
          <w:rFonts w:ascii="Arial" w:hAnsi="Arial" w:cs="Arial"/>
          <w:sz w:val="22"/>
          <w:szCs w:val="22"/>
        </w:rPr>
      </w:pPr>
      <w:r w:rsidRPr="001C0A4B">
        <w:rPr>
          <w:rFonts w:ascii="Arial" w:hAnsi="Arial" w:cs="Arial"/>
          <w:b/>
          <w:bCs/>
          <w:sz w:val="22"/>
          <w:szCs w:val="22"/>
        </w:rPr>
        <w:t xml:space="preserve">LABORATORY: </w:t>
      </w:r>
      <w:r w:rsidR="00422BE3">
        <w:rPr>
          <w:rFonts w:ascii="Arial" w:hAnsi="Arial" w:cs="Arial"/>
          <w:sz w:val="22"/>
          <w:szCs w:val="22"/>
        </w:rPr>
        <w:t xml:space="preserve">Dr. </w:t>
      </w:r>
      <w:proofErr w:type="spellStart"/>
      <w:r w:rsidR="00422BE3">
        <w:rPr>
          <w:rFonts w:ascii="Arial" w:hAnsi="Arial" w:cs="Arial"/>
          <w:sz w:val="22"/>
          <w:szCs w:val="22"/>
        </w:rPr>
        <w:t>Shuch’s</w:t>
      </w:r>
      <w:proofErr w:type="spellEnd"/>
      <w:r w:rsidR="000C7F03" w:rsidRPr="001C0A4B">
        <w:rPr>
          <w:rFonts w:ascii="Arial" w:hAnsi="Arial" w:cs="Arial"/>
          <w:sz w:val="22"/>
          <w:szCs w:val="22"/>
        </w:rPr>
        <w:t xml:space="preserve"> </w:t>
      </w:r>
      <w:r w:rsidRPr="001C0A4B">
        <w:rPr>
          <w:rFonts w:ascii="Arial" w:hAnsi="Arial" w:cs="Arial"/>
          <w:sz w:val="22"/>
          <w:szCs w:val="22"/>
        </w:rPr>
        <w:t xml:space="preserve">laboratory </w:t>
      </w:r>
      <w:r w:rsidR="00EB4C8A" w:rsidRPr="001C0A4B">
        <w:rPr>
          <w:rFonts w:ascii="Arial" w:hAnsi="Arial" w:cs="Arial"/>
          <w:sz w:val="22"/>
          <w:szCs w:val="22"/>
        </w:rPr>
        <w:t xml:space="preserve">is in a shared </w:t>
      </w:r>
      <w:r w:rsidR="00422BE3">
        <w:rPr>
          <w:rFonts w:ascii="Arial" w:hAnsi="Arial" w:cs="Arial"/>
          <w:sz w:val="22"/>
          <w:szCs w:val="22"/>
        </w:rPr>
        <w:t>Urology</w:t>
      </w:r>
      <w:r w:rsidR="00EB4C8A" w:rsidRPr="001C0A4B">
        <w:rPr>
          <w:rFonts w:ascii="Arial" w:hAnsi="Arial" w:cs="Arial"/>
          <w:sz w:val="22"/>
          <w:szCs w:val="22"/>
        </w:rPr>
        <w:t xml:space="preserve"> Laboratory consisting</w:t>
      </w:r>
      <w:r w:rsidRPr="001C0A4B">
        <w:rPr>
          <w:rFonts w:ascii="Arial" w:hAnsi="Arial" w:cs="Arial"/>
          <w:sz w:val="22"/>
          <w:szCs w:val="22"/>
        </w:rPr>
        <w:t xml:space="preserve"> of</w:t>
      </w:r>
      <w:r w:rsidR="00BF699F">
        <w:rPr>
          <w:rFonts w:ascii="Arial" w:hAnsi="Arial" w:cs="Arial"/>
          <w:sz w:val="22"/>
          <w:szCs w:val="22"/>
        </w:rPr>
        <w:t xml:space="preserve"> resources for molecular biology, cellular biology, and genetics research. </w:t>
      </w:r>
      <w:r w:rsidR="00422BE3">
        <w:rPr>
          <w:rFonts w:ascii="Arial" w:hAnsi="Arial" w:cs="Arial"/>
          <w:sz w:val="22"/>
          <w:szCs w:val="22"/>
        </w:rPr>
        <w:t xml:space="preserve">His </w:t>
      </w:r>
      <w:r w:rsidR="00BF699F">
        <w:rPr>
          <w:rFonts w:ascii="Arial" w:hAnsi="Arial" w:cs="Arial"/>
          <w:sz w:val="22"/>
          <w:szCs w:val="22"/>
        </w:rPr>
        <w:t>laboratory</w:t>
      </w:r>
      <w:r w:rsidRPr="001C0A4B">
        <w:rPr>
          <w:rFonts w:ascii="Arial" w:hAnsi="Arial" w:cs="Arial"/>
          <w:sz w:val="22"/>
          <w:szCs w:val="22"/>
        </w:rPr>
        <w:t xml:space="preserve"> </w:t>
      </w:r>
      <w:r w:rsidR="0009778D">
        <w:rPr>
          <w:rFonts w:ascii="Arial" w:hAnsi="Arial" w:cs="Arial"/>
          <w:sz w:val="22"/>
          <w:szCs w:val="22"/>
        </w:rPr>
        <w:t xml:space="preserve">is </w:t>
      </w:r>
      <w:r w:rsidRPr="001C0A4B">
        <w:rPr>
          <w:rFonts w:ascii="Arial" w:hAnsi="Arial" w:cs="Arial"/>
          <w:sz w:val="22"/>
          <w:szCs w:val="22"/>
        </w:rPr>
        <w:t xml:space="preserve">approximately </w:t>
      </w:r>
      <w:r w:rsidR="00E523DA">
        <w:rPr>
          <w:rFonts w:ascii="Arial" w:hAnsi="Arial" w:cs="Arial"/>
          <w:sz w:val="22"/>
          <w:szCs w:val="22"/>
        </w:rPr>
        <w:t>700</w:t>
      </w:r>
      <w:r w:rsidR="00E523DA" w:rsidRPr="001C0A4B">
        <w:rPr>
          <w:rFonts w:ascii="Arial" w:hAnsi="Arial" w:cs="Arial"/>
          <w:sz w:val="22"/>
          <w:szCs w:val="22"/>
        </w:rPr>
        <w:t xml:space="preserve"> </w:t>
      </w:r>
      <w:r w:rsidRPr="001C0A4B">
        <w:rPr>
          <w:rFonts w:ascii="Arial" w:hAnsi="Arial" w:cs="Arial"/>
          <w:sz w:val="22"/>
          <w:szCs w:val="22"/>
        </w:rPr>
        <w:t>sq</w:t>
      </w:r>
      <w:r w:rsidR="00E523DA">
        <w:rPr>
          <w:rFonts w:ascii="Arial" w:hAnsi="Arial" w:cs="Arial"/>
          <w:sz w:val="22"/>
          <w:szCs w:val="22"/>
        </w:rPr>
        <w:t>. ft. of</w:t>
      </w:r>
      <w:r w:rsidRPr="001C0A4B">
        <w:rPr>
          <w:rFonts w:ascii="Arial" w:hAnsi="Arial" w:cs="Arial"/>
          <w:sz w:val="22"/>
          <w:szCs w:val="22"/>
        </w:rPr>
        <w:t xml:space="preserve"> space </w:t>
      </w:r>
      <w:r w:rsidR="0009778D">
        <w:rPr>
          <w:rFonts w:ascii="Arial" w:hAnsi="Arial" w:cs="Arial"/>
          <w:sz w:val="22"/>
          <w:szCs w:val="22"/>
        </w:rPr>
        <w:t>as is located in the</w:t>
      </w:r>
      <w:r w:rsidRPr="001C0A4B">
        <w:rPr>
          <w:rFonts w:ascii="Arial" w:hAnsi="Arial" w:cs="Arial"/>
          <w:sz w:val="22"/>
          <w:szCs w:val="22"/>
        </w:rPr>
        <w:t xml:space="preserve"> </w:t>
      </w:r>
      <w:r w:rsidR="00422BE3">
        <w:rPr>
          <w:rFonts w:ascii="Arial" w:hAnsi="Arial" w:cs="Arial"/>
          <w:sz w:val="22"/>
          <w:szCs w:val="22"/>
        </w:rPr>
        <w:t>Brady Memorial Laboratory</w:t>
      </w:r>
      <w:r w:rsidR="00BF699F">
        <w:rPr>
          <w:rFonts w:ascii="Arial" w:hAnsi="Arial" w:cs="Arial"/>
          <w:sz w:val="22"/>
          <w:szCs w:val="22"/>
        </w:rPr>
        <w:t xml:space="preserve">. </w:t>
      </w:r>
      <w:r w:rsidR="001C0A4B">
        <w:rPr>
          <w:rFonts w:ascii="Arial" w:hAnsi="Arial" w:cs="Arial"/>
          <w:sz w:val="22"/>
          <w:szCs w:val="22"/>
        </w:rPr>
        <w:t xml:space="preserve">There are </w:t>
      </w:r>
      <w:r w:rsidR="00422BE3">
        <w:rPr>
          <w:rFonts w:ascii="Arial" w:hAnsi="Arial" w:cs="Arial"/>
          <w:sz w:val="22"/>
          <w:szCs w:val="22"/>
        </w:rPr>
        <w:t xml:space="preserve">two </w:t>
      </w:r>
      <w:r w:rsidR="001C0A4B">
        <w:rPr>
          <w:rFonts w:ascii="Arial" w:hAnsi="Arial" w:cs="Arial"/>
          <w:sz w:val="22"/>
          <w:szCs w:val="22"/>
        </w:rPr>
        <w:t xml:space="preserve">laminar flow culture hoods, </w:t>
      </w:r>
      <w:r w:rsidR="00BF699F">
        <w:rPr>
          <w:rFonts w:ascii="Arial" w:hAnsi="Arial" w:cs="Arial"/>
          <w:sz w:val="22"/>
          <w:szCs w:val="22"/>
        </w:rPr>
        <w:t xml:space="preserve">two </w:t>
      </w:r>
      <w:r w:rsidR="001C0A4B">
        <w:rPr>
          <w:rFonts w:ascii="Arial" w:hAnsi="Arial" w:cs="Arial"/>
          <w:sz w:val="22"/>
          <w:szCs w:val="22"/>
        </w:rPr>
        <w:t xml:space="preserve">-80˚C freezers, </w:t>
      </w:r>
      <w:r w:rsidR="00422BE3">
        <w:rPr>
          <w:rFonts w:ascii="Arial" w:hAnsi="Arial" w:cs="Arial"/>
          <w:sz w:val="22"/>
          <w:szCs w:val="22"/>
        </w:rPr>
        <w:t xml:space="preserve">two </w:t>
      </w:r>
      <w:r w:rsidR="00BF699F">
        <w:rPr>
          <w:rFonts w:ascii="Arial" w:hAnsi="Arial" w:cs="Arial"/>
          <w:sz w:val="22"/>
          <w:szCs w:val="22"/>
        </w:rPr>
        <w:t>-20˚</w:t>
      </w:r>
      <w:r w:rsidR="00B32E2C">
        <w:rPr>
          <w:rFonts w:ascii="Arial" w:hAnsi="Arial" w:cs="Arial"/>
          <w:sz w:val="22"/>
          <w:szCs w:val="22"/>
        </w:rPr>
        <w:t xml:space="preserve">liquid nitrogen tanks, </w:t>
      </w:r>
      <w:r w:rsidR="00C57A76">
        <w:rPr>
          <w:rFonts w:ascii="Arial" w:hAnsi="Arial" w:cs="Arial"/>
          <w:sz w:val="22"/>
          <w:szCs w:val="22"/>
        </w:rPr>
        <w:t xml:space="preserve">a </w:t>
      </w:r>
      <w:r w:rsidR="00B32E2C">
        <w:rPr>
          <w:rFonts w:ascii="Arial" w:hAnsi="Arial" w:cs="Arial"/>
          <w:sz w:val="22"/>
          <w:szCs w:val="22"/>
        </w:rPr>
        <w:t xml:space="preserve">cold room, shared dark room, several </w:t>
      </w:r>
      <w:r w:rsidR="00B32E2C" w:rsidRPr="001C0A4B">
        <w:rPr>
          <w:rFonts w:ascii="Arial" w:hAnsi="Arial" w:cs="Arial"/>
          <w:sz w:val="22"/>
          <w:szCs w:val="22"/>
        </w:rPr>
        <w:t>inverted fluorescent/</w:t>
      </w:r>
      <w:proofErr w:type="spellStart"/>
      <w:r w:rsidR="00B32E2C" w:rsidRPr="001C0A4B">
        <w:rPr>
          <w:rFonts w:ascii="Arial" w:hAnsi="Arial" w:cs="Arial"/>
          <w:sz w:val="22"/>
          <w:szCs w:val="22"/>
        </w:rPr>
        <w:t>brightfield</w:t>
      </w:r>
      <w:proofErr w:type="spellEnd"/>
      <w:r w:rsidR="00B32E2C" w:rsidRPr="001C0A4B">
        <w:rPr>
          <w:rFonts w:ascii="Arial" w:hAnsi="Arial" w:cs="Arial"/>
          <w:sz w:val="22"/>
          <w:szCs w:val="22"/>
        </w:rPr>
        <w:t xml:space="preserve"> scope</w:t>
      </w:r>
      <w:r w:rsidR="00B32E2C">
        <w:rPr>
          <w:rFonts w:ascii="Arial" w:hAnsi="Arial" w:cs="Arial"/>
          <w:sz w:val="22"/>
          <w:szCs w:val="22"/>
        </w:rPr>
        <w:t>s</w:t>
      </w:r>
      <w:r w:rsidR="00B32E2C" w:rsidRPr="001C0A4B">
        <w:rPr>
          <w:rFonts w:ascii="Arial" w:hAnsi="Arial" w:cs="Arial"/>
          <w:sz w:val="22"/>
          <w:szCs w:val="22"/>
        </w:rPr>
        <w:t xml:space="preserve">, </w:t>
      </w:r>
      <w:r w:rsidRPr="001C0A4B">
        <w:rPr>
          <w:rFonts w:ascii="Arial" w:hAnsi="Arial" w:cs="Arial"/>
          <w:sz w:val="22"/>
          <w:szCs w:val="22"/>
        </w:rPr>
        <w:t xml:space="preserve">and common equipment space. The laboratory is equipped with typical tools of molecular biology and genetics </w:t>
      </w:r>
      <w:r w:rsidR="00463A6D">
        <w:rPr>
          <w:rFonts w:ascii="Arial" w:hAnsi="Arial" w:cs="Arial"/>
          <w:sz w:val="22"/>
          <w:szCs w:val="22"/>
        </w:rPr>
        <w:t xml:space="preserve">research </w:t>
      </w:r>
      <w:r w:rsidR="00C57A76">
        <w:rPr>
          <w:rFonts w:ascii="Arial" w:hAnsi="Arial" w:cs="Arial"/>
          <w:sz w:val="22"/>
          <w:szCs w:val="22"/>
        </w:rPr>
        <w:t xml:space="preserve">including </w:t>
      </w:r>
      <w:proofErr w:type="spellStart"/>
      <w:r w:rsidR="00C57A76">
        <w:rPr>
          <w:rFonts w:ascii="Arial" w:hAnsi="Arial" w:cs="Arial"/>
          <w:sz w:val="22"/>
          <w:szCs w:val="22"/>
        </w:rPr>
        <w:t>BioRad</w:t>
      </w:r>
      <w:proofErr w:type="spellEnd"/>
      <w:r w:rsidR="00C57A76">
        <w:rPr>
          <w:rFonts w:ascii="Arial" w:hAnsi="Arial" w:cs="Arial"/>
          <w:sz w:val="22"/>
          <w:szCs w:val="22"/>
        </w:rPr>
        <w:t xml:space="preserve"> Systems for western blots</w:t>
      </w:r>
      <w:r w:rsidR="003C6360">
        <w:rPr>
          <w:rFonts w:ascii="Arial" w:hAnsi="Arial" w:cs="Arial"/>
          <w:sz w:val="22"/>
          <w:szCs w:val="22"/>
        </w:rPr>
        <w:t xml:space="preserve"> transfer</w:t>
      </w:r>
      <w:r w:rsidR="00C57A76">
        <w:rPr>
          <w:rFonts w:ascii="Arial" w:hAnsi="Arial" w:cs="Arial"/>
          <w:sz w:val="22"/>
          <w:szCs w:val="22"/>
        </w:rPr>
        <w:t xml:space="preserve">, an Immunohistochemistry </w:t>
      </w:r>
      <w:r w:rsidR="00463A6D">
        <w:rPr>
          <w:rFonts w:ascii="Arial" w:hAnsi="Arial" w:cs="Arial"/>
          <w:sz w:val="22"/>
          <w:szCs w:val="22"/>
        </w:rPr>
        <w:t xml:space="preserve">station, </w:t>
      </w:r>
      <w:proofErr w:type="gramStart"/>
      <w:r w:rsidR="00463A6D">
        <w:rPr>
          <w:rFonts w:ascii="Arial" w:hAnsi="Arial" w:cs="Arial"/>
          <w:sz w:val="22"/>
          <w:szCs w:val="22"/>
        </w:rPr>
        <w:t>a 96</w:t>
      </w:r>
      <w:proofErr w:type="gramEnd"/>
      <w:r w:rsidR="00463A6D">
        <w:rPr>
          <w:rFonts w:ascii="Arial" w:hAnsi="Arial" w:cs="Arial"/>
          <w:sz w:val="22"/>
          <w:szCs w:val="22"/>
        </w:rPr>
        <w:t>-</w:t>
      </w:r>
      <w:r w:rsidR="00463A6D" w:rsidRPr="001C0A4B">
        <w:rPr>
          <w:rFonts w:ascii="Arial" w:hAnsi="Arial" w:cs="Arial"/>
          <w:sz w:val="22"/>
          <w:szCs w:val="22"/>
        </w:rPr>
        <w:t xml:space="preserve">well </w:t>
      </w:r>
      <w:r w:rsidR="00463A6D">
        <w:rPr>
          <w:rFonts w:ascii="Arial" w:hAnsi="Arial" w:cs="Arial"/>
          <w:sz w:val="22"/>
          <w:szCs w:val="22"/>
        </w:rPr>
        <w:t xml:space="preserve">PCR </w:t>
      </w:r>
      <w:r w:rsidR="00463A6D" w:rsidRPr="001C0A4B">
        <w:rPr>
          <w:rFonts w:ascii="Arial" w:hAnsi="Arial" w:cs="Arial"/>
          <w:sz w:val="22"/>
          <w:szCs w:val="22"/>
        </w:rPr>
        <w:t xml:space="preserve">thermal cyclers, and an Applied </w:t>
      </w:r>
      <w:proofErr w:type="spellStart"/>
      <w:r w:rsidR="00463A6D" w:rsidRPr="001C0A4B">
        <w:rPr>
          <w:rFonts w:ascii="Arial" w:hAnsi="Arial" w:cs="Arial"/>
          <w:sz w:val="22"/>
          <w:szCs w:val="22"/>
        </w:rPr>
        <w:t>Biosystems</w:t>
      </w:r>
      <w:proofErr w:type="spellEnd"/>
      <w:r w:rsidR="00463A6D" w:rsidRPr="001C0A4B">
        <w:rPr>
          <w:rFonts w:ascii="Arial" w:hAnsi="Arial" w:cs="Arial"/>
          <w:sz w:val="22"/>
          <w:szCs w:val="22"/>
        </w:rPr>
        <w:t xml:space="preserve"> </w:t>
      </w:r>
      <w:proofErr w:type="spellStart"/>
      <w:r w:rsidR="00463A6D" w:rsidRPr="001C0A4B">
        <w:rPr>
          <w:rFonts w:ascii="Arial" w:hAnsi="Arial" w:cs="Arial"/>
          <w:sz w:val="22"/>
          <w:szCs w:val="22"/>
        </w:rPr>
        <w:t>qRT</w:t>
      </w:r>
      <w:proofErr w:type="spellEnd"/>
      <w:r w:rsidR="00463A6D" w:rsidRPr="001C0A4B">
        <w:rPr>
          <w:rFonts w:ascii="Arial" w:hAnsi="Arial" w:cs="Arial"/>
          <w:sz w:val="22"/>
          <w:szCs w:val="22"/>
        </w:rPr>
        <w:t>-PCR analyzer.</w:t>
      </w:r>
      <w:r w:rsidR="00463A6D">
        <w:rPr>
          <w:rFonts w:ascii="Arial" w:hAnsi="Arial" w:cs="Arial"/>
          <w:sz w:val="22"/>
          <w:szCs w:val="22"/>
        </w:rPr>
        <w:t xml:space="preserve"> There is a PerkinElmer Fluorescence </w:t>
      </w:r>
      <w:r w:rsidR="00B32E2C">
        <w:rPr>
          <w:rFonts w:ascii="Arial" w:hAnsi="Arial" w:cs="Arial"/>
          <w:sz w:val="22"/>
          <w:szCs w:val="22"/>
        </w:rPr>
        <w:t>reader</w:t>
      </w:r>
      <w:r w:rsidR="00463A6D">
        <w:rPr>
          <w:rFonts w:ascii="Arial" w:hAnsi="Arial" w:cs="Arial"/>
          <w:sz w:val="22"/>
          <w:szCs w:val="22"/>
        </w:rPr>
        <w:t xml:space="preserve"> for 12-</w:t>
      </w:r>
      <w:r w:rsidR="002444C7">
        <w:rPr>
          <w:rFonts w:ascii="Arial" w:hAnsi="Arial" w:cs="Arial"/>
          <w:sz w:val="22"/>
          <w:szCs w:val="22"/>
        </w:rPr>
        <w:t xml:space="preserve">96 well </w:t>
      </w:r>
      <w:proofErr w:type="spellStart"/>
      <w:r w:rsidR="002444C7">
        <w:rPr>
          <w:rFonts w:ascii="Arial" w:hAnsi="Arial" w:cs="Arial"/>
          <w:sz w:val="22"/>
          <w:szCs w:val="22"/>
        </w:rPr>
        <w:t>microplates</w:t>
      </w:r>
      <w:proofErr w:type="spellEnd"/>
      <w:r w:rsidR="003C6360">
        <w:rPr>
          <w:rFonts w:ascii="Arial" w:hAnsi="Arial" w:cs="Arial"/>
          <w:sz w:val="22"/>
          <w:szCs w:val="22"/>
        </w:rPr>
        <w:t>. There is an a</w:t>
      </w:r>
      <w:r w:rsidR="003C6360" w:rsidRPr="001C0A4B">
        <w:rPr>
          <w:rFonts w:ascii="Arial" w:hAnsi="Arial" w:cs="Arial"/>
          <w:sz w:val="22"/>
          <w:szCs w:val="22"/>
        </w:rPr>
        <w:t xml:space="preserve">pparatus for </w:t>
      </w:r>
      <w:r w:rsidR="003C6360">
        <w:rPr>
          <w:rFonts w:ascii="Arial" w:hAnsi="Arial" w:cs="Arial"/>
          <w:sz w:val="22"/>
          <w:szCs w:val="22"/>
        </w:rPr>
        <w:t xml:space="preserve">both </w:t>
      </w:r>
      <w:proofErr w:type="spellStart"/>
      <w:r w:rsidR="003C6360" w:rsidRPr="001C0A4B">
        <w:rPr>
          <w:rFonts w:ascii="Arial" w:hAnsi="Arial" w:cs="Arial"/>
          <w:sz w:val="22"/>
          <w:szCs w:val="22"/>
        </w:rPr>
        <w:t>agarose</w:t>
      </w:r>
      <w:proofErr w:type="spellEnd"/>
      <w:r w:rsidR="003C6360" w:rsidRPr="001C0A4B">
        <w:rPr>
          <w:rFonts w:ascii="Arial" w:hAnsi="Arial" w:cs="Arial"/>
          <w:sz w:val="22"/>
          <w:szCs w:val="22"/>
        </w:rPr>
        <w:t xml:space="preserve"> and acrylamide gel electrophoresis</w:t>
      </w:r>
      <w:r w:rsidR="003C6360">
        <w:rPr>
          <w:rFonts w:ascii="Arial" w:hAnsi="Arial" w:cs="Arial"/>
          <w:sz w:val="22"/>
          <w:szCs w:val="22"/>
        </w:rPr>
        <w:t>.</w:t>
      </w:r>
      <w:r w:rsidR="00B32E2C">
        <w:rPr>
          <w:rFonts w:ascii="Arial" w:hAnsi="Arial" w:cs="Arial"/>
          <w:sz w:val="22"/>
          <w:szCs w:val="22"/>
        </w:rPr>
        <w:t xml:space="preserve"> </w:t>
      </w:r>
    </w:p>
    <w:p w14:paraId="56AEAE9C" w14:textId="77777777" w:rsidR="00B12CF0" w:rsidRPr="001C0A4B" w:rsidRDefault="00B12CF0" w:rsidP="00B12CF0">
      <w:pPr>
        <w:widowControl w:val="0"/>
        <w:autoSpaceDE w:val="0"/>
        <w:autoSpaceDN w:val="0"/>
        <w:adjustRightInd w:val="0"/>
        <w:spacing w:after="240" w:line="276" w:lineRule="auto"/>
        <w:jc w:val="both"/>
        <w:rPr>
          <w:rFonts w:ascii="Arial" w:hAnsi="Arial" w:cs="Arial"/>
          <w:bCs/>
          <w:sz w:val="22"/>
          <w:szCs w:val="22"/>
        </w:rPr>
      </w:pPr>
      <w:r w:rsidRPr="001C0A4B">
        <w:rPr>
          <w:rFonts w:ascii="Arial" w:hAnsi="Arial" w:cs="Arial"/>
          <w:b/>
          <w:bCs/>
          <w:sz w:val="22"/>
          <w:szCs w:val="22"/>
        </w:rPr>
        <w:t xml:space="preserve">YALE TISSUE PROCUREMENT SERVICES (YTPS): </w:t>
      </w:r>
      <w:r>
        <w:rPr>
          <w:rFonts w:ascii="Arial" w:hAnsi="Arial" w:cs="Arial"/>
          <w:bCs/>
          <w:sz w:val="22"/>
          <w:szCs w:val="22"/>
        </w:rPr>
        <w:t>T</w:t>
      </w:r>
      <w:r w:rsidRPr="001C0A4B">
        <w:rPr>
          <w:rFonts w:ascii="Arial" w:hAnsi="Arial" w:cs="Arial"/>
          <w:bCs/>
          <w:sz w:val="22"/>
          <w:szCs w:val="22"/>
        </w:rPr>
        <w:t>his shared resource is run by the Department of Pathology. The research team ensures that specimens removed from the operating room are procured within 30 minutes. Using standard operating procedures for each approved protocol; specimens can be obtained based on investigator preferences. For our heterogeneity assessment the research team obtains three distinct tumor regions that are snap frozen in liquid nitrogen for later use.</w:t>
      </w:r>
      <w:r>
        <w:rPr>
          <w:rFonts w:ascii="Arial" w:hAnsi="Arial" w:cs="Arial"/>
          <w:bCs/>
          <w:sz w:val="22"/>
          <w:szCs w:val="22"/>
        </w:rPr>
        <w:t xml:space="preserve"> Other aspects of this service are the ability to retrieve well-annotated formalin-fixed pathology specimens. The Yale Pathology Archives dates back to the 1950s’ and there are over 2000 nephrectomy specimens available.</w:t>
      </w:r>
    </w:p>
    <w:p w14:paraId="28052813" w14:textId="0612CCAD" w:rsidR="00B4378C" w:rsidRPr="001C0A4B" w:rsidRDefault="00B4378C" w:rsidP="00B4378C">
      <w:pPr>
        <w:widowControl w:val="0"/>
        <w:autoSpaceDE w:val="0"/>
        <w:autoSpaceDN w:val="0"/>
        <w:adjustRightInd w:val="0"/>
        <w:spacing w:after="240" w:line="276" w:lineRule="auto"/>
        <w:jc w:val="both"/>
        <w:rPr>
          <w:rFonts w:ascii="Arial" w:hAnsi="Arial" w:cs="Arial"/>
          <w:bCs/>
          <w:sz w:val="22"/>
          <w:szCs w:val="22"/>
        </w:rPr>
      </w:pPr>
      <w:r w:rsidRPr="001C0A4B">
        <w:rPr>
          <w:rFonts w:ascii="Arial" w:hAnsi="Arial" w:cs="Arial"/>
          <w:b/>
          <w:bCs/>
          <w:sz w:val="22"/>
          <w:szCs w:val="22"/>
        </w:rPr>
        <w:t>YALE GENTIOURINARY BIOSPECIMEN REPOSITORY</w:t>
      </w:r>
      <w:r w:rsidRPr="00A041F2">
        <w:rPr>
          <w:rFonts w:ascii="Arial" w:hAnsi="Arial" w:cs="Arial"/>
          <w:b/>
          <w:bCs/>
          <w:sz w:val="22"/>
          <w:szCs w:val="22"/>
        </w:rPr>
        <w:t xml:space="preserve">: </w:t>
      </w:r>
      <w:r>
        <w:rPr>
          <w:rFonts w:ascii="Arial" w:hAnsi="Arial" w:cs="Arial"/>
          <w:bCs/>
          <w:sz w:val="22"/>
          <w:szCs w:val="22"/>
        </w:rPr>
        <w:t>Th</w:t>
      </w:r>
      <w:r w:rsidRPr="001C0A4B">
        <w:rPr>
          <w:rFonts w:ascii="Arial" w:hAnsi="Arial" w:cs="Arial"/>
          <w:bCs/>
          <w:sz w:val="22"/>
          <w:szCs w:val="22"/>
        </w:rPr>
        <w:t xml:space="preserve">is Urology </w:t>
      </w:r>
      <w:r w:rsidR="00B12CF0">
        <w:rPr>
          <w:rFonts w:ascii="Arial" w:hAnsi="Arial" w:cs="Arial"/>
          <w:bCs/>
          <w:sz w:val="22"/>
          <w:szCs w:val="22"/>
        </w:rPr>
        <w:t xml:space="preserve">Laboratory houses the Genitourinary </w:t>
      </w:r>
      <w:proofErr w:type="spellStart"/>
      <w:r w:rsidR="00B12CF0">
        <w:rPr>
          <w:rFonts w:ascii="Arial" w:hAnsi="Arial" w:cs="Arial"/>
          <w:bCs/>
          <w:sz w:val="22"/>
          <w:szCs w:val="22"/>
        </w:rPr>
        <w:t>Biospecimen</w:t>
      </w:r>
      <w:proofErr w:type="spellEnd"/>
      <w:r w:rsidR="00B12CF0">
        <w:rPr>
          <w:rFonts w:ascii="Arial" w:hAnsi="Arial" w:cs="Arial"/>
          <w:bCs/>
          <w:sz w:val="22"/>
          <w:szCs w:val="22"/>
        </w:rPr>
        <w:t xml:space="preserve"> Repository. </w:t>
      </w:r>
      <w:r w:rsidRPr="001C0A4B">
        <w:rPr>
          <w:rFonts w:ascii="Arial" w:hAnsi="Arial" w:cs="Arial"/>
          <w:bCs/>
          <w:sz w:val="22"/>
          <w:szCs w:val="22"/>
        </w:rPr>
        <w:t xml:space="preserve">Patient blood and urine samples are procured in clinic or prior to surgery. Blood samples are spun down for component separation with an </w:t>
      </w:r>
      <w:proofErr w:type="spellStart"/>
      <w:r w:rsidRPr="001C0A4B">
        <w:rPr>
          <w:rFonts w:ascii="Arial" w:hAnsi="Arial" w:cs="Arial"/>
          <w:bCs/>
          <w:sz w:val="22"/>
          <w:szCs w:val="22"/>
        </w:rPr>
        <w:t>Eppendorf</w:t>
      </w:r>
      <w:proofErr w:type="spellEnd"/>
      <w:r w:rsidRPr="001C0A4B">
        <w:rPr>
          <w:rFonts w:ascii="Arial" w:hAnsi="Arial" w:cs="Arial"/>
          <w:bCs/>
          <w:sz w:val="22"/>
          <w:szCs w:val="22"/>
        </w:rPr>
        <w:t xml:space="preserve"> 5804 </w:t>
      </w:r>
      <w:r w:rsidRPr="001C0A4B">
        <w:rPr>
          <w:rFonts w:ascii="Arial" w:hAnsi="Arial" w:cs="Arial"/>
          <w:bCs/>
          <w:sz w:val="22"/>
          <w:szCs w:val="22"/>
        </w:rPr>
        <w:lastRenderedPageBreak/>
        <w:t xml:space="preserve">Refrigeration Centrifuge unit. </w:t>
      </w:r>
      <w:r w:rsidR="00B12CF0">
        <w:rPr>
          <w:rFonts w:ascii="Arial" w:hAnsi="Arial" w:cs="Arial"/>
          <w:bCs/>
          <w:sz w:val="22"/>
          <w:szCs w:val="22"/>
        </w:rPr>
        <w:t xml:space="preserve">Cancer tissue obtained from with the YTPS </w:t>
      </w:r>
      <w:r w:rsidR="000B1CD7">
        <w:rPr>
          <w:rFonts w:ascii="Arial" w:hAnsi="Arial" w:cs="Arial"/>
          <w:bCs/>
          <w:sz w:val="22"/>
          <w:szCs w:val="22"/>
        </w:rPr>
        <w:t xml:space="preserve">is processed in the laboratory. </w:t>
      </w:r>
      <w:r w:rsidRPr="001C0A4B">
        <w:rPr>
          <w:rFonts w:ascii="Arial" w:hAnsi="Arial" w:cs="Arial"/>
          <w:bCs/>
          <w:sz w:val="22"/>
          <w:szCs w:val="22"/>
        </w:rPr>
        <w:t>DNA from whole blood</w:t>
      </w:r>
      <w:r w:rsidR="000B1CD7">
        <w:rPr>
          <w:rFonts w:ascii="Arial" w:hAnsi="Arial" w:cs="Arial"/>
          <w:bCs/>
          <w:sz w:val="22"/>
          <w:szCs w:val="22"/>
        </w:rPr>
        <w:t xml:space="preserve"> or tumor tissue is</w:t>
      </w:r>
      <w:r w:rsidRPr="001C0A4B">
        <w:rPr>
          <w:rFonts w:ascii="Arial" w:hAnsi="Arial" w:cs="Arial"/>
          <w:bCs/>
          <w:sz w:val="22"/>
          <w:szCs w:val="22"/>
        </w:rPr>
        <w:t xml:space="preserve"> extracted using an automated </w:t>
      </w:r>
      <w:r>
        <w:rPr>
          <w:rFonts w:ascii="Arial" w:hAnsi="Arial" w:cs="Arial"/>
          <w:bCs/>
          <w:sz w:val="22"/>
          <w:szCs w:val="22"/>
        </w:rPr>
        <w:t xml:space="preserve">system, the </w:t>
      </w:r>
      <w:proofErr w:type="spellStart"/>
      <w:r w:rsidRPr="001C0A4B">
        <w:rPr>
          <w:rFonts w:ascii="Arial" w:hAnsi="Arial" w:cs="Arial"/>
          <w:bCs/>
          <w:sz w:val="22"/>
          <w:szCs w:val="22"/>
        </w:rPr>
        <w:t>Promega</w:t>
      </w:r>
      <w:proofErr w:type="spellEnd"/>
      <w:r>
        <w:rPr>
          <w:rFonts w:ascii="Arial" w:hAnsi="Arial" w:cs="Arial"/>
          <w:bCs/>
          <w:sz w:val="22"/>
          <w:szCs w:val="22"/>
        </w:rPr>
        <w:t>,</w:t>
      </w:r>
      <w:r w:rsidRPr="001C0A4B">
        <w:rPr>
          <w:rFonts w:ascii="Arial" w:hAnsi="Arial" w:cs="Arial"/>
          <w:bCs/>
          <w:sz w:val="22"/>
          <w:szCs w:val="22"/>
        </w:rPr>
        <w:t xml:space="preserve"> Maxwell 16 research instrument. A Thermo Scientific </w:t>
      </w:r>
      <w:proofErr w:type="spellStart"/>
      <w:r w:rsidRPr="001C0A4B">
        <w:rPr>
          <w:rFonts w:ascii="Arial" w:hAnsi="Arial" w:cs="Arial"/>
          <w:bCs/>
          <w:sz w:val="22"/>
          <w:szCs w:val="22"/>
        </w:rPr>
        <w:t>Nanodrop</w:t>
      </w:r>
      <w:proofErr w:type="spellEnd"/>
      <w:r w:rsidRPr="001C0A4B">
        <w:rPr>
          <w:rFonts w:ascii="Arial" w:hAnsi="Arial" w:cs="Arial"/>
          <w:bCs/>
          <w:sz w:val="22"/>
          <w:szCs w:val="22"/>
        </w:rPr>
        <w:t xml:space="preserve"> unit is available for determination of DNA concentration.</w:t>
      </w:r>
      <w:r w:rsidR="00B12CF0">
        <w:rPr>
          <w:rFonts w:ascii="Arial" w:hAnsi="Arial" w:cs="Arial"/>
          <w:bCs/>
          <w:sz w:val="22"/>
          <w:szCs w:val="22"/>
        </w:rPr>
        <w:t xml:space="preserve"> </w:t>
      </w:r>
      <w:r w:rsidR="00B12CF0">
        <w:rPr>
          <w:rFonts w:ascii="Arial" w:hAnsi="Arial" w:cs="Arial"/>
          <w:sz w:val="22"/>
          <w:szCs w:val="22"/>
        </w:rPr>
        <w:t xml:space="preserve">Specimens are labeled with a Zebra barcoding system and tracking monitored with an </w:t>
      </w:r>
      <w:proofErr w:type="spellStart"/>
      <w:r w:rsidR="00B12CF0">
        <w:rPr>
          <w:rFonts w:ascii="Arial" w:hAnsi="Arial" w:cs="Arial"/>
          <w:sz w:val="22"/>
          <w:szCs w:val="22"/>
        </w:rPr>
        <w:t>OnCore</w:t>
      </w:r>
      <w:proofErr w:type="spellEnd"/>
      <w:r w:rsidR="00B12CF0">
        <w:rPr>
          <w:rFonts w:ascii="Arial" w:hAnsi="Arial" w:cs="Arial"/>
          <w:sz w:val="22"/>
          <w:szCs w:val="22"/>
        </w:rPr>
        <w:t xml:space="preserve"> </w:t>
      </w:r>
      <w:proofErr w:type="spellStart"/>
      <w:r w:rsidR="00B12CF0">
        <w:rPr>
          <w:rFonts w:ascii="Arial" w:hAnsi="Arial" w:cs="Arial"/>
          <w:sz w:val="22"/>
          <w:szCs w:val="22"/>
        </w:rPr>
        <w:t>Biospecimen</w:t>
      </w:r>
      <w:proofErr w:type="spellEnd"/>
      <w:r w:rsidR="00B12CF0">
        <w:rPr>
          <w:rFonts w:ascii="Arial" w:hAnsi="Arial" w:cs="Arial"/>
          <w:sz w:val="22"/>
          <w:szCs w:val="22"/>
        </w:rPr>
        <w:t xml:space="preserve"> Management system.</w:t>
      </w:r>
      <w:r w:rsidR="000B1CD7">
        <w:rPr>
          <w:rFonts w:ascii="Arial" w:hAnsi="Arial" w:cs="Arial"/>
          <w:bCs/>
          <w:sz w:val="22"/>
          <w:szCs w:val="22"/>
        </w:rPr>
        <w:t xml:space="preserve"> </w:t>
      </w:r>
      <w:r w:rsidRPr="001C0A4B">
        <w:rPr>
          <w:rFonts w:ascii="Arial" w:hAnsi="Arial" w:cs="Arial"/>
          <w:bCs/>
          <w:sz w:val="22"/>
          <w:szCs w:val="22"/>
        </w:rPr>
        <w:t xml:space="preserve">All </w:t>
      </w:r>
      <w:proofErr w:type="spellStart"/>
      <w:r w:rsidRPr="001C0A4B">
        <w:rPr>
          <w:rFonts w:ascii="Arial" w:hAnsi="Arial" w:cs="Arial"/>
          <w:bCs/>
          <w:sz w:val="22"/>
          <w:szCs w:val="22"/>
        </w:rPr>
        <w:t>biospecimen</w:t>
      </w:r>
      <w:proofErr w:type="spellEnd"/>
      <w:r w:rsidRPr="001C0A4B">
        <w:rPr>
          <w:rFonts w:ascii="Arial" w:hAnsi="Arial" w:cs="Arial"/>
          <w:bCs/>
          <w:sz w:val="22"/>
          <w:szCs w:val="22"/>
        </w:rPr>
        <w:t xml:space="preserve"> materials are barcoded, catalogued, and stored in a </w:t>
      </w:r>
      <w:r w:rsidR="000B1CD7">
        <w:rPr>
          <w:rFonts w:ascii="Arial" w:hAnsi="Arial" w:cs="Arial"/>
          <w:bCs/>
          <w:sz w:val="22"/>
          <w:szCs w:val="22"/>
        </w:rPr>
        <w:t xml:space="preserve">dedicated </w:t>
      </w:r>
      <w:r w:rsidRPr="001C0A4B">
        <w:rPr>
          <w:rFonts w:ascii="Arial" w:hAnsi="Arial" w:cs="Arial"/>
          <w:bCs/>
          <w:sz w:val="22"/>
          <w:szCs w:val="22"/>
        </w:rPr>
        <w:t xml:space="preserve">-86˚C Thermo Scientific Ultra-Low Temperature Freezer with </w:t>
      </w:r>
      <w:r>
        <w:rPr>
          <w:rFonts w:ascii="Arial" w:hAnsi="Arial" w:cs="Arial"/>
          <w:bCs/>
          <w:sz w:val="22"/>
          <w:szCs w:val="22"/>
        </w:rPr>
        <w:t xml:space="preserve">storage space </w:t>
      </w:r>
      <w:r w:rsidRPr="001C0A4B">
        <w:rPr>
          <w:rFonts w:ascii="Arial" w:hAnsi="Arial" w:cs="Arial"/>
          <w:bCs/>
          <w:sz w:val="22"/>
          <w:szCs w:val="22"/>
        </w:rPr>
        <w:t xml:space="preserve">for over 86,000 </w:t>
      </w:r>
      <w:proofErr w:type="spellStart"/>
      <w:r w:rsidRPr="001C0A4B">
        <w:rPr>
          <w:rFonts w:ascii="Arial" w:hAnsi="Arial" w:cs="Arial"/>
          <w:bCs/>
          <w:sz w:val="22"/>
          <w:szCs w:val="22"/>
        </w:rPr>
        <w:t>biospecimens</w:t>
      </w:r>
      <w:proofErr w:type="spellEnd"/>
      <w:r w:rsidRPr="001C0A4B">
        <w:rPr>
          <w:rFonts w:ascii="Arial" w:hAnsi="Arial" w:cs="Arial"/>
          <w:bCs/>
          <w:sz w:val="22"/>
          <w:szCs w:val="22"/>
        </w:rPr>
        <w:t>.</w:t>
      </w:r>
      <w:bookmarkStart w:id="0" w:name="_GoBack"/>
      <w:bookmarkEnd w:id="0"/>
    </w:p>
    <w:p w14:paraId="320D04A8" w14:textId="3CBC0DD9" w:rsidR="00D2427D" w:rsidRDefault="00D2427D" w:rsidP="00B4378C">
      <w:pPr>
        <w:widowControl w:val="0"/>
        <w:autoSpaceDE w:val="0"/>
        <w:autoSpaceDN w:val="0"/>
        <w:adjustRightInd w:val="0"/>
        <w:spacing w:after="240" w:line="276" w:lineRule="auto"/>
        <w:jc w:val="both"/>
        <w:rPr>
          <w:rFonts w:ascii="Arial" w:hAnsi="Arial" w:cs="Arial"/>
          <w:sz w:val="22"/>
          <w:szCs w:val="22"/>
        </w:rPr>
      </w:pPr>
      <w:r w:rsidRPr="001C0A4B">
        <w:rPr>
          <w:rFonts w:ascii="Arial" w:hAnsi="Arial" w:cs="Arial"/>
          <w:b/>
          <w:bCs/>
          <w:sz w:val="22"/>
          <w:szCs w:val="22"/>
        </w:rPr>
        <w:t xml:space="preserve">YALE CENTER FOR GENOME ANALYSIS (YCGA) </w:t>
      </w:r>
      <w:r w:rsidRPr="001C0A4B">
        <w:rPr>
          <w:rFonts w:ascii="Arial" w:hAnsi="Arial" w:cs="Arial"/>
          <w:sz w:val="22"/>
          <w:szCs w:val="22"/>
        </w:rPr>
        <w:t xml:space="preserve">has multiple next-generation sequencing systems including </w:t>
      </w:r>
      <w:proofErr w:type="spellStart"/>
      <w:r w:rsidR="001702CD" w:rsidRPr="001C0A4B">
        <w:rPr>
          <w:rFonts w:ascii="Arial" w:hAnsi="Arial" w:cs="Arial"/>
          <w:sz w:val="22"/>
          <w:szCs w:val="22"/>
        </w:rPr>
        <w:t>Illumina</w:t>
      </w:r>
      <w:proofErr w:type="spellEnd"/>
      <w:r w:rsidR="001702CD" w:rsidRPr="001C0A4B">
        <w:rPr>
          <w:rFonts w:ascii="Arial" w:hAnsi="Arial" w:cs="Arial"/>
          <w:sz w:val="22"/>
          <w:szCs w:val="22"/>
        </w:rPr>
        <w:t xml:space="preserve"> </w:t>
      </w:r>
      <w:proofErr w:type="spellStart"/>
      <w:r w:rsidR="001702CD" w:rsidRPr="001C0A4B">
        <w:rPr>
          <w:rFonts w:ascii="Arial" w:hAnsi="Arial" w:cs="Arial"/>
          <w:sz w:val="22"/>
          <w:szCs w:val="22"/>
        </w:rPr>
        <w:t>HiSeq</w:t>
      </w:r>
      <w:proofErr w:type="spellEnd"/>
      <w:r w:rsidR="001702CD" w:rsidRPr="001C0A4B">
        <w:rPr>
          <w:rFonts w:ascii="Arial" w:hAnsi="Arial" w:cs="Arial"/>
          <w:sz w:val="22"/>
          <w:szCs w:val="22"/>
        </w:rPr>
        <w:t xml:space="preserve"> 2000 (8 machines)</w:t>
      </w:r>
      <w:r w:rsidR="00425C6F">
        <w:rPr>
          <w:rFonts w:ascii="Arial" w:hAnsi="Arial" w:cs="Arial"/>
          <w:sz w:val="22"/>
          <w:szCs w:val="22"/>
        </w:rPr>
        <w:t xml:space="preserve">, </w:t>
      </w:r>
      <w:proofErr w:type="spellStart"/>
      <w:r w:rsidRPr="001C0A4B">
        <w:rPr>
          <w:rFonts w:ascii="Arial" w:hAnsi="Arial" w:cs="Arial"/>
          <w:sz w:val="22"/>
          <w:szCs w:val="22"/>
        </w:rPr>
        <w:t>HiSeq</w:t>
      </w:r>
      <w:proofErr w:type="spellEnd"/>
      <w:r w:rsidRPr="001C0A4B">
        <w:rPr>
          <w:rFonts w:ascii="Arial" w:hAnsi="Arial" w:cs="Arial"/>
          <w:sz w:val="22"/>
          <w:szCs w:val="22"/>
        </w:rPr>
        <w:t xml:space="preserve"> 2500</w:t>
      </w:r>
      <w:r w:rsidR="001702CD" w:rsidRPr="001C0A4B">
        <w:rPr>
          <w:rFonts w:ascii="Arial" w:hAnsi="Arial" w:cs="Arial"/>
          <w:sz w:val="22"/>
          <w:szCs w:val="22"/>
        </w:rPr>
        <w:t xml:space="preserve"> (2 machines)</w:t>
      </w:r>
      <w:r w:rsidR="00425C6F">
        <w:rPr>
          <w:rFonts w:ascii="Arial" w:hAnsi="Arial" w:cs="Arial"/>
          <w:sz w:val="22"/>
          <w:szCs w:val="22"/>
        </w:rPr>
        <w:t xml:space="preserve">, and </w:t>
      </w:r>
      <w:proofErr w:type="spellStart"/>
      <w:r w:rsidR="00425C6F">
        <w:rPr>
          <w:rFonts w:ascii="Arial" w:hAnsi="Arial" w:cs="Arial"/>
          <w:sz w:val="22"/>
          <w:szCs w:val="22"/>
        </w:rPr>
        <w:t>MiSeq</w:t>
      </w:r>
      <w:proofErr w:type="spellEnd"/>
      <w:r w:rsidR="00425C6F">
        <w:rPr>
          <w:rFonts w:ascii="Arial" w:hAnsi="Arial" w:cs="Arial"/>
          <w:sz w:val="22"/>
          <w:szCs w:val="22"/>
        </w:rPr>
        <w:t xml:space="preserve"> (1 machine)</w:t>
      </w:r>
      <w:r w:rsidRPr="001C0A4B">
        <w:rPr>
          <w:rFonts w:ascii="Arial" w:hAnsi="Arial" w:cs="Arial"/>
          <w:sz w:val="22"/>
          <w:szCs w:val="22"/>
        </w:rPr>
        <w:t xml:space="preserve">. </w:t>
      </w:r>
      <w:r w:rsidR="00935C6F">
        <w:rPr>
          <w:rFonts w:ascii="Arial" w:hAnsi="Arial" w:cs="Arial"/>
          <w:sz w:val="22"/>
          <w:szCs w:val="22"/>
        </w:rPr>
        <w:t xml:space="preserve">The core has </w:t>
      </w:r>
      <w:proofErr w:type="gramStart"/>
      <w:r w:rsidR="00935C6F">
        <w:rPr>
          <w:rFonts w:ascii="Arial" w:hAnsi="Arial" w:cs="Arial"/>
          <w:sz w:val="22"/>
          <w:szCs w:val="22"/>
        </w:rPr>
        <w:t>a</w:t>
      </w:r>
      <w:proofErr w:type="gramEnd"/>
      <w:r w:rsidR="00935C6F">
        <w:rPr>
          <w:rFonts w:ascii="Arial" w:hAnsi="Arial" w:cs="Arial"/>
          <w:sz w:val="22"/>
          <w:szCs w:val="22"/>
        </w:rPr>
        <w:t xml:space="preserve"> </w:t>
      </w:r>
      <w:proofErr w:type="spellStart"/>
      <w:r w:rsidR="00935C6F">
        <w:rPr>
          <w:rFonts w:ascii="Arial" w:hAnsi="Arial" w:cs="Arial"/>
          <w:sz w:val="22"/>
          <w:szCs w:val="22"/>
        </w:rPr>
        <w:t>Agena</w:t>
      </w:r>
      <w:proofErr w:type="spellEnd"/>
      <w:r w:rsidR="00935C6F" w:rsidRPr="00935C6F">
        <w:rPr>
          <w:rFonts w:ascii="Arial" w:hAnsi="Arial" w:cs="Arial"/>
          <w:sz w:val="22"/>
          <w:szCs w:val="22"/>
        </w:rPr>
        <w:t xml:space="preserve"> </w:t>
      </w:r>
      <w:proofErr w:type="spellStart"/>
      <w:r w:rsidR="00935C6F" w:rsidRPr="00935C6F">
        <w:rPr>
          <w:rFonts w:ascii="Arial" w:hAnsi="Arial" w:cs="Arial"/>
          <w:sz w:val="22"/>
          <w:szCs w:val="22"/>
        </w:rPr>
        <w:t>MassArray</w:t>
      </w:r>
      <w:proofErr w:type="spellEnd"/>
      <w:r w:rsidR="00935C6F" w:rsidRPr="00935C6F">
        <w:rPr>
          <w:rFonts w:ascii="Arial" w:hAnsi="Arial" w:cs="Arial"/>
          <w:sz w:val="22"/>
          <w:szCs w:val="22"/>
        </w:rPr>
        <w:t xml:space="preserve"> MALDI-TOF</w:t>
      </w:r>
      <w:r w:rsidR="00935C6F">
        <w:rPr>
          <w:rFonts w:ascii="Arial" w:hAnsi="Arial" w:cs="Arial"/>
          <w:sz w:val="22"/>
          <w:szCs w:val="22"/>
        </w:rPr>
        <w:t xml:space="preserve"> system for multiplex PCR analysis of a panel of gene regions. </w:t>
      </w:r>
      <w:r w:rsidRPr="001C0A4B">
        <w:rPr>
          <w:rFonts w:ascii="Arial" w:hAnsi="Arial" w:cs="Arial"/>
          <w:sz w:val="22"/>
          <w:szCs w:val="22"/>
        </w:rPr>
        <w:t xml:space="preserve">The core facility </w:t>
      </w:r>
      <w:r w:rsidR="00935C6F">
        <w:rPr>
          <w:rFonts w:ascii="Arial" w:hAnsi="Arial" w:cs="Arial"/>
          <w:sz w:val="22"/>
          <w:szCs w:val="22"/>
        </w:rPr>
        <w:t xml:space="preserve">also </w:t>
      </w:r>
      <w:r w:rsidR="001702CD" w:rsidRPr="001C0A4B">
        <w:rPr>
          <w:rFonts w:ascii="Arial" w:hAnsi="Arial" w:cs="Arial"/>
          <w:sz w:val="22"/>
          <w:szCs w:val="22"/>
        </w:rPr>
        <w:t>has</w:t>
      </w:r>
      <w:r w:rsidRPr="001C0A4B">
        <w:rPr>
          <w:rFonts w:ascii="Arial" w:hAnsi="Arial" w:cs="Arial"/>
          <w:sz w:val="22"/>
          <w:szCs w:val="22"/>
        </w:rPr>
        <w:t xml:space="preserve"> expertise </w:t>
      </w:r>
      <w:r w:rsidR="001702CD" w:rsidRPr="001C0A4B">
        <w:rPr>
          <w:rFonts w:ascii="Arial" w:hAnsi="Arial" w:cs="Arial"/>
          <w:sz w:val="22"/>
          <w:szCs w:val="22"/>
        </w:rPr>
        <w:t>in library preparation for</w:t>
      </w:r>
      <w:r w:rsidRPr="001C0A4B">
        <w:rPr>
          <w:rFonts w:ascii="Arial" w:hAnsi="Arial" w:cs="Arial"/>
          <w:sz w:val="22"/>
          <w:szCs w:val="22"/>
        </w:rPr>
        <w:t xml:space="preserve"> whole genome sequencing, </w:t>
      </w:r>
      <w:proofErr w:type="spellStart"/>
      <w:r w:rsidRPr="001C0A4B">
        <w:rPr>
          <w:rFonts w:ascii="Arial" w:hAnsi="Arial" w:cs="Arial"/>
          <w:sz w:val="22"/>
          <w:szCs w:val="22"/>
        </w:rPr>
        <w:t>exome</w:t>
      </w:r>
      <w:proofErr w:type="spellEnd"/>
      <w:r w:rsidRPr="001C0A4B">
        <w:rPr>
          <w:rFonts w:ascii="Arial" w:hAnsi="Arial" w:cs="Arial"/>
          <w:sz w:val="22"/>
          <w:szCs w:val="22"/>
        </w:rPr>
        <w:t xml:space="preserve"> sequencing, mRNA sequencing, and </w:t>
      </w:r>
      <w:proofErr w:type="spellStart"/>
      <w:r w:rsidRPr="001C0A4B">
        <w:rPr>
          <w:rFonts w:ascii="Arial" w:hAnsi="Arial" w:cs="Arial"/>
          <w:sz w:val="22"/>
          <w:szCs w:val="22"/>
        </w:rPr>
        <w:t>ChIP</w:t>
      </w:r>
      <w:proofErr w:type="spellEnd"/>
      <w:r w:rsidRPr="001C0A4B">
        <w:rPr>
          <w:rFonts w:ascii="Arial" w:hAnsi="Arial" w:cs="Arial"/>
          <w:sz w:val="22"/>
          <w:szCs w:val="22"/>
        </w:rPr>
        <w:t xml:space="preserve"> sequencing. They have technical expertise to capture </w:t>
      </w:r>
      <w:proofErr w:type="spellStart"/>
      <w:r w:rsidRPr="001C0A4B">
        <w:rPr>
          <w:rFonts w:ascii="Arial" w:hAnsi="Arial" w:cs="Arial"/>
          <w:sz w:val="22"/>
          <w:szCs w:val="22"/>
        </w:rPr>
        <w:t>exomes</w:t>
      </w:r>
      <w:proofErr w:type="spellEnd"/>
      <w:r w:rsidRPr="001C0A4B">
        <w:rPr>
          <w:rFonts w:ascii="Arial" w:hAnsi="Arial" w:cs="Arial"/>
          <w:sz w:val="22"/>
          <w:szCs w:val="22"/>
        </w:rPr>
        <w:t xml:space="preserve"> from formalin fixed paraffin embedded tissues and capture mRNA libraries from &lt;10,000 cells.</w:t>
      </w:r>
      <w:r w:rsidR="001702CD" w:rsidRPr="001C0A4B">
        <w:rPr>
          <w:rFonts w:ascii="Arial" w:hAnsi="Arial" w:cs="Arial"/>
          <w:sz w:val="22"/>
          <w:szCs w:val="22"/>
        </w:rPr>
        <w:t xml:space="preserve"> Additionally they have specific expertise in running experiments involving Molecular Inversion Probe (MIP) sequencing.</w:t>
      </w:r>
      <w:r w:rsidR="00935C6F">
        <w:rPr>
          <w:rFonts w:ascii="Arial" w:hAnsi="Arial" w:cs="Arial"/>
          <w:sz w:val="22"/>
          <w:szCs w:val="22"/>
        </w:rPr>
        <w:t xml:space="preserve"> </w:t>
      </w:r>
    </w:p>
    <w:p w14:paraId="04B5E4E7" w14:textId="77777777" w:rsidR="00585211" w:rsidRDefault="00585211" w:rsidP="002E1D87">
      <w:pPr>
        <w:widowControl w:val="0"/>
        <w:autoSpaceDE w:val="0"/>
        <w:autoSpaceDN w:val="0"/>
        <w:adjustRightInd w:val="0"/>
        <w:spacing w:after="240" w:line="276" w:lineRule="auto"/>
        <w:jc w:val="both"/>
        <w:rPr>
          <w:rFonts w:ascii="Arial" w:hAnsi="Arial" w:cs="Arial"/>
          <w:sz w:val="22"/>
          <w:szCs w:val="22"/>
        </w:rPr>
      </w:pPr>
      <w:r>
        <w:rPr>
          <w:rFonts w:ascii="Arial" w:hAnsi="Arial" w:cs="Arial"/>
          <w:sz w:val="22"/>
          <w:szCs w:val="22"/>
        </w:rPr>
        <w:t>Other available equipment includes:</w:t>
      </w:r>
    </w:p>
    <w:p w14:paraId="0A87A738" w14:textId="43C0305C" w:rsidR="00585211" w:rsidRPr="00585211" w:rsidRDefault="00585211" w:rsidP="002E1D87">
      <w:pPr>
        <w:pStyle w:val="ListParagraph"/>
        <w:widowControl w:val="0"/>
        <w:numPr>
          <w:ilvl w:val="0"/>
          <w:numId w:val="2"/>
        </w:numPr>
        <w:autoSpaceDE w:val="0"/>
        <w:autoSpaceDN w:val="0"/>
        <w:adjustRightInd w:val="0"/>
        <w:spacing w:after="240" w:line="276" w:lineRule="auto"/>
        <w:jc w:val="both"/>
        <w:rPr>
          <w:rFonts w:ascii="Arial" w:hAnsi="Arial" w:cs="Arial"/>
          <w:sz w:val="22"/>
          <w:szCs w:val="22"/>
        </w:rPr>
      </w:pPr>
      <w:r w:rsidRPr="00585211">
        <w:rPr>
          <w:rFonts w:ascii="Arial" w:hAnsi="Arial" w:cs="Arial"/>
          <w:sz w:val="22"/>
          <w:szCs w:val="22"/>
        </w:rPr>
        <w:t xml:space="preserve">One Pacific Bioscience third generation sequencer </w:t>
      </w:r>
    </w:p>
    <w:p w14:paraId="16D3468D" w14:textId="77777777" w:rsidR="00585211" w:rsidRPr="00585211" w:rsidRDefault="00585211" w:rsidP="002E1D87">
      <w:pPr>
        <w:pStyle w:val="ListParagraph"/>
        <w:numPr>
          <w:ilvl w:val="0"/>
          <w:numId w:val="2"/>
        </w:numPr>
        <w:spacing w:line="276" w:lineRule="auto"/>
        <w:jc w:val="both"/>
        <w:rPr>
          <w:rFonts w:ascii="Arial" w:hAnsi="Arial" w:cs="Arial"/>
          <w:sz w:val="22"/>
          <w:szCs w:val="22"/>
        </w:rPr>
      </w:pPr>
      <w:r w:rsidRPr="00585211">
        <w:rPr>
          <w:rFonts w:ascii="Arial" w:hAnsi="Arial" w:cs="Arial"/>
          <w:sz w:val="22"/>
          <w:szCs w:val="22"/>
        </w:rPr>
        <w:t xml:space="preserve">One Ion Torrent sequencer </w:t>
      </w:r>
    </w:p>
    <w:p w14:paraId="424647F2" w14:textId="77777777" w:rsidR="00585211" w:rsidRPr="00585211" w:rsidRDefault="00585211" w:rsidP="002E1D87">
      <w:pPr>
        <w:pStyle w:val="ListParagraph"/>
        <w:numPr>
          <w:ilvl w:val="0"/>
          <w:numId w:val="2"/>
        </w:numPr>
        <w:spacing w:line="276" w:lineRule="auto"/>
        <w:jc w:val="both"/>
        <w:rPr>
          <w:rFonts w:ascii="Arial" w:hAnsi="Arial" w:cs="Arial"/>
          <w:sz w:val="22"/>
          <w:szCs w:val="22"/>
        </w:rPr>
      </w:pPr>
      <w:r w:rsidRPr="00585211">
        <w:rPr>
          <w:rFonts w:ascii="Arial" w:hAnsi="Arial" w:cs="Arial"/>
          <w:sz w:val="22"/>
          <w:szCs w:val="22"/>
        </w:rPr>
        <w:t xml:space="preserve">Dell High Performance Cluster; 110 nodes with a total of approximately 1000 cores/CPUs </w:t>
      </w:r>
    </w:p>
    <w:p w14:paraId="4A0F4F4A" w14:textId="77777777" w:rsidR="00585211" w:rsidRPr="00585211" w:rsidRDefault="00585211" w:rsidP="002E1D87">
      <w:pPr>
        <w:pStyle w:val="ListParagraph"/>
        <w:numPr>
          <w:ilvl w:val="0"/>
          <w:numId w:val="2"/>
        </w:numPr>
        <w:spacing w:line="276" w:lineRule="auto"/>
        <w:jc w:val="both"/>
        <w:rPr>
          <w:rFonts w:ascii="Arial" w:hAnsi="Arial" w:cs="Arial"/>
          <w:sz w:val="22"/>
          <w:szCs w:val="22"/>
        </w:rPr>
      </w:pPr>
      <w:r w:rsidRPr="00585211">
        <w:rPr>
          <w:rFonts w:ascii="Arial" w:hAnsi="Arial" w:cs="Arial"/>
          <w:sz w:val="22"/>
          <w:szCs w:val="22"/>
        </w:rPr>
        <w:t xml:space="preserve">Caliper </w:t>
      </w:r>
      <w:proofErr w:type="spellStart"/>
      <w:r w:rsidRPr="00585211">
        <w:rPr>
          <w:rFonts w:ascii="Arial" w:hAnsi="Arial" w:cs="Arial"/>
          <w:sz w:val="22"/>
          <w:szCs w:val="22"/>
        </w:rPr>
        <w:t>LabChip</w:t>
      </w:r>
      <w:proofErr w:type="spellEnd"/>
      <w:r w:rsidRPr="00585211">
        <w:rPr>
          <w:rFonts w:ascii="Arial" w:hAnsi="Arial" w:cs="Arial"/>
          <w:sz w:val="22"/>
          <w:szCs w:val="22"/>
        </w:rPr>
        <w:t xml:space="preserve"> GX system </w:t>
      </w:r>
    </w:p>
    <w:p w14:paraId="4861ABAA" w14:textId="77777777" w:rsidR="00585211" w:rsidRPr="00585211" w:rsidRDefault="00585211" w:rsidP="002E1D87">
      <w:pPr>
        <w:pStyle w:val="ListParagraph"/>
        <w:numPr>
          <w:ilvl w:val="0"/>
          <w:numId w:val="2"/>
        </w:numPr>
        <w:spacing w:line="276" w:lineRule="auto"/>
        <w:jc w:val="both"/>
        <w:rPr>
          <w:rFonts w:ascii="Arial" w:hAnsi="Arial" w:cs="Arial"/>
          <w:sz w:val="22"/>
          <w:szCs w:val="22"/>
        </w:rPr>
      </w:pPr>
      <w:r w:rsidRPr="00585211">
        <w:rPr>
          <w:rFonts w:ascii="Arial" w:hAnsi="Arial" w:cs="Arial"/>
          <w:sz w:val="22"/>
          <w:szCs w:val="22"/>
        </w:rPr>
        <w:t xml:space="preserve">Caliper </w:t>
      </w:r>
      <w:proofErr w:type="spellStart"/>
      <w:r w:rsidRPr="00585211">
        <w:rPr>
          <w:rFonts w:ascii="Arial" w:hAnsi="Arial" w:cs="Arial"/>
          <w:sz w:val="22"/>
          <w:szCs w:val="22"/>
        </w:rPr>
        <w:t>Sciclone</w:t>
      </w:r>
      <w:proofErr w:type="spellEnd"/>
      <w:r w:rsidRPr="00585211">
        <w:rPr>
          <w:rFonts w:ascii="Arial" w:hAnsi="Arial" w:cs="Arial"/>
          <w:sz w:val="22"/>
          <w:szCs w:val="22"/>
        </w:rPr>
        <w:t xml:space="preserve"> liquid hander for library preparation </w:t>
      </w:r>
    </w:p>
    <w:p w14:paraId="6603742B" w14:textId="77777777" w:rsidR="00585211" w:rsidRPr="00585211" w:rsidRDefault="00585211" w:rsidP="002E1D87">
      <w:pPr>
        <w:pStyle w:val="ListParagraph"/>
        <w:numPr>
          <w:ilvl w:val="0"/>
          <w:numId w:val="2"/>
        </w:numPr>
        <w:spacing w:line="276" w:lineRule="auto"/>
        <w:jc w:val="both"/>
        <w:rPr>
          <w:rFonts w:ascii="Arial" w:hAnsi="Arial" w:cs="Arial"/>
          <w:sz w:val="22"/>
          <w:szCs w:val="22"/>
        </w:rPr>
      </w:pPr>
      <w:r w:rsidRPr="00585211">
        <w:rPr>
          <w:rFonts w:ascii="Arial" w:hAnsi="Arial" w:cs="Arial"/>
          <w:sz w:val="22"/>
          <w:szCs w:val="22"/>
        </w:rPr>
        <w:t xml:space="preserve">3 Agilent </w:t>
      </w:r>
      <w:proofErr w:type="spellStart"/>
      <w:r w:rsidRPr="00585211">
        <w:rPr>
          <w:rFonts w:ascii="Arial" w:hAnsi="Arial" w:cs="Arial"/>
          <w:sz w:val="22"/>
          <w:szCs w:val="22"/>
        </w:rPr>
        <w:t>Bioanalyzer</w:t>
      </w:r>
      <w:proofErr w:type="spellEnd"/>
      <w:r w:rsidRPr="00585211">
        <w:rPr>
          <w:rFonts w:ascii="Arial" w:hAnsi="Arial" w:cs="Arial"/>
          <w:sz w:val="22"/>
          <w:szCs w:val="22"/>
        </w:rPr>
        <w:t xml:space="preserve"> for Q/C of RNA, </w:t>
      </w:r>
      <w:proofErr w:type="spellStart"/>
      <w:r w:rsidRPr="00585211">
        <w:rPr>
          <w:rFonts w:ascii="Arial" w:hAnsi="Arial" w:cs="Arial"/>
          <w:sz w:val="22"/>
          <w:szCs w:val="22"/>
        </w:rPr>
        <w:t>cDNA</w:t>
      </w:r>
      <w:proofErr w:type="spellEnd"/>
      <w:r w:rsidRPr="00585211">
        <w:rPr>
          <w:rFonts w:ascii="Arial" w:hAnsi="Arial" w:cs="Arial"/>
          <w:sz w:val="22"/>
          <w:szCs w:val="22"/>
        </w:rPr>
        <w:t xml:space="preserve">, </w:t>
      </w:r>
      <w:proofErr w:type="spellStart"/>
      <w:r w:rsidRPr="00585211">
        <w:rPr>
          <w:rFonts w:ascii="Arial" w:hAnsi="Arial" w:cs="Arial"/>
          <w:sz w:val="22"/>
          <w:szCs w:val="22"/>
        </w:rPr>
        <w:t>cRNA</w:t>
      </w:r>
      <w:proofErr w:type="spellEnd"/>
      <w:r w:rsidRPr="00585211">
        <w:rPr>
          <w:rFonts w:ascii="Arial" w:hAnsi="Arial" w:cs="Arial"/>
          <w:sz w:val="22"/>
          <w:szCs w:val="22"/>
        </w:rPr>
        <w:t xml:space="preserve"> and fragmented </w:t>
      </w:r>
      <w:proofErr w:type="spellStart"/>
      <w:r w:rsidRPr="00585211">
        <w:rPr>
          <w:rFonts w:ascii="Arial" w:hAnsi="Arial" w:cs="Arial"/>
          <w:sz w:val="22"/>
          <w:szCs w:val="22"/>
        </w:rPr>
        <w:t>cRNA</w:t>
      </w:r>
      <w:proofErr w:type="spellEnd"/>
      <w:r w:rsidRPr="00585211">
        <w:rPr>
          <w:rFonts w:ascii="Arial" w:hAnsi="Arial" w:cs="Arial"/>
          <w:sz w:val="22"/>
          <w:szCs w:val="22"/>
        </w:rPr>
        <w:t xml:space="preserve"> </w:t>
      </w:r>
    </w:p>
    <w:p w14:paraId="2D8C868A" w14:textId="77777777" w:rsidR="00585211" w:rsidRPr="00585211" w:rsidRDefault="00585211" w:rsidP="002E1D87">
      <w:pPr>
        <w:pStyle w:val="ListParagraph"/>
        <w:numPr>
          <w:ilvl w:val="0"/>
          <w:numId w:val="2"/>
        </w:numPr>
        <w:spacing w:line="276" w:lineRule="auto"/>
        <w:jc w:val="both"/>
        <w:rPr>
          <w:rFonts w:ascii="Arial" w:hAnsi="Arial" w:cs="Arial"/>
          <w:sz w:val="22"/>
          <w:szCs w:val="22"/>
        </w:rPr>
      </w:pPr>
      <w:proofErr w:type="spellStart"/>
      <w:r w:rsidRPr="00585211">
        <w:rPr>
          <w:rFonts w:ascii="Arial" w:hAnsi="Arial" w:cs="Arial"/>
          <w:sz w:val="22"/>
          <w:szCs w:val="22"/>
        </w:rPr>
        <w:t>Eppendorf</w:t>
      </w:r>
      <w:proofErr w:type="spellEnd"/>
      <w:r w:rsidRPr="00585211">
        <w:rPr>
          <w:rFonts w:ascii="Arial" w:hAnsi="Arial" w:cs="Arial"/>
          <w:sz w:val="22"/>
          <w:szCs w:val="22"/>
        </w:rPr>
        <w:t xml:space="preserve"> </w:t>
      </w:r>
      <w:proofErr w:type="spellStart"/>
      <w:r w:rsidRPr="00585211">
        <w:rPr>
          <w:rFonts w:ascii="Arial" w:hAnsi="Arial" w:cs="Arial"/>
          <w:sz w:val="22"/>
          <w:szCs w:val="22"/>
        </w:rPr>
        <w:t>epMotion</w:t>
      </w:r>
      <w:proofErr w:type="spellEnd"/>
      <w:r w:rsidRPr="00585211">
        <w:rPr>
          <w:rFonts w:ascii="Arial" w:hAnsi="Arial" w:cs="Arial"/>
          <w:sz w:val="22"/>
          <w:szCs w:val="22"/>
        </w:rPr>
        <w:t xml:space="preserve"> 5075LH automated liquid handler </w:t>
      </w:r>
    </w:p>
    <w:p w14:paraId="6B2394D8" w14:textId="77777777" w:rsidR="00585211" w:rsidRPr="00585211" w:rsidRDefault="00585211" w:rsidP="002E1D87">
      <w:pPr>
        <w:pStyle w:val="ListParagraph"/>
        <w:numPr>
          <w:ilvl w:val="0"/>
          <w:numId w:val="2"/>
        </w:numPr>
        <w:spacing w:line="276" w:lineRule="auto"/>
        <w:jc w:val="both"/>
        <w:rPr>
          <w:rFonts w:ascii="Arial" w:hAnsi="Arial" w:cs="Arial"/>
          <w:sz w:val="22"/>
          <w:szCs w:val="22"/>
        </w:rPr>
      </w:pPr>
      <w:r w:rsidRPr="00585211">
        <w:rPr>
          <w:rFonts w:ascii="Arial" w:hAnsi="Arial" w:cs="Arial"/>
          <w:sz w:val="22"/>
          <w:szCs w:val="22"/>
        </w:rPr>
        <w:t xml:space="preserve">Molecular Devices </w:t>
      </w:r>
      <w:proofErr w:type="spellStart"/>
      <w:r w:rsidRPr="00585211">
        <w:rPr>
          <w:rFonts w:ascii="Arial" w:hAnsi="Arial" w:cs="Arial"/>
          <w:sz w:val="22"/>
          <w:szCs w:val="22"/>
        </w:rPr>
        <w:t>SpectraMax</w:t>
      </w:r>
      <w:proofErr w:type="spellEnd"/>
      <w:r w:rsidRPr="00585211">
        <w:rPr>
          <w:rFonts w:ascii="Arial" w:hAnsi="Arial" w:cs="Arial"/>
          <w:sz w:val="22"/>
          <w:szCs w:val="22"/>
        </w:rPr>
        <w:t xml:space="preserve"> II 96/384-well spectrophotometer </w:t>
      </w:r>
    </w:p>
    <w:p w14:paraId="4F12175C" w14:textId="77777777" w:rsidR="00585211" w:rsidRPr="00585211" w:rsidRDefault="00585211" w:rsidP="002E1D87">
      <w:pPr>
        <w:pStyle w:val="ListParagraph"/>
        <w:numPr>
          <w:ilvl w:val="0"/>
          <w:numId w:val="2"/>
        </w:numPr>
        <w:spacing w:line="276" w:lineRule="auto"/>
        <w:jc w:val="both"/>
        <w:rPr>
          <w:rFonts w:ascii="Arial" w:hAnsi="Arial" w:cs="Arial"/>
          <w:sz w:val="22"/>
          <w:szCs w:val="22"/>
        </w:rPr>
      </w:pPr>
      <w:proofErr w:type="spellStart"/>
      <w:r w:rsidRPr="00585211">
        <w:rPr>
          <w:rFonts w:ascii="Arial" w:hAnsi="Arial" w:cs="Arial"/>
          <w:sz w:val="22"/>
          <w:szCs w:val="22"/>
        </w:rPr>
        <w:t>Illumina</w:t>
      </w:r>
      <w:proofErr w:type="spellEnd"/>
      <w:r w:rsidRPr="00585211">
        <w:rPr>
          <w:rFonts w:ascii="Arial" w:hAnsi="Arial" w:cs="Arial"/>
          <w:sz w:val="22"/>
          <w:szCs w:val="22"/>
        </w:rPr>
        <w:t xml:space="preserve"> high throughput </w:t>
      </w:r>
      <w:proofErr w:type="spellStart"/>
      <w:r w:rsidRPr="00585211">
        <w:rPr>
          <w:rFonts w:ascii="Arial" w:hAnsi="Arial" w:cs="Arial"/>
          <w:sz w:val="22"/>
          <w:szCs w:val="22"/>
        </w:rPr>
        <w:t>BeadArray</w:t>
      </w:r>
      <w:proofErr w:type="spellEnd"/>
      <w:r w:rsidRPr="00585211">
        <w:rPr>
          <w:rFonts w:ascii="Arial" w:hAnsi="Arial" w:cs="Arial"/>
          <w:sz w:val="22"/>
          <w:szCs w:val="22"/>
        </w:rPr>
        <w:t xml:space="preserve"> system with two </w:t>
      </w:r>
      <w:proofErr w:type="spellStart"/>
      <w:r w:rsidRPr="00585211">
        <w:rPr>
          <w:rFonts w:ascii="Arial" w:hAnsi="Arial" w:cs="Arial"/>
          <w:sz w:val="22"/>
          <w:szCs w:val="22"/>
        </w:rPr>
        <w:t>Tecan</w:t>
      </w:r>
      <w:proofErr w:type="spellEnd"/>
      <w:r w:rsidRPr="00585211">
        <w:rPr>
          <w:rFonts w:ascii="Arial" w:hAnsi="Arial" w:cs="Arial"/>
          <w:sz w:val="22"/>
          <w:szCs w:val="22"/>
        </w:rPr>
        <w:t xml:space="preserve"> robotics and </w:t>
      </w:r>
      <w:proofErr w:type="spellStart"/>
      <w:r w:rsidRPr="00585211">
        <w:rPr>
          <w:rFonts w:ascii="Arial" w:hAnsi="Arial" w:cs="Arial"/>
          <w:sz w:val="22"/>
          <w:szCs w:val="22"/>
        </w:rPr>
        <w:t>HiScan</w:t>
      </w:r>
      <w:proofErr w:type="spellEnd"/>
      <w:r w:rsidRPr="00585211">
        <w:rPr>
          <w:rFonts w:ascii="Arial" w:hAnsi="Arial" w:cs="Arial"/>
          <w:sz w:val="22"/>
          <w:szCs w:val="22"/>
        </w:rPr>
        <w:t xml:space="preserve"> with autoloader. </w:t>
      </w:r>
    </w:p>
    <w:p w14:paraId="0416FCC4" w14:textId="77777777" w:rsidR="00585211" w:rsidRPr="00585211" w:rsidRDefault="00585211" w:rsidP="002E1D87">
      <w:pPr>
        <w:pStyle w:val="ListParagraph"/>
        <w:numPr>
          <w:ilvl w:val="0"/>
          <w:numId w:val="2"/>
        </w:numPr>
        <w:spacing w:line="276" w:lineRule="auto"/>
        <w:jc w:val="both"/>
        <w:rPr>
          <w:rFonts w:ascii="Arial" w:hAnsi="Arial" w:cs="Arial"/>
          <w:sz w:val="22"/>
          <w:szCs w:val="22"/>
        </w:rPr>
      </w:pPr>
      <w:proofErr w:type="spellStart"/>
      <w:r w:rsidRPr="00585211">
        <w:rPr>
          <w:rFonts w:ascii="Arial" w:hAnsi="Arial" w:cs="Arial"/>
          <w:sz w:val="22"/>
          <w:szCs w:val="22"/>
        </w:rPr>
        <w:t>Affymetrix</w:t>
      </w:r>
      <w:proofErr w:type="spellEnd"/>
      <w:r w:rsidRPr="00585211">
        <w:rPr>
          <w:rFonts w:ascii="Arial" w:hAnsi="Arial" w:cs="Arial"/>
          <w:sz w:val="22"/>
          <w:szCs w:val="22"/>
        </w:rPr>
        <w:t xml:space="preserve"> </w:t>
      </w:r>
      <w:proofErr w:type="spellStart"/>
      <w:r w:rsidRPr="00585211">
        <w:rPr>
          <w:rFonts w:ascii="Arial" w:hAnsi="Arial" w:cs="Arial"/>
          <w:sz w:val="22"/>
          <w:szCs w:val="22"/>
        </w:rPr>
        <w:t>GeneChip</w:t>
      </w:r>
      <w:proofErr w:type="spellEnd"/>
      <w:r w:rsidRPr="00585211">
        <w:rPr>
          <w:rFonts w:ascii="Arial" w:hAnsi="Arial" w:cs="Arial"/>
          <w:sz w:val="22"/>
          <w:szCs w:val="22"/>
        </w:rPr>
        <w:t xml:space="preserve"> Model 3000 Scanners with autoloaders </w:t>
      </w:r>
    </w:p>
    <w:p w14:paraId="00EBA49A" w14:textId="77777777" w:rsidR="00585211" w:rsidRPr="00585211" w:rsidRDefault="00585211" w:rsidP="002E1D87">
      <w:pPr>
        <w:pStyle w:val="ListParagraph"/>
        <w:numPr>
          <w:ilvl w:val="0"/>
          <w:numId w:val="2"/>
        </w:numPr>
        <w:spacing w:line="276" w:lineRule="auto"/>
        <w:jc w:val="both"/>
        <w:rPr>
          <w:rFonts w:ascii="Arial" w:hAnsi="Arial" w:cs="Arial"/>
          <w:sz w:val="22"/>
          <w:szCs w:val="22"/>
        </w:rPr>
      </w:pPr>
      <w:r w:rsidRPr="00585211">
        <w:rPr>
          <w:rFonts w:ascii="Arial" w:hAnsi="Arial" w:cs="Arial"/>
          <w:sz w:val="22"/>
          <w:szCs w:val="22"/>
        </w:rPr>
        <w:t xml:space="preserve">4 </w:t>
      </w:r>
      <w:proofErr w:type="spellStart"/>
      <w:r w:rsidRPr="00585211">
        <w:rPr>
          <w:rFonts w:ascii="Arial" w:hAnsi="Arial" w:cs="Arial"/>
          <w:sz w:val="22"/>
          <w:szCs w:val="22"/>
        </w:rPr>
        <w:t>Affymetrix</w:t>
      </w:r>
      <w:proofErr w:type="spellEnd"/>
      <w:r w:rsidRPr="00585211">
        <w:rPr>
          <w:rFonts w:ascii="Arial" w:hAnsi="Arial" w:cs="Arial"/>
          <w:sz w:val="22"/>
          <w:szCs w:val="22"/>
        </w:rPr>
        <w:t xml:space="preserve"> </w:t>
      </w:r>
      <w:proofErr w:type="spellStart"/>
      <w:r w:rsidRPr="00585211">
        <w:rPr>
          <w:rFonts w:ascii="Arial" w:hAnsi="Arial" w:cs="Arial"/>
          <w:sz w:val="22"/>
          <w:szCs w:val="22"/>
        </w:rPr>
        <w:t>GeneChip</w:t>
      </w:r>
      <w:proofErr w:type="spellEnd"/>
      <w:r w:rsidRPr="00585211">
        <w:rPr>
          <w:rFonts w:ascii="Arial" w:hAnsi="Arial" w:cs="Arial"/>
          <w:sz w:val="22"/>
          <w:szCs w:val="22"/>
        </w:rPr>
        <w:t xml:space="preserve"> Model 450 fluidics stations </w:t>
      </w:r>
    </w:p>
    <w:p w14:paraId="566BD05F" w14:textId="6290A107" w:rsidR="00585211" w:rsidRDefault="00585211" w:rsidP="002E1D87">
      <w:pPr>
        <w:pStyle w:val="ListParagraph"/>
        <w:numPr>
          <w:ilvl w:val="0"/>
          <w:numId w:val="2"/>
        </w:numPr>
        <w:spacing w:line="276" w:lineRule="auto"/>
        <w:jc w:val="both"/>
        <w:rPr>
          <w:rFonts w:ascii="Arial" w:hAnsi="Arial" w:cs="Arial"/>
          <w:sz w:val="22"/>
          <w:szCs w:val="22"/>
        </w:rPr>
      </w:pPr>
      <w:proofErr w:type="spellStart"/>
      <w:r w:rsidRPr="00585211">
        <w:rPr>
          <w:rFonts w:ascii="Arial" w:hAnsi="Arial" w:cs="Arial"/>
          <w:sz w:val="22"/>
          <w:szCs w:val="22"/>
        </w:rPr>
        <w:t>Nimblegen</w:t>
      </w:r>
      <w:proofErr w:type="spellEnd"/>
      <w:r w:rsidRPr="00585211">
        <w:rPr>
          <w:rFonts w:ascii="Arial" w:hAnsi="Arial" w:cs="Arial"/>
          <w:sz w:val="22"/>
          <w:szCs w:val="22"/>
        </w:rPr>
        <w:t xml:space="preserve"> array platform with three Maui Hybridization instruments </w:t>
      </w:r>
    </w:p>
    <w:p w14:paraId="617E682D" w14:textId="77777777" w:rsidR="00CF11B0" w:rsidRPr="00CF11B0" w:rsidRDefault="00CF11B0" w:rsidP="002E1D87">
      <w:pPr>
        <w:pStyle w:val="ListParagraph"/>
        <w:spacing w:line="276" w:lineRule="auto"/>
        <w:jc w:val="both"/>
        <w:rPr>
          <w:rFonts w:ascii="Arial" w:hAnsi="Arial" w:cs="Arial"/>
          <w:sz w:val="22"/>
          <w:szCs w:val="22"/>
        </w:rPr>
      </w:pPr>
    </w:p>
    <w:p w14:paraId="4185A6FC" w14:textId="0E87534A" w:rsidR="000F4FE0" w:rsidRDefault="00264472" w:rsidP="002E1D87">
      <w:pPr>
        <w:widowControl w:val="0"/>
        <w:autoSpaceDE w:val="0"/>
        <w:autoSpaceDN w:val="0"/>
        <w:adjustRightInd w:val="0"/>
        <w:spacing w:after="240" w:line="276" w:lineRule="auto"/>
        <w:jc w:val="both"/>
        <w:rPr>
          <w:rFonts w:ascii="Arial" w:hAnsi="Arial" w:cs="Arial"/>
          <w:sz w:val="22"/>
          <w:szCs w:val="22"/>
        </w:rPr>
      </w:pPr>
      <w:r w:rsidRPr="00CF11B0">
        <w:rPr>
          <w:rFonts w:ascii="Arial" w:hAnsi="Arial" w:cs="Arial"/>
          <w:b/>
          <w:sz w:val="22"/>
          <w:szCs w:val="22"/>
        </w:rPr>
        <w:t>YALE BIOINFORMATICS</w:t>
      </w:r>
      <w:r w:rsidR="00CF11B0">
        <w:rPr>
          <w:rFonts w:ascii="Arial" w:hAnsi="Arial" w:cs="Arial"/>
          <w:b/>
          <w:sz w:val="22"/>
          <w:szCs w:val="22"/>
        </w:rPr>
        <w:t xml:space="preserve"> RESOURCES:</w:t>
      </w:r>
      <w:r w:rsidR="00CF11B0" w:rsidRPr="00CF11B0">
        <w:rPr>
          <w:rFonts w:ascii="Arial" w:hAnsi="Arial" w:cs="Arial"/>
          <w:sz w:val="22"/>
          <w:szCs w:val="22"/>
        </w:rPr>
        <w:t xml:space="preserve"> </w:t>
      </w:r>
      <w:r w:rsidR="00CF11B0">
        <w:rPr>
          <w:rFonts w:ascii="Arial" w:hAnsi="Arial" w:cs="Arial"/>
          <w:sz w:val="22"/>
          <w:szCs w:val="22"/>
        </w:rPr>
        <w:t>F</w:t>
      </w:r>
      <w:r w:rsidR="00CF11B0" w:rsidRPr="00CF11B0">
        <w:rPr>
          <w:rFonts w:ascii="Arial" w:hAnsi="Arial" w:cs="Arial"/>
          <w:sz w:val="22"/>
          <w:szCs w:val="22"/>
        </w:rPr>
        <w:t>our Ph.D. scientists provide technical assistance in the analysis of data generated at YCGA</w:t>
      </w:r>
      <w:r w:rsidR="00CF11B0">
        <w:rPr>
          <w:rFonts w:ascii="Arial" w:hAnsi="Arial" w:cs="Arial"/>
          <w:sz w:val="22"/>
          <w:szCs w:val="22"/>
        </w:rPr>
        <w:t>.</w:t>
      </w:r>
      <w:r w:rsidR="000F4FE0">
        <w:rPr>
          <w:rFonts w:ascii="Arial" w:hAnsi="Arial" w:cs="Arial"/>
          <w:sz w:val="22"/>
          <w:szCs w:val="22"/>
        </w:rPr>
        <w:t xml:space="preserve"> This includes the </w:t>
      </w:r>
      <w:r w:rsidR="000F4FE0" w:rsidRPr="00CF11B0">
        <w:rPr>
          <w:rFonts w:ascii="Arial" w:hAnsi="Arial" w:cs="Arial"/>
          <w:sz w:val="22"/>
          <w:szCs w:val="22"/>
        </w:rPr>
        <w:t>analysis of data generated by next gene sequencing platforms, microarray</w:t>
      </w:r>
      <w:r w:rsidR="000F4FE0">
        <w:rPr>
          <w:rFonts w:ascii="Arial" w:hAnsi="Arial" w:cs="Arial"/>
          <w:sz w:val="22"/>
          <w:szCs w:val="22"/>
        </w:rPr>
        <w:t xml:space="preserve"> analyses, and MIP sequencing. </w:t>
      </w:r>
      <w:r w:rsidR="00CF11B0">
        <w:rPr>
          <w:rFonts w:ascii="Arial" w:hAnsi="Arial" w:cs="Arial"/>
          <w:sz w:val="22"/>
          <w:szCs w:val="22"/>
        </w:rPr>
        <w:t>Additionally</w:t>
      </w:r>
      <w:r w:rsidR="00CF11B0" w:rsidRPr="00CF11B0">
        <w:rPr>
          <w:rFonts w:ascii="Arial" w:hAnsi="Arial" w:cs="Arial"/>
          <w:sz w:val="22"/>
          <w:szCs w:val="22"/>
        </w:rPr>
        <w:t xml:space="preserve"> </w:t>
      </w:r>
      <w:r w:rsidR="00CF11B0">
        <w:rPr>
          <w:rFonts w:ascii="Arial" w:hAnsi="Arial" w:cs="Arial"/>
          <w:sz w:val="22"/>
          <w:szCs w:val="22"/>
        </w:rPr>
        <w:t>there is support from</w:t>
      </w:r>
      <w:r w:rsidR="00CF11B0" w:rsidRPr="00CF11B0">
        <w:rPr>
          <w:rFonts w:ascii="Arial" w:hAnsi="Arial" w:cs="Arial"/>
          <w:sz w:val="22"/>
          <w:szCs w:val="22"/>
        </w:rPr>
        <w:t xml:space="preserve"> Keck</w:t>
      </w:r>
      <w:r w:rsidR="00CF11B0">
        <w:rPr>
          <w:rFonts w:ascii="Arial" w:hAnsi="Arial" w:cs="Arial"/>
          <w:sz w:val="22"/>
          <w:szCs w:val="22"/>
        </w:rPr>
        <w:t>’s</w:t>
      </w:r>
      <w:r w:rsidR="00CF11B0" w:rsidRPr="00CF11B0">
        <w:rPr>
          <w:rFonts w:ascii="Arial" w:hAnsi="Arial" w:cs="Arial"/>
          <w:sz w:val="22"/>
          <w:szCs w:val="22"/>
        </w:rPr>
        <w:t xml:space="preserve"> </w:t>
      </w:r>
      <w:r w:rsidR="00CF11B0">
        <w:rPr>
          <w:rFonts w:ascii="Arial" w:hAnsi="Arial" w:cs="Arial"/>
          <w:sz w:val="22"/>
          <w:szCs w:val="22"/>
        </w:rPr>
        <w:t>Sequencing center for specific</w:t>
      </w:r>
      <w:r w:rsidR="00CF11B0" w:rsidRPr="00CF11B0">
        <w:rPr>
          <w:rFonts w:ascii="Arial" w:hAnsi="Arial" w:cs="Arial"/>
          <w:sz w:val="22"/>
          <w:szCs w:val="22"/>
        </w:rPr>
        <w:t xml:space="preserve"> bioinformatics and biostatistics </w:t>
      </w:r>
      <w:r w:rsidR="00CF11B0">
        <w:rPr>
          <w:rFonts w:ascii="Arial" w:hAnsi="Arial" w:cs="Arial"/>
          <w:sz w:val="22"/>
          <w:szCs w:val="22"/>
        </w:rPr>
        <w:t xml:space="preserve">needs. </w:t>
      </w:r>
      <w:r w:rsidR="000F4FE0">
        <w:rPr>
          <w:rFonts w:ascii="Arial" w:hAnsi="Arial" w:cs="Arial"/>
          <w:sz w:val="22"/>
          <w:szCs w:val="22"/>
        </w:rPr>
        <w:t>Other faculty members of Yale’s Computational Biology</w:t>
      </w:r>
      <w:r w:rsidR="000F4FE0" w:rsidRPr="00CF11B0">
        <w:rPr>
          <w:rFonts w:ascii="Arial" w:hAnsi="Arial" w:cs="Arial"/>
          <w:sz w:val="22"/>
          <w:szCs w:val="22"/>
        </w:rPr>
        <w:t xml:space="preserve"> </w:t>
      </w:r>
      <w:r w:rsidR="000F4FE0">
        <w:rPr>
          <w:rFonts w:ascii="Arial" w:hAnsi="Arial" w:cs="Arial"/>
          <w:sz w:val="22"/>
          <w:szCs w:val="22"/>
        </w:rPr>
        <w:t>and Biology have</w:t>
      </w:r>
      <w:r w:rsidR="000F4FE0" w:rsidRPr="00CF11B0">
        <w:rPr>
          <w:rFonts w:ascii="Arial" w:hAnsi="Arial" w:cs="Arial"/>
          <w:sz w:val="22"/>
          <w:szCs w:val="22"/>
        </w:rPr>
        <w:t xml:space="preserve"> extensive experience developing</w:t>
      </w:r>
      <w:r w:rsidR="000F4FE0">
        <w:rPr>
          <w:rFonts w:ascii="Arial" w:hAnsi="Arial" w:cs="Arial"/>
          <w:sz w:val="22"/>
          <w:szCs w:val="22"/>
        </w:rPr>
        <w:t xml:space="preserve"> </w:t>
      </w:r>
      <w:r w:rsidR="000F4FE0" w:rsidRPr="00CF11B0">
        <w:rPr>
          <w:rFonts w:ascii="Arial" w:hAnsi="Arial" w:cs="Arial"/>
          <w:sz w:val="22"/>
          <w:szCs w:val="22"/>
        </w:rPr>
        <w:t>new data analysis tools.</w:t>
      </w:r>
    </w:p>
    <w:p w14:paraId="785AF297" w14:textId="77777777" w:rsidR="002E1D87" w:rsidRDefault="002E1D87" w:rsidP="002E1D87">
      <w:pPr>
        <w:widowControl w:val="0"/>
        <w:autoSpaceDE w:val="0"/>
        <w:autoSpaceDN w:val="0"/>
        <w:adjustRightInd w:val="0"/>
        <w:spacing w:after="240" w:line="276" w:lineRule="auto"/>
        <w:jc w:val="both"/>
        <w:rPr>
          <w:rFonts w:ascii="Arial" w:hAnsi="Arial" w:cs="Arial"/>
          <w:sz w:val="22"/>
          <w:szCs w:val="22"/>
        </w:rPr>
      </w:pPr>
      <w:r w:rsidRPr="00C8606D">
        <w:rPr>
          <w:rFonts w:ascii="Arial" w:hAnsi="Arial" w:cs="Arial"/>
          <w:b/>
          <w:sz w:val="22"/>
          <w:szCs w:val="22"/>
        </w:rPr>
        <w:t>KECK DNA SEQUENCING FACILITY:</w:t>
      </w:r>
      <w:r w:rsidRPr="00C8606D">
        <w:rPr>
          <w:rFonts w:ascii="Arial" w:hAnsi="Arial" w:cs="Arial"/>
          <w:sz w:val="22"/>
          <w:szCs w:val="22"/>
        </w:rPr>
        <w:t xml:space="preserve"> For Sanger sequencing needs, the Keck Shared Biotechnology Resource has served as the center for high-end instrumentation at Yale School of Medicine </w:t>
      </w:r>
      <w:r>
        <w:rPr>
          <w:rFonts w:ascii="Arial" w:hAnsi="Arial" w:cs="Arial"/>
          <w:sz w:val="22"/>
          <w:szCs w:val="22"/>
        </w:rPr>
        <w:t>for nearly a quarter century. The Keck Facility</w:t>
      </w:r>
      <w:r w:rsidRPr="00C8606D">
        <w:rPr>
          <w:rFonts w:ascii="Arial" w:hAnsi="Arial" w:cs="Arial"/>
          <w:sz w:val="22"/>
          <w:szCs w:val="22"/>
        </w:rPr>
        <w:t xml:space="preserve"> perform</w:t>
      </w:r>
      <w:r>
        <w:rPr>
          <w:rFonts w:ascii="Arial" w:hAnsi="Arial" w:cs="Arial"/>
          <w:sz w:val="22"/>
          <w:szCs w:val="22"/>
        </w:rPr>
        <w:t xml:space="preserve">s </w:t>
      </w:r>
      <w:r w:rsidRPr="00C8606D">
        <w:rPr>
          <w:rFonts w:ascii="Arial" w:hAnsi="Arial" w:cs="Arial"/>
          <w:sz w:val="22"/>
          <w:szCs w:val="22"/>
        </w:rPr>
        <w:t xml:space="preserve">custom sequencing on templates from over 1,000 users </w:t>
      </w:r>
      <w:r>
        <w:rPr>
          <w:rFonts w:ascii="Arial" w:hAnsi="Arial" w:cs="Arial"/>
          <w:sz w:val="22"/>
          <w:szCs w:val="22"/>
        </w:rPr>
        <w:t>from within Yale and abroad. This facility</w:t>
      </w:r>
      <w:r w:rsidRPr="00C8606D">
        <w:rPr>
          <w:rFonts w:ascii="Arial" w:hAnsi="Arial" w:cs="Arial"/>
          <w:sz w:val="22"/>
          <w:szCs w:val="22"/>
        </w:rPr>
        <w:t xml:space="preserve"> provide</w:t>
      </w:r>
      <w:r>
        <w:rPr>
          <w:rFonts w:ascii="Arial" w:hAnsi="Arial" w:cs="Arial"/>
          <w:sz w:val="22"/>
          <w:szCs w:val="22"/>
        </w:rPr>
        <w:t>s</w:t>
      </w:r>
      <w:r w:rsidRPr="00C8606D">
        <w:rPr>
          <w:rFonts w:ascii="Arial" w:hAnsi="Arial" w:cs="Arial"/>
          <w:sz w:val="22"/>
          <w:szCs w:val="22"/>
        </w:rPr>
        <w:t xml:space="preserve"> competitive and tim</w:t>
      </w:r>
      <w:r>
        <w:rPr>
          <w:rFonts w:ascii="Arial" w:hAnsi="Arial" w:cs="Arial"/>
          <w:sz w:val="22"/>
          <w:szCs w:val="22"/>
        </w:rPr>
        <w:t>ely DNA sequencing in a</w:t>
      </w:r>
      <w:r w:rsidRPr="00C8606D">
        <w:rPr>
          <w:rFonts w:ascii="Arial" w:hAnsi="Arial" w:cs="Arial"/>
          <w:sz w:val="22"/>
          <w:szCs w:val="22"/>
        </w:rPr>
        <w:t xml:space="preserve"> cost effective manner. </w:t>
      </w:r>
      <w:r>
        <w:rPr>
          <w:rFonts w:ascii="Arial" w:hAnsi="Arial" w:cs="Arial"/>
          <w:sz w:val="22"/>
          <w:szCs w:val="22"/>
        </w:rPr>
        <w:t xml:space="preserve">The Keck Facility has extensive experience designing molecular inversion probes for sequencing. </w:t>
      </w:r>
      <w:r w:rsidRPr="00C8606D">
        <w:rPr>
          <w:rFonts w:ascii="Arial" w:hAnsi="Arial" w:cs="Arial"/>
          <w:sz w:val="22"/>
          <w:szCs w:val="22"/>
        </w:rPr>
        <w:t xml:space="preserve">Sequencing is carried out on Applied </w:t>
      </w:r>
      <w:proofErr w:type="spellStart"/>
      <w:r w:rsidRPr="00C8606D">
        <w:rPr>
          <w:rFonts w:ascii="Arial" w:hAnsi="Arial" w:cs="Arial"/>
          <w:sz w:val="22"/>
          <w:szCs w:val="22"/>
        </w:rPr>
        <w:t>Biosystems</w:t>
      </w:r>
      <w:proofErr w:type="spellEnd"/>
      <w:r w:rsidRPr="00C8606D">
        <w:rPr>
          <w:rFonts w:ascii="Arial" w:hAnsi="Arial" w:cs="Arial"/>
          <w:sz w:val="22"/>
          <w:szCs w:val="22"/>
        </w:rPr>
        <w:t xml:space="preserve"> 3730xL DNA Analyzers, along with Applied </w:t>
      </w:r>
      <w:proofErr w:type="spellStart"/>
      <w:r w:rsidRPr="00C8606D">
        <w:rPr>
          <w:rFonts w:ascii="Arial" w:hAnsi="Arial" w:cs="Arial"/>
          <w:sz w:val="22"/>
          <w:szCs w:val="22"/>
        </w:rPr>
        <w:t>Biosystems</w:t>
      </w:r>
      <w:proofErr w:type="spellEnd"/>
      <w:r w:rsidRPr="00C8606D">
        <w:rPr>
          <w:rFonts w:ascii="Arial" w:hAnsi="Arial" w:cs="Arial"/>
          <w:sz w:val="22"/>
          <w:szCs w:val="22"/>
        </w:rPr>
        <w:t xml:space="preserve"> Big Dye chemistries. </w:t>
      </w:r>
      <w:r>
        <w:rPr>
          <w:rFonts w:ascii="Arial" w:hAnsi="Arial" w:cs="Arial"/>
          <w:sz w:val="22"/>
          <w:szCs w:val="22"/>
        </w:rPr>
        <w:t xml:space="preserve">MIP primers will be synthesized using </w:t>
      </w:r>
      <w:r w:rsidRPr="00305CF8">
        <w:rPr>
          <w:rFonts w:ascii="Arial" w:hAnsi="Arial" w:cs="Arial"/>
          <w:sz w:val="22"/>
          <w:szCs w:val="22"/>
        </w:rPr>
        <w:t xml:space="preserve">Dr. </w:t>
      </w:r>
      <w:proofErr w:type="spellStart"/>
      <w:r w:rsidRPr="00305CF8">
        <w:rPr>
          <w:rFonts w:ascii="Arial" w:hAnsi="Arial" w:cs="Arial"/>
          <w:sz w:val="22"/>
          <w:szCs w:val="22"/>
        </w:rPr>
        <w:t>Oligo</w:t>
      </w:r>
      <w:proofErr w:type="spellEnd"/>
      <w:r w:rsidRPr="00305CF8">
        <w:rPr>
          <w:rFonts w:ascii="Arial" w:hAnsi="Arial" w:cs="Arial"/>
          <w:sz w:val="22"/>
          <w:szCs w:val="22"/>
        </w:rPr>
        <w:t xml:space="preserve"> 192 and Applied </w:t>
      </w:r>
      <w:proofErr w:type="spellStart"/>
      <w:r w:rsidRPr="00305CF8">
        <w:rPr>
          <w:rFonts w:ascii="Arial" w:hAnsi="Arial" w:cs="Arial"/>
          <w:sz w:val="22"/>
          <w:szCs w:val="22"/>
        </w:rPr>
        <w:t>Biosystems</w:t>
      </w:r>
      <w:proofErr w:type="spellEnd"/>
      <w:r w:rsidRPr="00305CF8">
        <w:rPr>
          <w:rFonts w:ascii="Arial" w:hAnsi="Arial" w:cs="Arial"/>
          <w:sz w:val="22"/>
          <w:szCs w:val="22"/>
        </w:rPr>
        <w:t xml:space="preserve"> 394 synthesizers</w:t>
      </w:r>
      <w:r>
        <w:rPr>
          <w:rFonts w:ascii="Arial" w:hAnsi="Arial" w:cs="Arial"/>
          <w:sz w:val="22"/>
          <w:szCs w:val="22"/>
        </w:rPr>
        <w:t>.</w:t>
      </w:r>
    </w:p>
    <w:p w14:paraId="6D89937D" w14:textId="2143B8DE" w:rsidR="007F4175" w:rsidRPr="00CB040C" w:rsidRDefault="00D2427D" w:rsidP="002E1D87">
      <w:pPr>
        <w:widowControl w:val="0"/>
        <w:autoSpaceDE w:val="0"/>
        <w:autoSpaceDN w:val="0"/>
        <w:adjustRightInd w:val="0"/>
        <w:spacing w:after="240" w:line="276" w:lineRule="auto"/>
        <w:jc w:val="both"/>
        <w:rPr>
          <w:rFonts w:ascii="Arial" w:hAnsi="Arial" w:cs="Arial"/>
          <w:bCs/>
          <w:sz w:val="22"/>
          <w:szCs w:val="22"/>
        </w:rPr>
      </w:pPr>
      <w:r w:rsidRPr="001C0A4B">
        <w:rPr>
          <w:rFonts w:ascii="Arial" w:hAnsi="Arial" w:cs="Arial"/>
          <w:b/>
          <w:bCs/>
          <w:sz w:val="22"/>
          <w:szCs w:val="22"/>
        </w:rPr>
        <w:t xml:space="preserve">HIGH PERFORMANCE COMPUTING </w:t>
      </w:r>
      <w:r w:rsidR="000541F4">
        <w:rPr>
          <w:rFonts w:ascii="Arial" w:hAnsi="Arial" w:cs="Arial"/>
          <w:b/>
          <w:bCs/>
          <w:sz w:val="22"/>
          <w:szCs w:val="22"/>
        </w:rPr>
        <w:t xml:space="preserve">(HPC) </w:t>
      </w:r>
      <w:r w:rsidRPr="001C0A4B">
        <w:rPr>
          <w:rFonts w:ascii="Arial" w:hAnsi="Arial" w:cs="Arial"/>
          <w:b/>
          <w:bCs/>
          <w:sz w:val="22"/>
          <w:szCs w:val="22"/>
        </w:rPr>
        <w:t>CENTER</w:t>
      </w:r>
      <w:r w:rsidR="000541F4">
        <w:rPr>
          <w:rFonts w:ascii="Arial" w:hAnsi="Arial" w:cs="Arial"/>
          <w:b/>
          <w:bCs/>
          <w:sz w:val="22"/>
          <w:szCs w:val="22"/>
        </w:rPr>
        <w:t xml:space="preserve">: </w:t>
      </w:r>
      <w:r w:rsidR="000541F4">
        <w:rPr>
          <w:rFonts w:ascii="Arial" w:hAnsi="Arial" w:cs="Arial"/>
          <w:bCs/>
          <w:sz w:val="22"/>
          <w:szCs w:val="22"/>
        </w:rPr>
        <w:t>The HP</w:t>
      </w:r>
      <w:r w:rsidR="00015416" w:rsidRPr="001C0A4B">
        <w:rPr>
          <w:rFonts w:ascii="Arial" w:hAnsi="Arial" w:cs="Arial"/>
          <w:bCs/>
          <w:sz w:val="22"/>
          <w:szCs w:val="22"/>
        </w:rPr>
        <w:t>C center runs</w:t>
      </w:r>
      <w:r w:rsidR="004446DC" w:rsidRPr="001C0A4B">
        <w:rPr>
          <w:rFonts w:ascii="Arial" w:hAnsi="Arial" w:cs="Arial"/>
          <w:bCs/>
          <w:sz w:val="22"/>
          <w:szCs w:val="22"/>
        </w:rPr>
        <w:t xml:space="preserve"> 2 </w:t>
      </w:r>
      <w:proofErr w:type="spellStart"/>
      <w:r w:rsidR="00264472" w:rsidRPr="001C0A4B">
        <w:rPr>
          <w:rFonts w:ascii="Arial" w:hAnsi="Arial" w:cs="Arial"/>
          <w:bCs/>
          <w:sz w:val="22"/>
          <w:szCs w:val="22"/>
        </w:rPr>
        <w:t>linux</w:t>
      </w:r>
      <w:proofErr w:type="spellEnd"/>
      <w:r w:rsidR="00264472" w:rsidRPr="001C0A4B">
        <w:rPr>
          <w:rFonts w:ascii="Arial" w:hAnsi="Arial" w:cs="Arial"/>
          <w:bCs/>
          <w:sz w:val="22"/>
          <w:szCs w:val="22"/>
        </w:rPr>
        <w:t>-</w:t>
      </w:r>
      <w:r w:rsidR="004446DC" w:rsidRPr="001C0A4B">
        <w:rPr>
          <w:rFonts w:ascii="Arial" w:hAnsi="Arial" w:cs="Arial"/>
          <w:bCs/>
          <w:sz w:val="22"/>
          <w:szCs w:val="22"/>
        </w:rPr>
        <w:t xml:space="preserve">based clusters </w:t>
      </w:r>
      <w:r w:rsidR="00B57483">
        <w:rPr>
          <w:rFonts w:ascii="Arial" w:hAnsi="Arial" w:cs="Arial"/>
          <w:bCs/>
          <w:sz w:val="22"/>
          <w:szCs w:val="22"/>
        </w:rPr>
        <w:t>that are</w:t>
      </w:r>
      <w:r w:rsidR="000541F4">
        <w:rPr>
          <w:rFonts w:ascii="Arial" w:hAnsi="Arial" w:cs="Arial"/>
          <w:bCs/>
          <w:sz w:val="22"/>
          <w:szCs w:val="22"/>
        </w:rPr>
        <w:t xml:space="preserve"> free for Yale </w:t>
      </w:r>
      <w:r w:rsidR="00264472" w:rsidRPr="001C0A4B">
        <w:rPr>
          <w:rFonts w:ascii="Arial" w:hAnsi="Arial" w:cs="Arial"/>
          <w:bCs/>
          <w:sz w:val="22"/>
          <w:szCs w:val="22"/>
        </w:rPr>
        <w:t xml:space="preserve">research </w:t>
      </w:r>
      <w:r w:rsidR="004446DC" w:rsidRPr="001C0A4B">
        <w:rPr>
          <w:rFonts w:ascii="Arial" w:hAnsi="Arial" w:cs="Arial"/>
          <w:bCs/>
          <w:sz w:val="22"/>
          <w:szCs w:val="22"/>
        </w:rPr>
        <w:t xml:space="preserve">faculty. </w:t>
      </w:r>
      <w:proofErr w:type="spellStart"/>
      <w:r w:rsidR="004446DC" w:rsidRPr="001C0A4B">
        <w:rPr>
          <w:rFonts w:ascii="Arial" w:hAnsi="Arial" w:cs="Arial"/>
          <w:bCs/>
          <w:sz w:val="22"/>
          <w:szCs w:val="22"/>
        </w:rPr>
        <w:t>BulldogN</w:t>
      </w:r>
      <w:proofErr w:type="spellEnd"/>
      <w:r w:rsidR="004446DC" w:rsidRPr="001C0A4B">
        <w:rPr>
          <w:rFonts w:ascii="Arial" w:hAnsi="Arial" w:cs="Arial"/>
          <w:bCs/>
          <w:sz w:val="22"/>
          <w:szCs w:val="22"/>
        </w:rPr>
        <w:t xml:space="preserve"> is a cluster with 170 computer nodes </w:t>
      </w:r>
      <w:r w:rsidR="004446DC" w:rsidRPr="001C0A4B">
        <w:rPr>
          <w:rFonts w:ascii="Arial" w:hAnsi="Arial" w:cs="Arial"/>
          <w:sz w:val="22"/>
          <w:szCs w:val="22"/>
        </w:rPr>
        <w:t xml:space="preserve">in size from 8 to 64 computer cores with varying amounts of memory per node. All nodes are connected to several petabytes of high performance parallel storage. </w:t>
      </w:r>
      <w:proofErr w:type="spellStart"/>
      <w:r w:rsidR="004446DC" w:rsidRPr="001C0A4B">
        <w:rPr>
          <w:rFonts w:ascii="Arial" w:hAnsi="Arial" w:cs="Arial"/>
          <w:sz w:val="22"/>
          <w:szCs w:val="22"/>
        </w:rPr>
        <w:t>BulldogN</w:t>
      </w:r>
      <w:proofErr w:type="spellEnd"/>
      <w:r w:rsidR="004446DC" w:rsidRPr="001C0A4B">
        <w:rPr>
          <w:rFonts w:ascii="Arial" w:hAnsi="Arial" w:cs="Arial"/>
          <w:sz w:val="22"/>
          <w:szCs w:val="22"/>
        </w:rPr>
        <w:t xml:space="preserve"> is dedicated for the production, storage and analysis of genomic data generated from the YCGA.</w:t>
      </w:r>
      <w:r w:rsidR="00CB040C">
        <w:rPr>
          <w:rFonts w:ascii="Arial" w:hAnsi="Arial" w:cs="Arial"/>
          <w:bCs/>
          <w:sz w:val="22"/>
          <w:szCs w:val="22"/>
        </w:rPr>
        <w:t xml:space="preserve"> </w:t>
      </w:r>
      <w:r w:rsidR="000541F4">
        <w:rPr>
          <w:rFonts w:ascii="Arial" w:hAnsi="Arial" w:cs="Arial"/>
          <w:bCs/>
          <w:sz w:val="22"/>
          <w:szCs w:val="22"/>
        </w:rPr>
        <w:t xml:space="preserve">Louise is the </w:t>
      </w:r>
      <w:r w:rsidR="000541F4" w:rsidRPr="000541F4">
        <w:rPr>
          <w:rFonts w:ascii="Arial" w:hAnsi="Arial" w:cs="Arial"/>
          <w:bCs/>
          <w:sz w:val="22"/>
          <w:szCs w:val="22"/>
        </w:rPr>
        <w:t>main Biomedical and Biological Sciences High-performance computing (HPC) resource.</w:t>
      </w:r>
      <w:r w:rsidR="00CB040C">
        <w:rPr>
          <w:rFonts w:ascii="Arial" w:hAnsi="Arial" w:cs="Arial"/>
          <w:bCs/>
          <w:sz w:val="22"/>
          <w:szCs w:val="22"/>
        </w:rPr>
        <w:t xml:space="preserve"> </w:t>
      </w:r>
      <w:r w:rsidR="007F4175">
        <w:rPr>
          <w:rFonts w:ascii="Arial" w:hAnsi="Arial" w:cs="Arial"/>
          <w:bCs/>
          <w:sz w:val="22"/>
          <w:szCs w:val="22"/>
        </w:rPr>
        <w:t>This cluster contains 321</w:t>
      </w:r>
      <w:r w:rsidR="004446DC" w:rsidRPr="001C0A4B">
        <w:rPr>
          <w:rFonts w:ascii="Arial" w:hAnsi="Arial" w:cs="Arial"/>
          <w:bCs/>
          <w:sz w:val="22"/>
          <w:szCs w:val="22"/>
        </w:rPr>
        <w:t xml:space="preserve"> nodes </w:t>
      </w:r>
      <w:r w:rsidR="007F4175">
        <w:rPr>
          <w:rFonts w:ascii="Arial" w:hAnsi="Arial" w:cs="Arial"/>
          <w:bCs/>
          <w:sz w:val="22"/>
          <w:szCs w:val="22"/>
        </w:rPr>
        <w:t>with 3680 computer cores</w:t>
      </w:r>
      <w:r w:rsidR="004446DC" w:rsidRPr="001C0A4B">
        <w:rPr>
          <w:rFonts w:ascii="Arial" w:hAnsi="Arial" w:cs="Arial"/>
          <w:bCs/>
          <w:sz w:val="22"/>
          <w:szCs w:val="22"/>
        </w:rPr>
        <w:t>.</w:t>
      </w:r>
      <w:r w:rsidR="007F4175">
        <w:rPr>
          <w:rFonts w:ascii="Arial" w:hAnsi="Arial" w:cs="Arial"/>
          <w:bCs/>
          <w:sz w:val="22"/>
          <w:szCs w:val="22"/>
        </w:rPr>
        <w:t xml:space="preserve"> </w:t>
      </w:r>
      <w:r w:rsidR="007F4175" w:rsidRPr="007F4175">
        <w:rPr>
          <w:rFonts w:ascii="Arial" w:hAnsi="Arial" w:cs="Arial"/>
          <w:bCs/>
          <w:sz w:val="22"/>
          <w:szCs w:val="22"/>
        </w:rPr>
        <w:t xml:space="preserve">Louise has a </w:t>
      </w:r>
      <w:proofErr w:type="spellStart"/>
      <w:r w:rsidR="007F4175" w:rsidRPr="007F4175">
        <w:rPr>
          <w:rFonts w:ascii="Arial" w:hAnsi="Arial" w:cs="Arial"/>
          <w:bCs/>
          <w:sz w:val="22"/>
          <w:szCs w:val="22"/>
        </w:rPr>
        <w:t>BlueArc</w:t>
      </w:r>
      <w:proofErr w:type="spellEnd"/>
      <w:r w:rsidR="007F4175" w:rsidRPr="007F4175">
        <w:rPr>
          <w:rFonts w:ascii="Arial" w:hAnsi="Arial" w:cs="Arial"/>
          <w:bCs/>
          <w:sz w:val="22"/>
          <w:szCs w:val="22"/>
        </w:rPr>
        <w:t xml:space="preserve"> file</w:t>
      </w:r>
      <w:r w:rsidR="007F4175">
        <w:rPr>
          <w:rFonts w:ascii="Arial" w:hAnsi="Arial" w:cs="Arial"/>
          <w:bCs/>
          <w:sz w:val="22"/>
          <w:szCs w:val="22"/>
        </w:rPr>
        <w:t xml:space="preserve"> </w:t>
      </w:r>
      <w:r w:rsidR="007F4175" w:rsidRPr="007F4175">
        <w:rPr>
          <w:rFonts w:ascii="Arial" w:hAnsi="Arial" w:cs="Arial"/>
          <w:bCs/>
          <w:sz w:val="22"/>
          <w:szCs w:val="22"/>
        </w:rPr>
        <w:t xml:space="preserve">system with </w:t>
      </w:r>
      <w:r w:rsidR="007F4175">
        <w:rPr>
          <w:rFonts w:ascii="Arial" w:hAnsi="Arial" w:cs="Arial"/>
          <w:bCs/>
          <w:sz w:val="22"/>
          <w:szCs w:val="22"/>
        </w:rPr>
        <w:t xml:space="preserve">over </w:t>
      </w:r>
      <w:r w:rsidR="007F4175" w:rsidRPr="007F4175">
        <w:rPr>
          <w:rFonts w:ascii="Arial" w:hAnsi="Arial" w:cs="Arial"/>
          <w:bCs/>
          <w:sz w:val="22"/>
          <w:szCs w:val="22"/>
        </w:rPr>
        <w:t>500 TB of usable storag</w:t>
      </w:r>
      <w:r w:rsidR="007F4175">
        <w:rPr>
          <w:rFonts w:ascii="Arial" w:hAnsi="Arial" w:cs="Arial"/>
          <w:bCs/>
          <w:sz w:val="22"/>
          <w:szCs w:val="22"/>
        </w:rPr>
        <w:t>e.</w:t>
      </w:r>
      <w:r w:rsidR="004446DC" w:rsidRPr="001C0A4B">
        <w:rPr>
          <w:rFonts w:ascii="Arial" w:hAnsi="Arial" w:cs="Arial"/>
          <w:bCs/>
          <w:sz w:val="22"/>
          <w:szCs w:val="22"/>
        </w:rPr>
        <w:t xml:space="preserve"> </w:t>
      </w:r>
      <w:r w:rsidR="004446DC" w:rsidRPr="001C0A4B">
        <w:rPr>
          <w:rFonts w:ascii="Arial" w:hAnsi="Arial" w:cs="Arial"/>
          <w:sz w:val="22"/>
          <w:szCs w:val="22"/>
        </w:rPr>
        <w:t>Louise is dedicated for the storage and analysis of genomic data generated from external data sources.</w:t>
      </w:r>
    </w:p>
    <w:p w14:paraId="166A04F5" w14:textId="6895314A" w:rsidR="00A041F2" w:rsidRDefault="00A041F2" w:rsidP="002E1D87">
      <w:pPr>
        <w:widowControl w:val="0"/>
        <w:autoSpaceDE w:val="0"/>
        <w:autoSpaceDN w:val="0"/>
        <w:adjustRightInd w:val="0"/>
        <w:spacing w:after="240" w:line="276" w:lineRule="auto"/>
        <w:jc w:val="both"/>
        <w:rPr>
          <w:rFonts w:ascii="Arial" w:hAnsi="Arial" w:cs="Arial"/>
          <w:sz w:val="22"/>
          <w:szCs w:val="22"/>
        </w:rPr>
      </w:pPr>
      <w:r w:rsidRPr="00281314">
        <w:rPr>
          <w:rFonts w:ascii="Arial" w:hAnsi="Arial" w:cs="Arial"/>
          <w:b/>
          <w:sz w:val="22"/>
          <w:szCs w:val="22"/>
        </w:rPr>
        <w:t>YALE CANCER CENTER CORE LABS:</w:t>
      </w:r>
      <w:r>
        <w:rPr>
          <w:rFonts w:ascii="Arial" w:hAnsi="Arial" w:cs="Arial"/>
          <w:b/>
          <w:sz w:val="22"/>
          <w:szCs w:val="22"/>
        </w:rPr>
        <w:t xml:space="preserve"> </w:t>
      </w:r>
      <w:r>
        <w:rPr>
          <w:rFonts w:ascii="Arial" w:hAnsi="Arial" w:cs="Arial"/>
          <w:sz w:val="22"/>
          <w:szCs w:val="22"/>
        </w:rPr>
        <w:t>The Smilow Cancer Center has shared core facilities for members to use at no charge. This equipment is located in 2 common rooms on the medical campus. Equipment includes:</w:t>
      </w:r>
    </w:p>
    <w:tbl>
      <w:tblPr>
        <w:tblW w:w="30700" w:type="dxa"/>
        <w:tblInd w:w="93" w:type="dxa"/>
        <w:tblLook w:val="04A0" w:firstRow="1" w:lastRow="0" w:firstColumn="1" w:lastColumn="0" w:noHBand="0" w:noVBand="1"/>
      </w:tblPr>
      <w:tblGrid>
        <w:gridCol w:w="30700"/>
      </w:tblGrid>
      <w:tr w:rsidR="00A041F2" w:rsidRPr="00A041F2" w14:paraId="25D357A7" w14:textId="77777777" w:rsidTr="00A041F2">
        <w:trPr>
          <w:trHeight w:val="300"/>
        </w:trPr>
        <w:tc>
          <w:tcPr>
            <w:tcW w:w="30700" w:type="dxa"/>
            <w:tcBorders>
              <w:top w:val="nil"/>
              <w:left w:val="nil"/>
              <w:bottom w:val="nil"/>
              <w:right w:val="nil"/>
            </w:tcBorders>
            <w:shd w:val="clear" w:color="auto" w:fill="auto"/>
            <w:noWrap/>
            <w:vAlign w:val="bottom"/>
            <w:hideMark/>
          </w:tcPr>
          <w:p w14:paraId="2D36AE8E" w14:textId="77777777" w:rsidR="00A041F2" w:rsidRPr="00A041F2" w:rsidRDefault="00A041F2" w:rsidP="00A041F2">
            <w:pPr>
              <w:pStyle w:val="ListParagraph"/>
              <w:numPr>
                <w:ilvl w:val="0"/>
                <w:numId w:val="3"/>
              </w:numPr>
              <w:rPr>
                <w:rFonts w:ascii="Arial" w:eastAsia="Times New Roman" w:hAnsi="Arial" w:cs="Arial"/>
                <w:color w:val="000000"/>
                <w:sz w:val="22"/>
                <w:szCs w:val="22"/>
              </w:rPr>
            </w:pPr>
            <w:r w:rsidRPr="00A041F2">
              <w:rPr>
                <w:rFonts w:ascii="Arial" w:eastAsia="Times New Roman" w:hAnsi="Arial" w:cs="Arial"/>
                <w:color w:val="000000"/>
                <w:sz w:val="22"/>
                <w:szCs w:val="22"/>
              </w:rPr>
              <w:t xml:space="preserve">Applied </w:t>
            </w:r>
            <w:proofErr w:type="spellStart"/>
            <w:r w:rsidRPr="00A041F2">
              <w:rPr>
                <w:rFonts w:ascii="Arial" w:eastAsia="Times New Roman" w:hAnsi="Arial" w:cs="Arial"/>
                <w:color w:val="000000"/>
                <w:sz w:val="22"/>
                <w:szCs w:val="22"/>
              </w:rPr>
              <w:t>Biosystems</w:t>
            </w:r>
            <w:proofErr w:type="spellEnd"/>
            <w:r w:rsidRPr="00A041F2">
              <w:rPr>
                <w:rFonts w:ascii="Arial" w:eastAsia="Times New Roman" w:hAnsi="Arial" w:cs="Arial"/>
                <w:color w:val="000000"/>
                <w:sz w:val="22"/>
                <w:szCs w:val="22"/>
              </w:rPr>
              <w:t xml:space="preserve"> ViiA7 Real Time PCR (Two)</w:t>
            </w:r>
          </w:p>
        </w:tc>
      </w:tr>
      <w:tr w:rsidR="00A041F2" w:rsidRPr="00A041F2" w14:paraId="3675E821" w14:textId="77777777" w:rsidTr="00A041F2">
        <w:trPr>
          <w:trHeight w:val="300"/>
        </w:trPr>
        <w:tc>
          <w:tcPr>
            <w:tcW w:w="30700" w:type="dxa"/>
            <w:tcBorders>
              <w:top w:val="nil"/>
              <w:left w:val="nil"/>
              <w:bottom w:val="nil"/>
              <w:right w:val="nil"/>
            </w:tcBorders>
            <w:shd w:val="clear" w:color="auto" w:fill="auto"/>
            <w:noWrap/>
            <w:vAlign w:val="bottom"/>
            <w:hideMark/>
          </w:tcPr>
          <w:p w14:paraId="37D661E2" w14:textId="77777777" w:rsidR="00A041F2" w:rsidRPr="00A041F2" w:rsidRDefault="00A041F2" w:rsidP="00A041F2">
            <w:pPr>
              <w:pStyle w:val="ListParagraph"/>
              <w:numPr>
                <w:ilvl w:val="0"/>
                <w:numId w:val="3"/>
              </w:numPr>
              <w:rPr>
                <w:rFonts w:ascii="Arial" w:eastAsia="Times New Roman" w:hAnsi="Arial" w:cs="Arial"/>
                <w:color w:val="000000"/>
                <w:sz w:val="22"/>
                <w:szCs w:val="22"/>
              </w:rPr>
            </w:pPr>
            <w:r w:rsidRPr="00A041F2">
              <w:rPr>
                <w:rFonts w:ascii="Arial" w:eastAsia="Times New Roman" w:hAnsi="Arial" w:cs="Arial"/>
                <w:color w:val="000000"/>
                <w:sz w:val="22"/>
                <w:szCs w:val="22"/>
              </w:rPr>
              <w:t xml:space="preserve">Zeiss </w:t>
            </w:r>
            <w:proofErr w:type="spellStart"/>
            <w:r w:rsidRPr="00A041F2">
              <w:rPr>
                <w:rFonts w:ascii="Arial" w:eastAsia="Times New Roman" w:hAnsi="Arial" w:cs="Arial"/>
                <w:color w:val="000000"/>
                <w:sz w:val="22"/>
                <w:szCs w:val="22"/>
              </w:rPr>
              <w:t>Axiocam</w:t>
            </w:r>
            <w:proofErr w:type="spellEnd"/>
            <w:r w:rsidRPr="00A041F2">
              <w:rPr>
                <w:rFonts w:ascii="Arial" w:eastAsia="Times New Roman" w:hAnsi="Arial" w:cs="Arial"/>
                <w:color w:val="000000"/>
                <w:sz w:val="22"/>
                <w:szCs w:val="22"/>
              </w:rPr>
              <w:t xml:space="preserve"> microscope </w:t>
            </w:r>
            <w:proofErr w:type="spellStart"/>
            <w:r w:rsidRPr="00A041F2">
              <w:rPr>
                <w:rFonts w:ascii="Arial" w:eastAsia="Times New Roman" w:hAnsi="Arial" w:cs="Arial"/>
                <w:color w:val="000000"/>
                <w:sz w:val="22"/>
                <w:szCs w:val="22"/>
              </w:rPr>
              <w:t>camcer</w:t>
            </w:r>
            <w:proofErr w:type="spellEnd"/>
          </w:p>
        </w:tc>
      </w:tr>
      <w:tr w:rsidR="00A041F2" w:rsidRPr="00A041F2" w14:paraId="7A0E0FCA" w14:textId="77777777" w:rsidTr="00A041F2">
        <w:trPr>
          <w:trHeight w:val="300"/>
        </w:trPr>
        <w:tc>
          <w:tcPr>
            <w:tcW w:w="30700" w:type="dxa"/>
            <w:tcBorders>
              <w:top w:val="nil"/>
              <w:left w:val="nil"/>
              <w:bottom w:val="nil"/>
              <w:right w:val="nil"/>
            </w:tcBorders>
            <w:shd w:val="clear" w:color="auto" w:fill="auto"/>
            <w:noWrap/>
            <w:vAlign w:val="bottom"/>
            <w:hideMark/>
          </w:tcPr>
          <w:p w14:paraId="64570956" w14:textId="77777777" w:rsidR="00A041F2" w:rsidRPr="00A041F2" w:rsidRDefault="00A041F2" w:rsidP="00A041F2">
            <w:pPr>
              <w:pStyle w:val="ListParagraph"/>
              <w:numPr>
                <w:ilvl w:val="0"/>
                <w:numId w:val="3"/>
              </w:numPr>
              <w:rPr>
                <w:rFonts w:ascii="Arial" w:eastAsia="Times New Roman" w:hAnsi="Arial" w:cs="Arial"/>
                <w:color w:val="000000"/>
                <w:sz w:val="22"/>
                <w:szCs w:val="22"/>
              </w:rPr>
            </w:pPr>
            <w:r w:rsidRPr="00A041F2">
              <w:rPr>
                <w:rFonts w:ascii="Arial" w:eastAsia="Times New Roman" w:hAnsi="Arial" w:cs="Arial"/>
                <w:color w:val="000000"/>
                <w:sz w:val="22"/>
                <w:szCs w:val="22"/>
              </w:rPr>
              <w:t xml:space="preserve">Zeiss </w:t>
            </w:r>
            <w:proofErr w:type="spellStart"/>
            <w:r w:rsidRPr="00A041F2">
              <w:rPr>
                <w:rFonts w:ascii="Arial" w:eastAsia="Times New Roman" w:hAnsi="Arial" w:cs="Arial"/>
                <w:color w:val="000000"/>
                <w:sz w:val="22"/>
                <w:szCs w:val="22"/>
              </w:rPr>
              <w:t>Axio</w:t>
            </w:r>
            <w:proofErr w:type="spellEnd"/>
            <w:r w:rsidRPr="00A041F2">
              <w:rPr>
                <w:rFonts w:ascii="Arial" w:eastAsia="Times New Roman" w:hAnsi="Arial" w:cs="Arial"/>
                <w:color w:val="000000"/>
                <w:sz w:val="22"/>
                <w:szCs w:val="22"/>
              </w:rPr>
              <w:t xml:space="preserve"> Observer A1- Inverted Microscope (Two)</w:t>
            </w:r>
          </w:p>
        </w:tc>
      </w:tr>
      <w:tr w:rsidR="00A041F2" w:rsidRPr="00A041F2" w14:paraId="4D5E626E" w14:textId="77777777" w:rsidTr="00A041F2">
        <w:trPr>
          <w:trHeight w:val="300"/>
        </w:trPr>
        <w:tc>
          <w:tcPr>
            <w:tcW w:w="30700" w:type="dxa"/>
            <w:tcBorders>
              <w:top w:val="nil"/>
              <w:left w:val="nil"/>
              <w:bottom w:val="nil"/>
              <w:right w:val="nil"/>
            </w:tcBorders>
            <w:shd w:val="clear" w:color="auto" w:fill="auto"/>
            <w:noWrap/>
            <w:vAlign w:val="bottom"/>
            <w:hideMark/>
          </w:tcPr>
          <w:p w14:paraId="0880B9A3" w14:textId="77777777" w:rsidR="00A041F2" w:rsidRPr="00A041F2" w:rsidRDefault="00A041F2" w:rsidP="00A041F2">
            <w:pPr>
              <w:pStyle w:val="ListParagraph"/>
              <w:numPr>
                <w:ilvl w:val="0"/>
                <w:numId w:val="3"/>
              </w:numPr>
              <w:rPr>
                <w:rFonts w:ascii="Arial" w:eastAsia="Times New Roman" w:hAnsi="Arial" w:cs="Arial"/>
                <w:color w:val="000000"/>
                <w:sz w:val="22"/>
                <w:szCs w:val="22"/>
              </w:rPr>
            </w:pPr>
            <w:proofErr w:type="spellStart"/>
            <w:r w:rsidRPr="00A041F2">
              <w:rPr>
                <w:rFonts w:ascii="Arial" w:eastAsia="Times New Roman" w:hAnsi="Arial" w:cs="Arial"/>
                <w:color w:val="000000"/>
                <w:sz w:val="22"/>
                <w:szCs w:val="22"/>
              </w:rPr>
              <w:t>Sorvall</w:t>
            </w:r>
            <w:proofErr w:type="spellEnd"/>
            <w:r w:rsidRPr="00A041F2">
              <w:rPr>
                <w:rFonts w:ascii="Arial" w:eastAsia="Times New Roman" w:hAnsi="Arial" w:cs="Arial"/>
                <w:color w:val="000000"/>
                <w:sz w:val="22"/>
                <w:szCs w:val="22"/>
              </w:rPr>
              <w:t xml:space="preserve"> </w:t>
            </w:r>
            <w:proofErr w:type="spellStart"/>
            <w:r w:rsidRPr="00A041F2">
              <w:rPr>
                <w:rFonts w:ascii="Arial" w:eastAsia="Times New Roman" w:hAnsi="Arial" w:cs="Arial"/>
                <w:color w:val="000000"/>
                <w:sz w:val="22"/>
                <w:szCs w:val="22"/>
              </w:rPr>
              <w:t>Thermoregulatable</w:t>
            </w:r>
            <w:proofErr w:type="spellEnd"/>
            <w:r w:rsidRPr="00A041F2">
              <w:rPr>
                <w:rFonts w:ascii="Arial" w:eastAsia="Times New Roman" w:hAnsi="Arial" w:cs="Arial"/>
                <w:color w:val="000000"/>
                <w:sz w:val="22"/>
                <w:szCs w:val="22"/>
              </w:rPr>
              <w:t xml:space="preserve"> RC6+ High Speed Centrifuge (Two)</w:t>
            </w:r>
          </w:p>
        </w:tc>
      </w:tr>
      <w:tr w:rsidR="00A041F2" w:rsidRPr="00A041F2" w14:paraId="58FAD342" w14:textId="77777777" w:rsidTr="00A041F2">
        <w:trPr>
          <w:trHeight w:val="300"/>
        </w:trPr>
        <w:tc>
          <w:tcPr>
            <w:tcW w:w="30700" w:type="dxa"/>
            <w:tcBorders>
              <w:top w:val="nil"/>
              <w:left w:val="nil"/>
              <w:bottom w:val="nil"/>
              <w:right w:val="nil"/>
            </w:tcBorders>
            <w:shd w:val="clear" w:color="auto" w:fill="auto"/>
            <w:noWrap/>
            <w:vAlign w:val="bottom"/>
            <w:hideMark/>
          </w:tcPr>
          <w:p w14:paraId="38F2E2FD" w14:textId="77777777" w:rsidR="00A041F2" w:rsidRPr="00A041F2" w:rsidRDefault="00A041F2" w:rsidP="00A041F2">
            <w:pPr>
              <w:pStyle w:val="ListParagraph"/>
              <w:numPr>
                <w:ilvl w:val="0"/>
                <w:numId w:val="3"/>
              </w:numPr>
              <w:rPr>
                <w:rFonts w:ascii="Arial" w:eastAsia="Times New Roman" w:hAnsi="Arial" w:cs="Arial"/>
                <w:color w:val="000000"/>
                <w:sz w:val="22"/>
                <w:szCs w:val="22"/>
              </w:rPr>
            </w:pPr>
            <w:proofErr w:type="spellStart"/>
            <w:r w:rsidRPr="00A041F2">
              <w:rPr>
                <w:rFonts w:ascii="Arial" w:eastAsia="Times New Roman" w:hAnsi="Arial" w:cs="Arial"/>
                <w:color w:val="000000"/>
                <w:sz w:val="22"/>
                <w:szCs w:val="22"/>
              </w:rPr>
              <w:t>BioRad</w:t>
            </w:r>
            <w:proofErr w:type="spellEnd"/>
            <w:r w:rsidRPr="00A041F2">
              <w:rPr>
                <w:rFonts w:ascii="Arial" w:eastAsia="Times New Roman" w:hAnsi="Arial" w:cs="Arial"/>
                <w:color w:val="000000"/>
                <w:sz w:val="22"/>
                <w:szCs w:val="22"/>
              </w:rPr>
              <w:t xml:space="preserve"> </w:t>
            </w:r>
            <w:proofErr w:type="spellStart"/>
            <w:r w:rsidRPr="00A041F2">
              <w:rPr>
                <w:rFonts w:ascii="Arial" w:eastAsia="Times New Roman" w:hAnsi="Arial" w:cs="Arial"/>
                <w:color w:val="000000"/>
                <w:sz w:val="22"/>
                <w:szCs w:val="22"/>
              </w:rPr>
              <w:t>Chemidoc</w:t>
            </w:r>
            <w:proofErr w:type="spellEnd"/>
            <w:r w:rsidRPr="00A041F2">
              <w:rPr>
                <w:rFonts w:ascii="Arial" w:eastAsia="Times New Roman" w:hAnsi="Arial" w:cs="Arial"/>
                <w:color w:val="000000"/>
                <w:sz w:val="22"/>
                <w:szCs w:val="22"/>
              </w:rPr>
              <w:t xml:space="preserve"> MP (Two)</w:t>
            </w:r>
          </w:p>
        </w:tc>
      </w:tr>
      <w:tr w:rsidR="00A041F2" w:rsidRPr="00A041F2" w14:paraId="4C417FEE" w14:textId="77777777" w:rsidTr="00A041F2">
        <w:trPr>
          <w:trHeight w:val="300"/>
        </w:trPr>
        <w:tc>
          <w:tcPr>
            <w:tcW w:w="30700" w:type="dxa"/>
            <w:tcBorders>
              <w:top w:val="nil"/>
              <w:left w:val="nil"/>
              <w:bottom w:val="nil"/>
              <w:right w:val="nil"/>
            </w:tcBorders>
            <w:shd w:val="clear" w:color="auto" w:fill="auto"/>
            <w:noWrap/>
            <w:vAlign w:val="bottom"/>
            <w:hideMark/>
          </w:tcPr>
          <w:p w14:paraId="29877287" w14:textId="77777777" w:rsidR="00A041F2" w:rsidRPr="00A041F2" w:rsidRDefault="00A041F2" w:rsidP="00A041F2">
            <w:pPr>
              <w:pStyle w:val="ListParagraph"/>
              <w:numPr>
                <w:ilvl w:val="0"/>
                <w:numId w:val="3"/>
              </w:numPr>
              <w:rPr>
                <w:rFonts w:ascii="Arial" w:eastAsia="Times New Roman" w:hAnsi="Arial" w:cs="Arial"/>
                <w:color w:val="000000"/>
                <w:sz w:val="22"/>
                <w:szCs w:val="22"/>
              </w:rPr>
            </w:pPr>
            <w:r w:rsidRPr="00A041F2">
              <w:rPr>
                <w:rFonts w:ascii="Arial" w:eastAsia="Times New Roman" w:hAnsi="Arial" w:cs="Arial"/>
                <w:color w:val="000000"/>
                <w:sz w:val="22"/>
                <w:szCs w:val="22"/>
              </w:rPr>
              <w:t>Paradigm Fluorescence Plate Reader</w:t>
            </w:r>
          </w:p>
        </w:tc>
      </w:tr>
      <w:tr w:rsidR="00A041F2" w:rsidRPr="00A041F2" w14:paraId="2C65D0CA" w14:textId="77777777" w:rsidTr="00A041F2">
        <w:trPr>
          <w:trHeight w:val="300"/>
        </w:trPr>
        <w:tc>
          <w:tcPr>
            <w:tcW w:w="30700" w:type="dxa"/>
            <w:tcBorders>
              <w:top w:val="nil"/>
              <w:left w:val="nil"/>
              <w:bottom w:val="nil"/>
              <w:right w:val="nil"/>
            </w:tcBorders>
            <w:shd w:val="clear" w:color="auto" w:fill="auto"/>
            <w:noWrap/>
            <w:vAlign w:val="bottom"/>
            <w:hideMark/>
          </w:tcPr>
          <w:p w14:paraId="07D5B3F7" w14:textId="77777777" w:rsidR="00A041F2" w:rsidRPr="00A041F2" w:rsidRDefault="00A041F2" w:rsidP="00A041F2">
            <w:pPr>
              <w:pStyle w:val="ListParagraph"/>
              <w:numPr>
                <w:ilvl w:val="0"/>
                <w:numId w:val="3"/>
              </w:numPr>
              <w:rPr>
                <w:rFonts w:ascii="Arial" w:eastAsia="Times New Roman" w:hAnsi="Arial" w:cs="Arial"/>
                <w:color w:val="000000"/>
                <w:sz w:val="22"/>
                <w:szCs w:val="22"/>
              </w:rPr>
            </w:pPr>
            <w:r w:rsidRPr="00A041F2">
              <w:rPr>
                <w:rFonts w:ascii="Arial" w:eastAsia="Times New Roman" w:hAnsi="Arial" w:cs="Arial"/>
                <w:color w:val="000000"/>
                <w:sz w:val="22"/>
                <w:szCs w:val="22"/>
              </w:rPr>
              <w:t>Gentle Max tissue prep and magnetic bead sorter</w:t>
            </w:r>
          </w:p>
        </w:tc>
      </w:tr>
      <w:tr w:rsidR="00A041F2" w:rsidRPr="00A041F2" w14:paraId="15E59A60" w14:textId="77777777" w:rsidTr="00A041F2">
        <w:trPr>
          <w:trHeight w:val="300"/>
        </w:trPr>
        <w:tc>
          <w:tcPr>
            <w:tcW w:w="30700" w:type="dxa"/>
            <w:tcBorders>
              <w:top w:val="nil"/>
              <w:left w:val="nil"/>
              <w:bottom w:val="nil"/>
              <w:right w:val="nil"/>
            </w:tcBorders>
            <w:shd w:val="clear" w:color="auto" w:fill="auto"/>
            <w:noWrap/>
            <w:vAlign w:val="bottom"/>
            <w:hideMark/>
          </w:tcPr>
          <w:p w14:paraId="5907A8DA" w14:textId="77777777" w:rsidR="00A041F2" w:rsidRPr="00A041F2" w:rsidRDefault="00A041F2" w:rsidP="00A041F2">
            <w:pPr>
              <w:pStyle w:val="ListParagraph"/>
              <w:numPr>
                <w:ilvl w:val="0"/>
                <w:numId w:val="3"/>
              </w:numPr>
              <w:rPr>
                <w:rFonts w:ascii="Arial" w:eastAsia="Times New Roman" w:hAnsi="Arial" w:cs="Arial"/>
                <w:color w:val="000000"/>
                <w:sz w:val="22"/>
                <w:szCs w:val="22"/>
              </w:rPr>
            </w:pPr>
            <w:proofErr w:type="spellStart"/>
            <w:r w:rsidRPr="00A041F2">
              <w:rPr>
                <w:rFonts w:ascii="Arial" w:eastAsia="Times New Roman" w:hAnsi="Arial" w:cs="Arial"/>
                <w:color w:val="000000"/>
                <w:sz w:val="22"/>
                <w:szCs w:val="22"/>
              </w:rPr>
              <w:t>Cytospin</w:t>
            </w:r>
            <w:proofErr w:type="spellEnd"/>
          </w:p>
        </w:tc>
      </w:tr>
      <w:tr w:rsidR="00A041F2" w:rsidRPr="00A041F2" w14:paraId="13DC8E7B" w14:textId="77777777" w:rsidTr="00A041F2">
        <w:trPr>
          <w:trHeight w:val="300"/>
        </w:trPr>
        <w:tc>
          <w:tcPr>
            <w:tcW w:w="30700" w:type="dxa"/>
            <w:tcBorders>
              <w:top w:val="nil"/>
              <w:left w:val="nil"/>
              <w:bottom w:val="nil"/>
              <w:right w:val="nil"/>
            </w:tcBorders>
            <w:shd w:val="clear" w:color="auto" w:fill="auto"/>
            <w:noWrap/>
            <w:vAlign w:val="bottom"/>
            <w:hideMark/>
          </w:tcPr>
          <w:p w14:paraId="24600CEC" w14:textId="77777777" w:rsidR="00A041F2" w:rsidRPr="00A041F2" w:rsidRDefault="00A041F2" w:rsidP="00A041F2">
            <w:pPr>
              <w:pStyle w:val="ListParagraph"/>
              <w:numPr>
                <w:ilvl w:val="0"/>
                <w:numId w:val="3"/>
              </w:numPr>
              <w:rPr>
                <w:rFonts w:ascii="Arial" w:eastAsia="Times New Roman" w:hAnsi="Arial" w:cs="Arial"/>
                <w:color w:val="000000"/>
                <w:sz w:val="22"/>
                <w:szCs w:val="22"/>
              </w:rPr>
            </w:pPr>
            <w:r w:rsidRPr="00A041F2">
              <w:rPr>
                <w:rFonts w:ascii="Arial" w:eastAsia="Times New Roman" w:hAnsi="Arial" w:cs="Arial"/>
                <w:color w:val="000000"/>
                <w:sz w:val="22"/>
                <w:szCs w:val="22"/>
              </w:rPr>
              <w:t>Leica RM2235 rotary microtome</w:t>
            </w:r>
          </w:p>
        </w:tc>
      </w:tr>
      <w:tr w:rsidR="00A041F2" w:rsidRPr="00A041F2" w14:paraId="75F0D1B9" w14:textId="77777777" w:rsidTr="00A041F2">
        <w:trPr>
          <w:trHeight w:val="300"/>
        </w:trPr>
        <w:tc>
          <w:tcPr>
            <w:tcW w:w="30700" w:type="dxa"/>
            <w:tcBorders>
              <w:top w:val="nil"/>
              <w:left w:val="nil"/>
              <w:bottom w:val="nil"/>
              <w:right w:val="nil"/>
            </w:tcBorders>
            <w:shd w:val="clear" w:color="auto" w:fill="auto"/>
            <w:noWrap/>
            <w:vAlign w:val="bottom"/>
            <w:hideMark/>
          </w:tcPr>
          <w:p w14:paraId="0F52C8DF" w14:textId="77777777" w:rsidR="00A041F2" w:rsidRPr="00A041F2" w:rsidRDefault="00A041F2" w:rsidP="00A041F2">
            <w:pPr>
              <w:pStyle w:val="ListParagraph"/>
              <w:numPr>
                <w:ilvl w:val="0"/>
                <w:numId w:val="3"/>
              </w:numPr>
              <w:rPr>
                <w:rFonts w:ascii="Arial" w:eastAsia="Times New Roman" w:hAnsi="Arial" w:cs="Arial"/>
                <w:color w:val="000000"/>
                <w:sz w:val="22"/>
                <w:szCs w:val="22"/>
              </w:rPr>
            </w:pPr>
            <w:r w:rsidRPr="00A041F2">
              <w:rPr>
                <w:rFonts w:ascii="Arial" w:eastAsia="Times New Roman" w:hAnsi="Arial" w:cs="Arial"/>
                <w:color w:val="000000"/>
                <w:sz w:val="22"/>
                <w:szCs w:val="22"/>
              </w:rPr>
              <w:t>Leica CM1950 cryostat</w:t>
            </w:r>
          </w:p>
        </w:tc>
      </w:tr>
      <w:tr w:rsidR="00A041F2" w:rsidRPr="00A041F2" w14:paraId="57EFB99E" w14:textId="77777777" w:rsidTr="00A041F2">
        <w:trPr>
          <w:trHeight w:val="300"/>
        </w:trPr>
        <w:tc>
          <w:tcPr>
            <w:tcW w:w="30700" w:type="dxa"/>
            <w:tcBorders>
              <w:top w:val="nil"/>
              <w:left w:val="nil"/>
              <w:bottom w:val="nil"/>
              <w:right w:val="nil"/>
            </w:tcBorders>
            <w:shd w:val="clear" w:color="auto" w:fill="auto"/>
            <w:noWrap/>
            <w:vAlign w:val="bottom"/>
            <w:hideMark/>
          </w:tcPr>
          <w:p w14:paraId="32AAA7AF" w14:textId="77777777" w:rsidR="00A041F2" w:rsidRPr="00A041F2" w:rsidRDefault="00A041F2" w:rsidP="00A041F2">
            <w:pPr>
              <w:pStyle w:val="ListParagraph"/>
              <w:numPr>
                <w:ilvl w:val="0"/>
                <w:numId w:val="3"/>
              </w:numPr>
              <w:rPr>
                <w:rFonts w:ascii="Arial" w:eastAsia="Times New Roman" w:hAnsi="Arial" w:cs="Arial"/>
                <w:color w:val="000000"/>
                <w:sz w:val="22"/>
                <w:szCs w:val="22"/>
              </w:rPr>
            </w:pPr>
            <w:r w:rsidRPr="00A041F2">
              <w:rPr>
                <w:rFonts w:ascii="Arial" w:eastAsia="Times New Roman" w:hAnsi="Arial" w:cs="Arial"/>
                <w:color w:val="000000"/>
                <w:sz w:val="22"/>
                <w:szCs w:val="22"/>
              </w:rPr>
              <w:t>GE ÄKTA pure chromatography system</w:t>
            </w:r>
          </w:p>
        </w:tc>
      </w:tr>
      <w:tr w:rsidR="00A041F2" w:rsidRPr="00A041F2" w14:paraId="7220D718" w14:textId="77777777" w:rsidTr="00A041F2">
        <w:trPr>
          <w:trHeight w:val="300"/>
        </w:trPr>
        <w:tc>
          <w:tcPr>
            <w:tcW w:w="30700" w:type="dxa"/>
            <w:tcBorders>
              <w:top w:val="nil"/>
              <w:left w:val="nil"/>
              <w:bottom w:val="nil"/>
              <w:right w:val="nil"/>
            </w:tcBorders>
            <w:shd w:val="clear" w:color="auto" w:fill="auto"/>
            <w:noWrap/>
            <w:vAlign w:val="bottom"/>
            <w:hideMark/>
          </w:tcPr>
          <w:p w14:paraId="22B0C275" w14:textId="77777777" w:rsidR="00A041F2" w:rsidRPr="00A041F2" w:rsidRDefault="00A041F2" w:rsidP="00A041F2">
            <w:pPr>
              <w:pStyle w:val="ListParagraph"/>
              <w:numPr>
                <w:ilvl w:val="0"/>
                <w:numId w:val="3"/>
              </w:numPr>
              <w:rPr>
                <w:rFonts w:ascii="Arial" w:eastAsia="Times New Roman" w:hAnsi="Arial" w:cs="Arial"/>
                <w:color w:val="000000"/>
                <w:sz w:val="22"/>
                <w:szCs w:val="22"/>
              </w:rPr>
            </w:pPr>
            <w:proofErr w:type="spellStart"/>
            <w:r w:rsidRPr="00A041F2">
              <w:rPr>
                <w:rFonts w:ascii="Arial" w:eastAsia="Times New Roman" w:hAnsi="Arial" w:cs="Arial"/>
                <w:color w:val="000000"/>
                <w:sz w:val="22"/>
                <w:szCs w:val="22"/>
              </w:rPr>
              <w:t>Lonza</w:t>
            </w:r>
            <w:proofErr w:type="spellEnd"/>
            <w:r w:rsidRPr="00A041F2">
              <w:rPr>
                <w:rFonts w:ascii="Arial" w:eastAsia="Times New Roman" w:hAnsi="Arial" w:cs="Arial"/>
                <w:color w:val="000000"/>
                <w:sz w:val="22"/>
                <w:szCs w:val="22"/>
              </w:rPr>
              <w:t xml:space="preserve"> </w:t>
            </w:r>
            <w:proofErr w:type="spellStart"/>
            <w:r w:rsidRPr="00A041F2">
              <w:rPr>
                <w:rFonts w:ascii="Arial" w:eastAsia="Times New Roman" w:hAnsi="Arial" w:cs="Arial"/>
                <w:color w:val="000000"/>
                <w:sz w:val="22"/>
                <w:szCs w:val="22"/>
              </w:rPr>
              <w:t>Nucleofactor</w:t>
            </w:r>
            <w:proofErr w:type="spellEnd"/>
            <w:r w:rsidRPr="00A041F2">
              <w:rPr>
                <w:rFonts w:ascii="Arial" w:eastAsia="Times New Roman" w:hAnsi="Arial" w:cs="Arial"/>
                <w:color w:val="000000"/>
                <w:sz w:val="22"/>
                <w:szCs w:val="22"/>
              </w:rPr>
              <w:t>/</w:t>
            </w:r>
            <w:proofErr w:type="spellStart"/>
            <w:r w:rsidRPr="00A041F2">
              <w:rPr>
                <w:rFonts w:ascii="Arial" w:eastAsia="Times New Roman" w:hAnsi="Arial" w:cs="Arial"/>
                <w:color w:val="000000"/>
                <w:sz w:val="22"/>
                <w:szCs w:val="22"/>
              </w:rPr>
              <w:t>Electroporator</w:t>
            </w:r>
            <w:proofErr w:type="spellEnd"/>
          </w:p>
        </w:tc>
      </w:tr>
      <w:tr w:rsidR="00A041F2" w:rsidRPr="00A041F2" w14:paraId="2AB5919F" w14:textId="77777777" w:rsidTr="00A041F2">
        <w:trPr>
          <w:trHeight w:val="300"/>
        </w:trPr>
        <w:tc>
          <w:tcPr>
            <w:tcW w:w="30700" w:type="dxa"/>
            <w:tcBorders>
              <w:top w:val="nil"/>
              <w:left w:val="nil"/>
              <w:bottom w:val="nil"/>
              <w:right w:val="nil"/>
            </w:tcBorders>
            <w:shd w:val="clear" w:color="auto" w:fill="auto"/>
            <w:noWrap/>
            <w:vAlign w:val="bottom"/>
            <w:hideMark/>
          </w:tcPr>
          <w:p w14:paraId="70E8B6B1" w14:textId="77777777" w:rsidR="00A041F2" w:rsidRPr="00A041F2" w:rsidRDefault="00A041F2" w:rsidP="00A041F2">
            <w:pPr>
              <w:pStyle w:val="ListParagraph"/>
              <w:numPr>
                <w:ilvl w:val="0"/>
                <w:numId w:val="3"/>
              </w:numPr>
              <w:rPr>
                <w:rFonts w:ascii="Arial" w:eastAsia="Times New Roman" w:hAnsi="Arial" w:cs="Arial"/>
                <w:color w:val="000000"/>
                <w:sz w:val="22"/>
                <w:szCs w:val="22"/>
              </w:rPr>
            </w:pPr>
            <w:r w:rsidRPr="00A041F2">
              <w:rPr>
                <w:rFonts w:ascii="Arial" w:eastAsia="Times New Roman" w:hAnsi="Arial" w:cs="Arial"/>
                <w:color w:val="000000"/>
                <w:sz w:val="22"/>
                <w:szCs w:val="22"/>
              </w:rPr>
              <w:t xml:space="preserve">Guava </w:t>
            </w:r>
            <w:proofErr w:type="spellStart"/>
            <w:r w:rsidRPr="00A041F2">
              <w:rPr>
                <w:rFonts w:ascii="Arial" w:eastAsia="Times New Roman" w:hAnsi="Arial" w:cs="Arial"/>
                <w:color w:val="000000"/>
                <w:sz w:val="22"/>
                <w:szCs w:val="22"/>
              </w:rPr>
              <w:t>easyCyte</w:t>
            </w:r>
            <w:proofErr w:type="spellEnd"/>
            <w:r w:rsidRPr="00A041F2">
              <w:rPr>
                <w:rFonts w:ascii="Arial" w:eastAsia="Times New Roman" w:hAnsi="Arial" w:cs="Arial"/>
                <w:color w:val="000000"/>
                <w:sz w:val="22"/>
                <w:szCs w:val="22"/>
              </w:rPr>
              <w:t xml:space="preserve"> Flow Cytometer</w:t>
            </w:r>
          </w:p>
        </w:tc>
      </w:tr>
      <w:tr w:rsidR="00A041F2" w:rsidRPr="00A041F2" w14:paraId="2CD79696" w14:textId="77777777" w:rsidTr="00A041F2">
        <w:trPr>
          <w:trHeight w:val="300"/>
        </w:trPr>
        <w:tc>
          <w:tcPr>
            <w:tcW w:w="30700" w:type="dxa"/>
            <w:tcBorders>
              <w:top w:val="nil"/>
              <w:left w:val="nil"/>
              <w:bottom w:val="nil"/>
              <w:right w:val="nil"/>
            </w:tcBorders>
            <w:shd w:val="clear" w:color="auto" w:fill="auto"/>
            <w:noWrap/>
            <w:vAlign w:val="bottom"/>
            <w:hideMark/>
          </w:tcPr>
          <w:p w14:paraId="12A05B34" w14:textId="77777777" w:rsidR="00A041F2" w:rsidRPr="00A041F2" w:rsidRDefault="00A041F2" w:rsidP="00A041F2">
            <w:pPr>
              <w:pStyle w:val="ListParagraph"/>
              <w:numPr>
                <w:ilvl w:val="0"/>
                <w:numId w:val="3"/>
              </w:numPr>
              <w:rPr>
                <w:rFonts w:ascii="Arial" w:eastAsia="Times New Roman" w:hAnsi="Arial" w:cs="Arial"/>
                <w:color w:val="000000"/>
                <w:sz w:val="22"/>
                <w:szCs w:val="22"/>
              </w:rPr>
            </w:pPr>
            <w:r w:rsidRPr="00A041F2">
              <w:rPr>
                <w:rFonts w:ascii="Arial" w:eastAsia="Times New Roman" w:hAnsi="Arial" w:cs="Arial"/>
                <w:color w:val="000000"/>
                <w:sz w:val="22"/>
                <w:szCs w:val="22"/>
              </w:rPr>
              <w:t xml:space="preserve">The </w:t>
            </w:r>
            <w:proofErr w:type="spellStart"/>
            <w:r w:rsidRPr="00A041F2">
              <w:rPr>
                <w:rFonts w:ascii="Arial" w:eastAsia="Times New Roman" w:hAnsi="Arial" w:cs="Arial"/>
                <w:color w:val="000000"/>
                <w:sz w:val="22"/>
                <w:szCs w:val="22"/>
              </w:rPr>
              <w:t>Mitocell</w:t>
            </w:r>
            <w:proofErr w:type="spellEnd"/>
            <w:r w:rsidRPr="00A041F2">
              <w:rPr>
                <w:rFonts w:ascii="Arial" w:eastAsia="Times New Roman" w:hAnsi="Arial" w:cs="Arial"/>
                <w:color w:val="000000"/>
                <w:sz w:val="22"/>
                <w:szCs w:val="22"/>
              </w:rPr>
              <w:t xml:space="preserve"> S200 micro </w:t>
            </w:r>
            <w:proofErr w:type="spellStart"/>
            <w:r w:rsidRPr="00A041F2">
              <w:rPr>
                <w:rFonts w:ascii="Arial" w:eastAsia="Times New Roman" w:hAnsi="Arial" w:cs="Arial"/>
                <w:color w:val="000000"/>
                <w:sz w:val="22"/>
                <w:szCs w:val="22"/>
              </w:rPr>
              <w:t>respirometry</w:t>
            </w:r>
            <w:proofErr w:type="spellEnd"/>
            <w:r w:rsidRPr="00A041F2">
              <w:rPr>
                <w:rFonts w:ascii="Arial" w:eastAsia="Times New Roman" w:hAnsi="Arial" w:cs="Arial"/>
                <w:color w:val="000000"/>
                <w:sz w:val="22"/>
                <w:szCs w:val="22"/>
              </w:rPr>
              <w:t xml:space="preserve"> system</w:t>
            </w:r>
          </w:p>
        </w:tc>
      </w:tr>
      <w:tr w:rsidR="00A041F2" w:rsidRPr="00A041F2" w14:paraId="7967D23A" w14:textId="77777777" w:rsidTr="00A041F2">
        <w:trPr>
          <w:trHeight w:val="300"/>
        </w:trPr>
        <w:tc>
          <w:tcPr>
            <w:tcW w:w="30700" w:type="dxa"/>
            <w:tcBorders>
              <w:top w:val="nil"/>
              <w:left w:val="nil"/>
              <w:bottom w:val="nil"/>
              <w:right w:val="nil"/>
            </w:tcBorders>
            <w:shd w:val="clear" w:color="auto" w:fill="auto"/>
            <w:noWrap/>
            <w:vAlign w:val="bottom"/>
            <w:hideMark/>
          </w:tcPr>
          <w:p w14:paraId="65B8B0E9" w14:textId="77777777" w:rsidR="00A041F2" w:rsidRPr="00A041F2" w:rsidRDefault="00A041F2" w:rsidP="00A041F2">
            <w:pPr>
              <w:pStyle w:val="ListParagraph"/>
              <w:numPr>
                <w:ilvl w:val="0"/>
                <w:numId w:val="3"/>
              </w:numPr>
              <w:rPr>
                <w:rFonts w:ascii="Arial" w:eastAsia="Times New Roman" w:hAnsi="Arial" w:cs="Arial"/>
                <w:color w:val="000000"/>
                <w:sz w:val="22"/>
                <w:szCs w:val="22"/>
              </w:rPr>
            </w:pPr>
            <w:proofErr w:type="spellStart"/>
            <w:r w:rsidRPr="00A041F2">
              <w:rPr>
                <w:rFonts w:ascii="Arial" w:eastAsia="Times New Roman" w:hAnsi="Arial" w:cs="Arial"/>
                <w:color w:val="000000"/>
                <w:sz w:val="22"/>
                <w:szCs w:val="22"/>
              </w:rPr>
              <w:t>Virtis</w:t>
            </w:r>
            <w:proofErr w:type="spellEnd"/>
            <w:r w:rsidRPr="00A041F2">
              <w:rPr>
                <w:rFonts w:ascii="Arial" w:eastAsia="Times New Roman" w:hAnsi="Arial" w:cs="Arial"/>
                <w:color w:val="000000"/>
                <w:sz w:val="22"/>
                <w:szCs w:val="22"/>
              </w:rPr>
              <w:t xml:space="preserve"> Advantage Plus bench top freeze dryer</w:t>
            </w:r>
          </w:p>
        </w:tc>
      </w:tr>
    </w:tbl>
    <w:p w14:paraId="6EC584FF" w14:textId="77777777" w:rsidR="00187EF4" w:rsidRPr="001C0A4B" w:rsidRDefault="00187EF4" w:rsidP="007A7BF1">
      <w:pPr>
        <w:spacing w:line="276" w:lineRule="auto"/>
        <w:jc w:val="both"/>
        <w:rPr>
          <w:rFonts w:ascii="Arial" w:hAnsi="Arial" w:cs="Arial"/>
          <w:sz w:val="22"/>
          <w:szCs w:val="22"/>
        </w:rPr>
      </w:pPr>
    </w:p>
    <w:p w14:paraId="343DE214" w14:textId="2169433D" w:rsidR="00B83DA8" w:rsidRPr="00470D2E" w:rsidRDefault="00B83DA8" w:rsidP="00470D2E">
      <w:pPr>
        <w:rPr>
          <w:rFonts w:ascii="Arial" w:hAnsi="Arial" w:cs="Arial"/>
          <w:b/>
          <w:bCs/>
          <w:sz w:val="22"/>
          <w:szCs w:val="22"/>
        </w:rPr>
      </w:pPr>
    </w:p>
    <w:sectPr w:rsidR="00B83DA8" w:rsidRPr="00470D2E" w:rsidSect="001C0A4B">
      <w:pgSz w:w="12240" w:h="15840"/>
      <w:pgMar w:top="1440" w:right="1080" w:bottom="144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F85036"/>
    <w:multiLevelType w:val="hybridMultilevel"/>
    <w:tmpl w:val="D386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B537A5"/>
    <w:multiLevelType w:val="hybridMultilevel"/>
    <w:tmpl w:val="2F92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27D"/>
    <w:rsid w:val="00015416"/>
    <w:rsid w:val="000541F4"/>
    <w:rsid w:val="00073A2F"/>
    <w:rsid w:val="0008477F"/>
    <w:rsid w:val="0009778D"/>
    <w:rsid w:val="000B1CD7"/>
    <w:rsid w:val="000C7F03"/>
    <w:rsid w:val="000F4FE0"/>
    <w:rsid w:val="001702CD"/>
    <w:rsid w:val="00187EF4"/>
    <w:rsid w:val="001C0A4B"/>
    <w:rsid w:val="001D1BAF"/>
    <w:rsid w:val="002064F9"/>
    <w:rsid w:val="002444C7"/>
    <w:rsid w:val="00264472"/>
    <w:rsid w:val="00281314"/>
    <w:rsid w:val="002B14C7"/>
    <w:rsid w:val="002E1D87"/>
    <w:rsid w:val="00305CF8"/>
    <w:rsid w:val="00313C28"/>
    <w:rsid w:val="003228B6"/>
    <w:rsid w:val="003429B2"/>
    <w:rsid w:val="00385B4A"/>
    <w:rsid w:val="003A5ED9"/>
    <w:rsid w:val="003C6360"/>
    <w:rsid w:val="003F769C"/>
    <w:rsid w:val="00422BE3"/>
    <w:rsid w:val="00425C6F"/>
    <w:rsid w:val="004446DC"/>
    <w:rsid w:val="00451C7C"/>
    <w:rsid w:val="00463A6D"/>
    <w:rsid w:val="00470D2E"/>
    <w:rsid w:val="00492E36"/>
    <w:rsid w:val="004B6068"/>
    <w:rsid w:val="004E016B"/>
    <w:rsid w:val="005365AC"/>
    <w:rsid w:val="00576CCC"/>
    <w:rsid w:val="00585211"/>
    <w:rsid w:val="005A68B8"/>
    <w:rsid w:val="005B785D"/>
    <w:rsid w:val="006553C6"/>
    <w:rsid w:val="00655427"/>
    <w:rsid w:val="00740D4B"/>
    <w:rsid w:val="007A7BF1"/>
    <w:rsid w:val="007E0C90"/>
    <w:rsid w:val="007F4175"/>
    <w:rsid w:val="0082444C"/>
    <w:rsid w:val="00835F9F"/>
    <w:rsid w:val="008464E3"/>
    <w:rsid w:val="008A26F3"/>
    <w:rsid w:val="008C0608"/>
    <w:rsid w:val="008D0832"/>
    <w:rsid w:val="008D6EB4"/>
    <w:rsid w:val="009214F5"/>
    <w:rsid w:val="00935C6F"/>
    <w:rsid w:val="00977F5D"/>
    <w:rsid w:val="009B6DDB"/>
    <w:rsid w:val="009E3938"/>
    <w:rsid w:val="00A041F2"/>
    <w:rsid w:val="00A16069"/>
    <w:rsid w:val="00B12CF0"/>
    <w:rsid w:val="00B24404"/>
    <w:rsid w:val="00B32E2C"/>
    <w:rsid w:val="00B4378C"/>
    <w:rsid w:val="00B57483"/>
    <w:rsid w:val="00B83DA8"/>
    <w:rsid w:val="00BA7DA5"/>
    <w:rsid w:val="00BF699F"/>
    <w:rsid w:val="00C469CC"/>
    <w:rsid w:val="00C57A76"/>
    <w:rsid w:val="00C8606D"/>
    <w:rsid w:val="00CB040C"/>
    <w:rsid w:val="00CF11B0"/>
    <w:rsid w:val="00D136E9"/>
    <w:rsid w:val="00D2427D"/>
    <w:rsid w:val="00E523DA"/>
    <w:rsid w:val="00EB4C8A"/>
    <w:rsid w:val="00F11ACB"/>
    <w:rsid w:val="00F8564D"/>
    <w:rsid w:val="00FE6514"/>
    <w:rsid w:val="00FF4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2679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11"/>
    <w:pPr>
      <w:ind w:left="720"/>
      <w:contextualSpacing/>
    </w:pPr>
  </w:style>
  <w:style w:type="paragraph" w:styleId="BalloonText">
    <w:name w:val="Balloon Text"/>
    <w:basedOn w:val="Normal"/>
    <w:link w:val="BalloonTextChar"/>
    <w:uiPriority w:val="99"/>
    <w:semiHidden/>
    <w:unhideWhenUsed/>
    <w:rsid w:val="007E0C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0C90"/>
    <w:rPr>
      <w:rFonts w:ascii="Lucida Grande" w:hAnsi="Lucida Grande" w:cs="Lucida Grande"/>
      <w:sz w:val="18"/>
      <w:szCs w:val="18"/>
    </w:rPr>
  </w:style>
  <w:style w:type="character" w:styleId="CommentReference">
    <w:name w:val="annotation reference"/>
    <w:basedOn w:val="DefaultParagraphFont"/>
    <w:uiPriority w:val="99"/>
    <w:semiHidden/>
    <w:unhideWhenUsed/>
    <w:rsid w:val="009B6DDB"/>
    <w:rPr>
      <w:sz w:val="18"/>
      <w:szCs w:val="18"/>
    </w:rPr>
  </w:style>
  <w:style w:type="paragraph" w:styleId="CommentText">
    <w:name w:val="annotation text"/>
    <w:basedOn w:val="Normal"/>
    <w:link w:val="CommentTextChar"/>
    <w:uiPriority w:val="99"/>
    <w:semiHidden/>
    <w:unhideWhenUsed/>
    <w:rsid w:val="009B6DDB"/>
  </w:style>
  <w:style w:type="character" w:customStyle="1" w:styleId="CommentTextChar">
    <w:name w:val="Comment Text Char"/>
    <w:basedOn w:val="DefaultParagraphFont"/>
    <w:link w:val="CommentText"/>
    <w:uiPriority w:val="99"/>
    <w:semiHidden/>
    <w:rsid w:val="009B6DDB"/>
  </w:style>
  <w:style w:type="paragraph" w:styleId="CommentSubject">
    <w:name w:val="annotation subject"/>
    <w:basedOn w:val="CommentText"/>
    <w:next w:val="CommentText"/>
    <w:link w:val="CommentSubjectChar"/>
    <w:uiPriority w:val="99"/>
    <w:semiHidden/>
    <w:unhideWhenUsed/>
    <w:rsid w:val="009B6DDB"/>
    <w:rPr>
      <w:b/>
      <w:bCs/>
      <w:sz w:val="20"/>
      <w:szCs w:val="20"/>
    </w:rPr>
  </w:style>
  <w:style w:type="character" w:customStyle="1" w:styleId="CommentSubjectChar">
    <w:name w:val="Comment Subject Char"/>
    <w:basedOn w:val="CommentTextChar"/>
    <w:link w:val="CommentSubject"/>
    <w:uiPriority w:val="99"/>
    <w:semiHidden/>
    <w:rsid w:val="009B6DD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11"/>
    <w:pPr>
      <w:ind w:left="720"/>
      <w:contextualSpacing/>
    </w:pPr>
  </w:style>
  <w:style w:type="paragraph" w:styleId="BalloonText">
    <w:name w:val="Balloon Text"/>
    <w:basedOn w:val="Normal"/>
    <w:link w:val="BalloonTextChar"/>
    <w:uiPriority w:val="99"/>
    <w:semiHidden/>
    <w:unhideWhenUsed/>
    <w:rsid w:val="007E0C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0C90"/>
    <w:rPr>
      <w:rFonts w:ascii="Lucida Grande" w:hAnsi="Lucida Grande" w:cs="Lucida Grande"/>
      <w:sz w:val="18"/>
      <w:szCs w:val="18"/>
    </w:rPr>
  </w:style>
  <w:style w:type="character" w:styleId="CommentReference">
    <w:name w:val="annotation reference"/>
    <w:basedOn w:val="DefaultParagraphFont"/>
    <w:uiPriority w:val="99"/>
    <w:semiHidden/>
    <w:unhideWhenUsed/>
    <w:rsid w:val="009B6DDB"/>
    <w:rPr>
      <w:sz w:val="18"/>
      <w:szCs w:val="18"/>
    </w:rPr>
  </w:style>
  <w:style w:type="paragraph" w:styleId="CommentText">
    <w:name w:val="annotation text"/>
    <w:basedOn w:val="Normal"/>
    <w:link w:val="CommentTextChar"/>
    <w:uiPriority w:val="99"/>
    <w:semiHidden/>
    <w:unhideWhenUsed/>
    <w:rsid w:val="009B6DDB"/>
  </w:style>
  <w:style w:type="character" w:customStyle="1" w:styleId="CommentTextChar">
    <w:name w:val="Comment Text Char"/>
    <w:basedOn w:val="DefaultParagraphFont"/>
    <w:link w:val="CommentText"/>
    <w:uiPriority w:val="99"/>
    <w:semiHidden/>
    <w:rsid w:val="009B6DDB"/>
  </w:style>
  <w:style w:type="paragraph" w:styleId="CommentSubject">
    <w:name w:val="annotation subject"/>
    <w:basedOn w:val="CommentText"/>
    <w:next w:val="CommentText"/>
    <w:link w:val="CommentSubjectChar"/>
    <w:uiPriority w:val="99"/>
    <w:semiHidden/>
    <w:unhideWhenUsed/>
    <w:rsid w:val="009B6DDB"/>
    <w:rPr>
      <w:b/>
      <w:bCs/>
      <w:sz w:val="20"/>
      <w:szCs w:val="20"/>
    </w:rPr>
  </w:style>
  <w:style w:type="character" w:customStyle="1" w:styleId="CommentSubjectChar">
    <w:name w:val="Comment Subject Char"/>
    <w:basedOn w:val="CommentTextChar"/>
    <w:link w:val="CommentSubject"/>
    <w:uiPriority w:val="99"/>
    <w:semiHidden/>
    <w:rsid w:val="009B6D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57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1224</Words>
  <Characters>6978</Characters>
  <Application>Microsoft Macintosh Word</Application>
  <DocSecurity>0</DocSecurity>
  <Lines>58</Lines>
  <Paragraphs>16</Paragraphs>
  <ScaleCrop>false</ScaleCrop>
  <Company>YALE</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Shuch</dc:creator>
  <cp:keywords/>
  <dc:description/>
  <cp:lastModifiedBy>Brian Shuch</cp:lastModifiedBy>
  <cp:revision>2</cp:revision>
  <dcterms:created xsi:type="dcterms:W3CDTF">2015-10-27T02:35:00Z</dcterms:created>
  <dcterms:modified xsi:type="dcterms:W3CDTF">2015-10-27T02:35:00Z</dcterms:modified>
</cp:coreProperties>
</file>