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BD31D" w14:textId="77777777" w:rsidR="00B6310B" w:rsidRPr="00B6310B" w:rsidRDefault="00B6310B" w:rsidP="00B6310B">
      <w:pPr>
        <w:rPr>
          <w:rFonts w:ascii="Times New Roman" w:hAnsi="Times New Roman" w:cs="Times New Roman"/>
        </w:rPr>
      </w:pPr>
      <w:r w:rsidRPr="00B6310B">
        <w:rPr>
          <w:rFonts w:ascii="Times New Roman" w:hAnsi="Times New Roman" w:cs="Times New Roman"/>
          <w:b/>
          <w:bCs/>
          <w:color w:val="000000"/>
          <w:sz w:val="30"/>
          <w:szCs w:val="30"/>
        </w:rPr>
        <w:t>Measuring the overall functional burdening of passenger mutations in cancer genomes -- in the PCAWG project.  </w:t>
      </w:r>
    </w:p>
    <w:p w14:paraId="01CEE43E" w14:textId="77777777" w:rsidR="00B6310B" w:rsidRPr="00B6310B" w:rsidRDefault="00B6310B" w:rsidP="00B6310B">
      <w:pPr>
        <w:rPr>
          <w:rFonts w:ascii="Times New Roman" w:eastAsia="Times New Roman" w:hAnsi="Times New Roman" w:cs="Times New Roman"/>
        </w:rPr>
      </w:pPr>
    </w:p>
    <w:p w14:paraId="7916D6CB" w14:textId="77777777" w:rsidR="00B6310B" w:rsidRPr="00B6310B" w:rsidRDefault="00B6310B" w:rsidP="00B6310B">
      <w:pPr>
        <w:rPr>
          <w:rFonts w:ascii="Times New Roman" w:hAnsi="Times New Roman" w:cs="Times New Roman"/>
        </w:rPr>
      </w:pPr>
      <w:r w:rsidRPr="00B6310B">
        <w:rPr>
          <w:rFonts w:ascii="Times New Roman" w:hAnsi="Times New Roman" w:cs="Times New Roman"/>
          <w:b/>
          <w:bCs/>
          <w:color w:val="000000"/>
          <w:sz w:val="30"/>
          <w:szCs w:val="30"/>
        </w:rPr>
        <w:t>Measuring the overall functional burdening &amp; selective effect of passenger mutations in cancer genomes -- in the PCAWG project.  </w:t>
      </w:r>
    </w:p>
    <w:p w14:paraId="7C3B1365" w14:textId="77777777" w:rsidR="00B6310B" w:rsidRPr="00B6310B" w:rsidRDefault="00B6310B" w:rsidP="00B6310B">
      <w:pPr>
        <w:rPr>
          <w:rFonts w:ascii="Times New Roman" w:eastAsia="Times New Roman" w:hAnsi="Times New Roman" w:cs="Times New Roman"/>
        </w:rPr>
      </w:pPr>
    </w:p>
    <w:p w14:paraId="0163FEF5" w14:textId="77777777" w:rsidR="00B6310B" w:rsidRPr="00B6310B" w:rsidRDefault="00B6310B" w:rsidP="00B6310B">
      <w:pPr>
        <w:rPr>
          <w:rFonts w:ascii="Times New Roman" w:hAnsi="Times New Roman" w:cs="Times New Roman"/>
        </w:rPr>
      </w:pPr>
      <w:r w:rsidRPr="00B6310B">
        <w:rPr>
          <w:rFonts w:ascii="Times New Roman" w:hAnsi="Times New Roman" w:cs="Times New Roman"/>
          <w:b/>
          <w:bCs/>
          <w:color w:val="000000"/>
          <w:sz w:val="30"/>
          <w:szCs w:val="30"/>
        </w:rPr>
        <w:t>Overall functional burdening &amp; selective effect of passenger mutations in cancer genomes</w:t>
      </w:r>
    </w:p>
    <w:p w14:paraId="7438BAD1" w14:textId="77777777" w:rsidR="00B6310B" w:rsidRPr="00B6310B" w:rsidRDefault="00B6310B" w:rsidP="00B6310B">
      <w:pPr>
        <w:rPr>
          <w:rFonts w:ascii="Times New Roman" w:eastAsia="Times New Roman" w:hAnsi="Times New Roman" w:cs="Times New Roman"/>
        </w:rPr>
      </w:pPr>
    </w:p>
    <w:p w14:paraId="3F63DE83" w14:textId="46EC01AB" w:rsidR="00B6310B" w:rsidRPr="00B6310B" w:rsidRDefault="00B6310B" w:rsidP="00B6310B">
      <w:pPr>
        <w:rPr>
          <w:rFonts w:ascii="Times New Roman" w:hAnsi="Times New Roman" w:cs="Times New Roman"/>
        </w:rPr>
      </w:pPr>
      <w:r w:rsidRPr="00B6310B">
        <w:rPr>
          <w:rFonts w:ascii="Times New Roman" w:hAnsi="Times New Roman" w:cs="Times New Roman"/>
          <w:b/>
          <w:bCs/>
          <w:color w:val="000000"/>
          <w:sz w:val="30"/>
          <w:szCs w:val="30"/>
        </w:rPr>
        <w:t xml:space="preserve">passenger mutations in 2800 cancer </w:t>
      </w:r>
      <w:bookmarkStart w:id="0" w:name="_GoBack"/>
      <w:bookmarkEnd w:id="0"/>
      <w:r w:rsidRPr="00B6310B">
        <w:rPr>
          <w:rFonts w:ascii="Times New Roman" w:hAnsi="Times New Roman" w:cs="Times New Roman"/>
          <w:b/>
          <w:bCs/>
          <w:color w:val="000000"/>
          <w:sz w:val="30"/>
          <w:szCs w:val="30"/>
        </w:rPr>
        <w:t>genomes: overall functional burdening &amp; selective effects [[LS votes]]</w:t>
      </w:r>
    </w:p>
    <w:p w14:paraId="755C0CE5" w14:textId="77777777" w:rsidR="00B6310B" w:rsidRPr="00B6310B" w:rsidRDefault="00B6310B" w:rsidP="00B6310B">
      <w:pPr>
        <w:rPr>
          <w:rFonts w:ascii="Times New Roman" w:eastAsia="Times New Roman" w:hAnsi="Times New Roman" w:cs="Times New Roman"/>
        </w:rPr>
      </w:pPr>
    </w:p>
    <w:p w14:paraId="6767AE11" w14:textId="1E985866" w:rsidR="00B6310B" w:rsidRPr="00B6310B" w:rsidRDefault="00B6310B" w:rsidP="00B6310B">
      <w:pPr>
        <w:rPr>
          <w:rFonts w:ascii="Times New Roman" w:hAnsi="Times New Roman" w:cs="Times New Roman"/>
        </w:rPr>
      </w:pPr>
      <w:r w:rsidRPr="00B6310B">
        <w:rPr>
          <w:rFonts w:ascii="Times New Roman" w:hAnsi="Times New Roman" w:cs="Times New Roman"/>
          <w:b/>
          <w:bCs/>
          <w:color w:val="000000"/>
          <w:sz w:val="30"/>
          <w:szCs w:val="30"/>
        </w:rPr>
        <w:t>passenger mutations in 2800 cancer genomes: overall burdening &amp; selective effects</w:t>
      </w:r>
    </w:p>
    <w:p w14:paraId="0F8DAC34" w14:textId="77777777" w:rsidR="00B6310B" w:rsidRPr="00B6310B" w:rsidRDefault="00B6310B" w:rsidP="00B6310B">
      <w:pPr>
        <w:rPr>
          <w:rFonts w:ascii="Times New Roman" w:eastAsia="Times New Roman" w:hAnsi="Times New Roman" w:cs="Times New Roman"/>
        </w:rPr>
      </w:pPr>
    </w:p>
    <w:p w14:paraId="2780EE4A" w14:textId="77777777" w:rsidR="00E44006" w:rsidRPr="00E44006" w:rsidRDefault="00E44006" w:rsidP="00E44006">
      <w:pPr>
        <w:rPr>
          <w:rFonts w:ascii="Times New Roman" w:hAnsi="Times New Roman" w:cs="Times New Roman"/>
          <w:sz w:val="22"/>
          <w:szCs w:val="22"/>
        </w:rPr>
      </w:pPr>
      <w:r w:rsidRPr="00E44006">
        <w:rPr>
          <w:rFonts w:ascii="Times New Roman" w:hAnsi="Times New Roman" w:cs="Times New Roman"/>
          <w:b/>
          <w:bCs/>
          <w:color w:val="000000"/>
          <w:sz w:val="22"/>
          <w:szCs w:val="22"/>
          <w:u w:val="single"/>
          <w:shd w:val="clear" w:color="auto" w:fill="FFFFFF"/>
        </w:rPr>
        <w:t>Extended Abstract</w:t>
      </w:r>
    </w:p>
    <w:p w14:paraId="55F201EE" w14:textId="77777777" w:rsidR="00E645B8" w:rsidRDefault="00E44006" w:rsidP="00E645B8">
      <w:pPr>
        <w:rPr>
          <w:rFonts w:ascii="Times New Roman" w:hAnsi="Times New Roman" w:cs="Times New Roman"/>
          <w:sz w:val="22"/>
          <w:szCs w:val="22"/>
        </w:rPr>
      </w:pPr>
      <w:r w:rsidRPr="00E44006">
        <w:rPr>
          <w:rFonts w:ascii="Times New Roman" w:hAnsi="Times New Roman" w:cs="Times New Roman"/>
          <w:color w:val="000000"/>
          <w:sz w:val="22"/>
          <w:szCs w:val="22"/>
          <w:shd w:val="clear" w:color="auto" w:fill="FFFFFF"/>
        </w:rPr>
        <w:t>A typical tumor has thousands of genomic variants, yet very few of these (&lt;5/tumor</w:t>
      </w:r>
      <w:r>
        <w:rPr>
          <w:rFonts w:ascii="Times New Roman" w:hAnsi="Times New Roman" w:cs="Times New Roman"/>
          <w:color w:val="000000"/>
          <w:sz w:val="22"/>
          <w:szCs w:val="22"/>
          <w:shd w:val="clear" w:color="auto" w:fill="FFFFFF"/>
        </w:rPr>
        <w:fldChar w:fldCharType="begin" w:fldLock="1"/>
      </w:r>
      <w:r>
        <w:rPr>
          <w:rFonts w:ascii="Times New Roman" w:hAnsi="Times New Roman" w:cs="Times New Roman"/>
          <w:color w:val="000000"/>
          <w:sz w:val="22"/>
          <w:szCs w:val="22"/>
          <w:shd w:val="clear" w:color="auto" w:fill="FFFFFF"/>
        </w:rPr>
        <w:instrText>ADDIN CSL_CITATION { "citationItems" : [ { "id" : "ITEM-1", "itemData" : { "DOI" : "10.1126/science.1235122", "ISBN" : "0036-8075", "ISSN" : "1095-9203", "PMID" : "23539594", "abstract" : "Over the past decade, comprehensive sequencing efforts have revealed the genomic landscapes of common forms of human cancer. For most cancer types, this landscape consists of a small number of \"mountains\" (genes altered in a high percentage of tumors) and a much larger number of \"hills\" (genes altered infrequently). To date, these studies have revealed similar to 140 genes that, when altered by intragenic mutations, can promote or \"drive\" tumorigenesis. A typical tumor contains two to eight of these \"driver gene\" mutations; the remaining mutations are passengers that confer no selective growth advantage. Driver genes can be classified into 12 signaling pathways that regulate three core cellular processes: cell fate, cell survival, and genome maintenance. A better understanding of these pathways is one of the most pressing needs in basic cancer research. Even now, however, our knowledge of cancer genomes is sufficient to guide the development of more effective approaches for reducing cancer morbidity and mortality.", "author" : [ { "dropping-particle" : "", "family" : "Vogelstein", "given" : "Bert", "non-dropping-particle" : "", "parse-names" : false, "suffix" : "" }, { "dropping-particle" : "", "family" : "Papadopoulos", "given" : "Nickolas", "non-dropping-particle" : "", "parse-names" : false, "suffix" : "" }, { "dropping-particle" : "", "family" : "Velculescu", "given" : "Victor E", "non-dropping-particle" : "", "parse-names" : false, "suffix" : "" }, { "dropping-particle" : "", "family" : "Zhou", "given" : "Shibin", "non-dropping-particle" : "", "parse-names" : false, "suffix" : "" }, { "dropping-particle" : "", "family" : "Diaz  Jr.", "given" : "Luis A", "non-dropping-particle" : "", "parse-names" : false, "suffix" : "" }, { "dropping-particle" : "", "family" : "Kinzler", "given" : "Kenneth W", "non-dropping-particle" : "", "parse-names" : false, "suffix" : "" } ], "container-title" : "Science", "id" : "ITEM-1", "issue" : "6127", "issued" : { "date-parts" : [ [ "2013" ] ] }, "page" : "1546-1558", "title" : "Cancer Genome Landscapes", "type" : "article-journal", "volume" : "339" }, "uris" : [ "http://www.mendeley.com/documents/?uuid=e229f413-65be-4678-9d17-4d8602a089d2" ] } ], "mendeley" : { "formattedCitation" : "&lt;sup&gt;1&lt;/sup&gt;", "plainTextFormattedCitation" : "1", "previouslyFormattedCitation" : "&lt;sup&gt;1&lt;/sup&gt;" }, "properties" : { "noteIndex" : 0 }, "schema" : "https://github.com/citation-style-language/schema/raw/master/csl-citation.json" }</w:instrText>
      </w:r>
      <w:r>
        <w:rPr>
          <w:rFonts w:ascii="Times New Roman" w:hAnsi="Times New Roman" w:cs="Times New Roman"/>
          <w:color w:val="000000"/>
          <w:sz w:val="22"/>
          <w:szCs w:val="22"/>
          <w:shd w:val="clear" w:color="auto" w:fill="FFFFFF"/>
        </w:rPr>
        <w:fldChar w:fldCharType="separate"/>
      </w:r>
      <w:r w:rsidRPr="00E44006">
        <w:rPr>
          <w:rFonts w:ascii="Times New Roman" w:hAnsi="Times New Roman" w:cs="Times New Roman"/>
          <w:noProof/>
          <w:color w:val="000000"/>
          <w:sz w:val="22"/>
          <w:szCs w:val="22"/>
          <w:shd w:val="clear" w:color="auto" w:fill="FFFFFF"/>
          <w:vertAlign w:val="superscript"/>
        </w:rPr>
        <w:t>1</w:t>
      </w:r>
      <w:r>
        <w:rPr>
          <w:rFonts w:ascii="Times New Roman" w:hAnsi="Times New Roman" w:cs="Times New Roman"/>
          <w:color w:val="000000"/>
          <w:sz w:val="22"/>
          <w:szCs w:val="22"/>
          <w:shd w:val="clear" w:color="auto" w:fill="FFFFFF"/>
        </w:rPr>
        <w:fldChar w:fldCharType="end"/>
      </w:r>
      <w:r>
        <w:rPr>
          <w:rFonts w:ascii="Times New Roman" w:hAnsi="Times New Roman" w:cs="Times New Roman"/>
          <w:color w:val="000000"/>
          <w:sz w:val="22"/>
          <w:szCs w:val="22"/>
          <w:shd w:val="clear" w:color="auto" w:fill="FFFFFF"/>
        </w:rPr>
        <w:t>)</w:t>
      </w:r>
      <w:r w:rsidRPr="00E44006">
        <w:rPr>
          <w:rFonts w:ascii="Times New Roman" w:hAnsi="Times New Roman" w:cs="Times New Roman"/>
          <w:color w:val="000000"/>
          <w:sz w:val="22"/>
          <w:szCs w:val="22"/>
          <w:shd w:val="clear" w:color="auto" w:fill="FFFFFF"/>
        </w:rPr>
        <w:t xml:space="preserve"> are thought to drive tumor growth. The remaining variants, termed passengers, represent the majority of all variants in cancer samples, and their functional consequences are poorly understood. Furthermore, the bulk of these passengers fall within noncoding regions of the genome. These passengers can be further subdivided into neutral and impactful based on their functional impact on the genome. As expected, low-impact passengers are inconsequential for tumor progression. However, impactful passengers can alter gene expression or activity, and while some of these changes are irrelevant, others may promote or inhibit tumor cell growth and survival, as is the case in </w:t>
      </w:r>
      <w:r w:rsidRPr="00E44006">
        <w:rPr>
          <w:rFonts w:ascii="Times New Roman" w:hAnsi="Times New Roman" w:cs="Times New Roman"/>
          <w:i/>
          <w:iCs/>
          <w:color w:val="000000"/>
          <w:sz w:val="22"/>
          <w:szCs w:val="22"/>
          <w:shd w:val="clear" w:color="auto" w:fill="FFFFFF"/>
        </w:rPr>
        <w:t>latent driver variants</w:t>
      </w:r>
      <w:r w:rsidRPr="00E44006">
        <w:rPr>
          <w:rFonts w:ascii="Times New Roman" w:hAnsi="Times New Roman" w:cs="Times New Roman"/>
          <w:color w:val="000000"/>
          <w:sz w:val="22"/>
          <w:szCs w:val="22"/>
          <w:shd w:val="clear" w:color="auto" w:fill="FFFFFF"/>
        </w:rPr>
        <w:t xml:space="preserve"> </w:t>
      </w:r>
      <w:r>
        <w:rPr>
          <w:rFonts w:ascii="Times New Roman" w:hAnsi="Times New Roman" w:cs="Times New Roman"/>
          <w:color w:val="000000"/>
          <w:sz w:val="22"/>
          <w:szCs w:val="22"/>
          <w:shd w:val="clear" w:color="auto" w:fill="FFFFFF"/>
        </w:rPr>
        <w:fldChar w:fldCharType="begin" w:fldLock="1"/>
      </w:r>
      <w:r>
        <w:rPr>
          <w:rFonts w:ascii="Times New Roman" w:hAnsi="Times New Roman" w:cs="Times New Roman"/>
          <w:color w:val="000000"/>
          <w:sz w:val="22"/>
          <w:szCs w:val="22"/>
          <w:shd w:val="clear" w:color="auto" w:fill="FFFFFF"/>
        </w:rPr>
        <w:instrText>ADDIN CSL_CITATION { "citationItems" : [ { "id" : "ITEM-1", "itemData" : { "DOI" : "10.1016/j.sbi.2015.01.004", "ISSN" : "1879033X", "PMID" : "25661093", "abstract" : "A major challenge facing the community involves identification of mutations that drive cancer. Analyses of cancer genomes to detect, and distinguish, 'driver' from 'passenger' mutations are daunting tasks. Here we suggest that there is a third 'latent driver' category. 'Latent driver' mutations behave as passengers, and do not confer a cancer hallmark. However, coupled with other emerging mutations, they drive cancer development and drug resistance. 'Latent drivers' emerge prior to and during cancer evolution. These allosteric mutations can work through 'AND' all-or-none or incremental 'Graded' logic gate mechanisms. Current diagnostic platforms generally assume that actionable 'driver' mutations are those appearing most frequently in cancer. We propose that 'latent driver' detection may help forecast cancer progression and modify personalized drug regimes.", "author" : [ { "dropping-particle" : "", "family" : "Nussinov", "given" : "Ruth", "non-dropping-particle" : "", "parse-names" : false, "suffix" : "" }, { "dropping-particle" : "", "family" : "Tsai", "given" : "Chung Jung", "non-dropping-particle" : "", "parse-names" : false, "suffix" : "" } ], "container-title" : "Current Opinion in Structural Biology", "id" : "ITEM-1", "issued" : { "date-parts" : [ [ "2015" ] ] }, "page" : "25-32", "title" : "'Latent drivers' expand the cancer mutational landscape", "type" : "article", "volume" : "32" }, "uris" : [ "http://www.mendeley.com/documents/?uuid=094d8a74-9614-4481-bd34-17207693a9c5" ] }, { "id" : "ITEM-2", "itemData" : { "DOI" : "10.1038/nrc3999", "ISSN" : "1474-175X", "author" : [ { "dropping-particle" : "", "family" : "Castro-Giner", "given" : "Francesc", "non-dropping-particle" : "", "parse-names" : false, "suffix" : "" }, { "dropping-particle" : "", "family" : "Ratcliffe", "given" : "Peter", "non-dropping-particle" : "", "parse-names" : false, "suffix" : "" }, { "dropping-particle" : "", "family" : "Tomlinson", "given" : "Ian", "non-dropping-particle" : "", "parse-names" : false, "suffix" : "" } ], "container-title" : "Nature Reviews Cancer", "id" : "ITEM-2", "issue" : "11", "issued" : { "date-parts" : [ [ "2015", "10", "12" ] ] }, "page" : "680-685", "title" : "The mini-driver model of polygenic cancer evolution", "type" : "article-journal", "volume" : "15" }, "uris" : [ "http://www.mendeley.com/documents/?uuid=5ef62dcf-5f8b-3b8d-a5f8-14cd3d7a7bfe" ] } ], "mendeley" : { "formattedCitation" : "&lt;sup&gt;2,3&lt;/sup&gt;", "plainTextFormattedCitation" : "2,3", "previouslyFormattedCitation" : "&lt;sup&gt;2,3&lt;/sup&gt;" }, "properties" : { "noteIndex" : 0 }, "schema" : "https://github.com/citation-style-language/schema/raw/master/csl-citation.json" }</w:instrText>
      </w:r>
      <w:r>
        <w:rPr>
          <w:rFonts w:ascii="Times New Roman" w:hAnsi="Times New Roman" w:cs="Times New Roman"/>
          <w:color w:val="000000"/>
          <w:sz w:val="22"/>
          <w:szCs w:val="22"/>
          <w:shd w:val="clear" w:color="auto" w:fill="FFFFFF"/>
        </w:rPr>
        <w:fldChar w:fldCharType="separate"/>
      </w:r>
      <w:r w:rsidRPr="00E44006">
        <w:rPr>
          <w:rFonts w:ascii="Times New Roman" w:hAnsi="Times New Roman" w:cs="Times New Roman"/>
          <w:noProof/>
          <w:color w:val="000000"/>
          <w:sz w:val="22"/>
          <w:szCs w:val="22"/>
          <w:shd w:val="clear" w:color="auto" w:fill="FFFFFF"/>
          <w:vertAlign w:val="superscript"/>
        </w:rPr>
        <w:t>2,3</w:t>
      </w:r>
      <w:r>
        <w:rPr>
          <w:rFonts w:ascii="Times New Roman" w:hAnsi="Times New Roman" w:cs="Times New Roman"/>
          <w:color w:val="000000"/>
          <w:sz w:val="22"/>
          <w:szCs w:val="22"/>
          <w:shd w:val="clear" w:color="auto" w:fill="FFFFFF"/>
        </w:rPr>
        <w:fldChar w:fldCharType="end"/>
      </w:r>
      <w:r w:rsidRPr="00E44006">
        <w:rPr>
          <w:rFonts w:ascii="Times New Roman" w:hAnsi="Times New Roman" w:cs="Times New Roman"/>
          <w:color w:val="000000"/>
          <w:sz w:val="22"/>
          <w:szCs w:val="22"/>
          <w:shd w:val="clear" w:color="auto" w:fill="FFFFFF"/>
        </w:rPr>
        <w:t xml:space="preserve"> and </w:t>
      </w:r>
      <w:r w:rsidRPr="00E44006">
        <w:rPr>
          <w:rFonts w:ascii="Times New Roman" w:hAnsi="Times New Roman" w:cs="Times New Roman"/>
          <w:i/>
          <w:iCs/>
          <w:color w:val="000000"/>
          <w:sz w:val="22"/>
          <w:szCs w:val="22"/>
          <w:shd w:val="clear" w:color="auto" w:fill="FFFFFF"/>
        </w:rPr>
        <w:t>deleterious passengers</w:t>
      </w:r>
      <w:r>
        <w:rPr>
          <w:rFonts w:ascii="Times New Roman" w:hAnsi="Times New Roman" w:cs="Times New Roman"/>
          <w:color w:val="000000"/>
          <w:sz w:val="22"/>
          <w:szCs w:val="22"/>
          <w:shd w:val="clear" w:color="auto" w:fill="FFFFFF"/>
        </w:rPr>
        <w:fldChar w:fldCharType="begin" w:fldLock="1"/>
      </w:r>
      <w:r>
        <w:rPr>
          <w:rFonts w:ascii="Times New Roman" w:hAnsi="Times New Roman" w:cs="Times New Roman"/>
          <w:color w:val="000000"/>
          <w:sz w:val="22"/>
          <w:szCs w:val="22"/>
          <w:shd w:val="clear" w:color="auto" w:fill="FFFFFF"/>
        </w:rPr>
        <w:instrText>ADDIN CSL_CITATION { "citationItems" : [ { "id" : "ITEM-1", "itemData" : { "DOI" : "10.1073/pnas.1213968110", "ISSN" : "1091-6490", "PMID" : "23388632", "abstract" : "Cancer progression is driven by the accumulation of a small number of genetic alterations. However, these few driver alterations reside in a cancer genome alongside tens of thousands of additional mutations termed passengers. Passengers are widely believed to have no role in cancer, yet many passengers fall within protein-coding genes and other functional elements that can have potentially deleterious effects on cancer cells. Here we investigate the potential of moderately deleterious passengers to accumulate and alter the course of neoplastic progression. Our approach combines evolutionary simulations of cancer progression with an analysis of cancer sequencing data. From simulations, we find that passengers accumulate and largely evade natural selection during progression. Although individually weak, the collective burden of passengers alters the course of progression, leading to several oncological phenomena that are hard to explain with a traditional driver-centric view. We then tested the predictions of our model using cancer genomics data and confirmed that many passengers are likely damaging and have largely evaded negative selection. Finally, we use our model to explore cancer treatments that exploit the load of passengers by either (i) increasing the mutation rate or (ii) exacerbating their deleterious effects. Though both approaches lead to cancer regression, the latter is a more effective therapy. Our results suggest a unique framework for understanding cancer progression as a balance of driver and passenger mutations.", "author" : [ { "dropping-particle" : "", "family" : "McFarland", "given" : "Christopher D", "non-dropping-particle" : "", "parse-names" : false, "suffix" : "" }, { "dropping-particle" : "", "family" : "Korolev", "given" : "Kirill S", "non-dropping-particle" : "", "parse-names" : false, "suffix" : "" }, { "dropping-particle" : "V", "family" : "Kryukov", "given" : "Gregory", "non-dropping-particle" : "", "parse-names" : false, "suffix" : "" }, { "dropping-particle" : "", "family" : "Sunyaev", "given" : "Shamil R", "non-dropping-particle" : "", "parse-names" : false, "suffix" : "" }, { "dropping-particle" : "", "family" : "Mirny", "given" : "Leonid A", "non-dropping-particle" : "", "parse-names" : false, "suffix" : "" } ], "container-title" : "Proceedings of the National Academy of Sciences of the United States of America", "id" : "ITEM-1", "issue" : "8", "issued" : { "date-parts" : [ [ "2013", "2", "19" ] ] }, "page" : "2910-5", "title" : "Impact of deleterious passenger mutations on cancer progression.", "type" : "article-journal", "volume" : "110" }, "uris" : [ "http://www.mendeley.com/documents/?uuid=a3285750-ac5e-32b5-9339-cd4110841c35" ] } ], "mendeley" : { "formattedCitation" : "&lt;sup&gt;4&lt;/sup&gt;", "plainTextFormattedCitation" : "4", "previouslyFormattedCitation" : "&lt;sup&gt;4&lt;/sup&gt;" }, "properties" : { "noteIndex" : 0 }, "schema" : "https://github.com/citation-style-language/schema/raw/master/csl-citation.json" }</w:instrText>
      </w:r>
      <w:r>
        <w:rPr>
          <w:rFonts w:ascii="Times New Roman" w:hAnsi="Times New Roman" w:cs="Times New Roman"/>
          <w:color w:val="000000"/>
          <w:sz w:val="22"/>
          <w:szCs w:val="22"/>
          <w:shd w:val="clear" w:color="auto" w:fill="FFFFFF"/>
        </w:rPr>
        <w:fldChar w:fldCharType="separate"/>
      </w:r>
      <w:r w:rsidRPr="00E44006">
        <w:rPr>
          <w:rFonts w:ascii="Times New Roman" w:hAnsi="Times New Roman" w:cs="Times New Roman"/>
          <w:noProof/>
          <w:color w:val="000000"/>
          <w:sz w:val="22"/>
          <w:szCs w:val="22"/>
          <w:shd w:val="clear" w:color="auto" w:fill="FFFFFF"/>
          <w:vertAlign w:val="superscript"/>
        </w:rPr>
        <w:t>4</w:t>
      </w:r>
      <w:r>
        <w:rPr>
          <w:rFonts w:ascii="Times New Roman" w:hAnsi="Times New Roman" w:cs="Times New Roman"/>
          <w:color w:val="000000"/>
          <w:sz w:val="22"/>
          <w:szCs w:val="22"/>
          <w:shd w:val="clear" w:color="auto" w:fill="FFFFFF"/>
        </w:rPr>
        <w:fldChar w:fldCharType="end"/>
      </w:r>
      <w:r w:rsidRPr="00E44006">
        <w:rPr>
          <w:rFonts w:ascii="Times New Roman" w:hAnsi="Times New Roman" w:cs="Times New Roman"/>
          <w:color w:val="000000"/>
          <w:sz w:val="22"/>
          <w:szCs w:val="22"/>
          <w:shd w:val="clear" w:color="auto" w:fill="FFFFFF"/>
        </w:rPr>
        <w:t>, respectively. In this work, we explore the landscape of passengers in various cancer cohorts by leveraging extensive pan-cancer variation data from ~2800 uniformly processed whole cancer genomes. More specifically, we annotate and evaluate the impact of each variant, including SNVs, INDELs and SVs in the pan-cancer dataset. Subsequently, we integrate their annotations and impact scores to quantify the overall burdening of various functional elements in cancer genomes. Furthermore, we also show how overall functional burdening correlates with age at cancer diagnosis, patient survival time, and tumor clonality.</w:t>
      </w:r>
    </w:p>
    <w:p w14:paraId="452107C0" w14:textId="4040F9F4" w:rsidR="00E44006" w:rsidRPr="00E44006" w:rsidRDefault="00E44006" w:rsidP="00E645B8">
      <w:pPr>
        <w:ind w:firstLine="720"/>
        <w:rPr>
          <w:rFonts w:ascii="Times New Roman" w:hAnsi="Times New Roman" w:cs="Times New Roman"/>
          <w:sz w:val="22"/>
          <w:szCs w:val="22"/>
        </w:rPr>
      </w:pPr>
      <w:r w:rsidRPr="00E44006">
        <w:rPr>
          <w:rFonts w:ascii="Times New Roman" w:hAnsi="Times New Roman" w:cs="Times New Roman"/>
          <w:color w:val="000000"/>
          <w:sz w:val="22"/>
          <w:szCs w:val="22"/>
          <w:shd w:val="clear" w:color="auto" w:fill="FFFFFF"/>
        </w:rPr>
        <w:t xml:space="preserve">In order to substantiate the presence of various categories of passenger variants, we surveyed the functional impact distribution of variants in the pan-cancer dataset. Based on canonical classification of cancer variants as passenger and drivers, one might expect their functional impact score distribution to be unimodal and centered around 0 (as a result of a large number of neutral passengers), along with a tail in the high-impact score regime, corresponding to putative drivers. However, inspection of variant functional impact scores across cancer cohorts reveals that pan-cancer variants can be broadly classified into three distinct subgroups. The upper and the lower extreme of scored variants comprises of ~23 and ~13,500 thousand noncoding variants per patient, which fall under traditional definitions of high-impact putative driver variants and neutral passengers, respectively. In contrast, the intermediate functional impact regime comprises of </w:t>
      </w:r>
      <w:r w:rsidRPr="00E44006">
        <w:rPr>
          <w:rFonts w:ascii="Times New Roman" w:hAnsi="Times New Roman" w:cs="Times New Roman"/>
          <w:i/>
          <w:iCs/>
          <w:color w:val="000000"/>
          <w:sz w:val="22"/>
          <w:szCs w:val="22"/>
          <w:shd w:val="clear" w:color="auto" w:fill="FFFFFF"/>
        </w:rPr>
        <w:t>impactful</w:t>
      </w:r>
      <w:r w:rsidRPr="00E44006">
        <w:rPr>
          <w:rFonts w:ascii="Times New Roman" w:hAnsi="Times New Roman" w:cs="Times New Roman"/>
          <w:color w:val="000000"/>
          <w:sz w:val="22"/>
          <w:szCs w:val="22"/>
          <w:shd w:val="clear" w:color="auto" w:fill="FFFFFF"/>
        </w:rPr>
        <w:t xml:space="preserve"> </w:t>
      </w:r>
      <w:r w:rsidRPr="00E44006">
        <w:rPr>
          <w:rFonts w:ascii="Times New Roman" w:hAnsi="Times New Roman" w:cs="Times New Roman"/>
          <w:i/>
          <w:iCs/>
          <w:color w:val="000000"/>
          <w:sz w:val="22"/>
          <w:szCs w:val="22"/>
          <w:shd w:val="clear" w:color="auto" w:fill="FFFFFF"/>
        </w:rPr>
        <w:t xml:space="preserve">passengers </w:t>
      </w:r>
      <w:r w:rsidRPr="00E44006">
        <w:rPr>
          <w:rFonts w:ascii="Times New Roman" w:hAnsi="Times New Roman" w:cs="Times New Roman"/>
          <w:color w:val="000000"/>
          <w:sz w:val="22"/>
          <w:szCs w:val="22"/>
          <w:shd w:val="clear" w:color="auto" w:fill="FFFFFF"/>
        </w:rPr>
        <w:t xml:space="preserve">(~3,500 thousand noncoding variants per patient), which can further influence cancer progression by acting as latent drivers or through large burdening of various functional elements. Interestingly, there is a significant depletion of such mildly deleterious variants in the germline of these cancer cohorts. As expected, the germline genome comprises of mostly neutral variants with very few high-impact alterations. </w:t>
      </w:r>
      <w:r w:rsidR="00E645B8">
        <w:rPr>
          <w:rFonts w:ascii="Times New Roman" w:eastAsia="Times New Roman" w:hAnsi="Times New Roman" w:cs="Times New Roman"/>
          <w:color w:val="000000"/>
          <w:sz w:val="22"/>
          <w:szCs w:val="22"/>
          <w:shd w:val="clear" w:color="auto" w:fill="FFFFFF"/>
        </w:rPr>
        <w:t xml:space="preserve">Furthermore, it’s expected that, </w:t>
      </w:r>
      <w:r w:rsidRPr="00E44006">
        <w:rPr>
          <w:rFonts w:ascii="Times New Roman" w:hAnsi="Times New Roman" w:cs="Times New Roman"/>
          <w:color w:val="000000"/>
          <w:sz w:val="22"/>
          <w:szCs w:val="22"/>
          <w:shd w:val="clear" w:color="auto" w:fill="FFFFFF"/>
        </w:rPr>
        <w:t xml:space="preserve">presence of these impactful passengers varies among different genomic elements as well as different cancer cohorts. Consequently, we comprehensively analyzed the overall burdening of various genomic elements, </w:t>
      </w:r>
      <w:r w:rsidRPr="00E44006">
        <w:rPr>
          <w:rFonts w:ascii="Times New Roman" w:hAnsi="Times New Roman" w:cs="Times New Roman"/>
          <w:color w:val="000000"/>
          <w:sz w:val="22"/>
          <w:szCs w:val="22"/>
          <w:shd w:val="clear" w:color="auto" w:fill="FFFFFF"/>
        </w:rPr>
        <w:lastRenderedPageBreak/>
        <w:t xml:space="preserve">including TF (transcription factor) motifs in the pan-cancer variant dataset. The presence of a variant within a TF binding site can lead to either the creation or destruction of binding motifs. In both cases, we observe differential burdening of </w:t>
      </w:r>
      <w:r w:rsidRPr="00E44006">
        <w:rPr>
          <w:rFonts w:ascii="Times New Roman" w:hAnsi="Times New Roman" w:cs="Times New Roman"/>
          <w:i/>
          <w:iCs/>
          <w:color w:val="000000"/>
          <w:sz w:val="22"/>
          <w:szCs w:val="22"/>
          <w:shd w:val="clear" w:color="auto" w:fill="FFFFFF"/>
        </w:rPr>
        <w:t>impactful variants</w:t>
      </w:r>
      <w:r w:rsidRPr="00E44006">
        <w:rPr>
          <w:rFonts w:ascii="Times New Roman" w:hAnsi="Times New Roman" w:cs="Times New Roman"/>
          <w:color w:val="000000"/>
          <w:sz w:val="22"/>
          <w:szCs w:val="22"/>
          <w:shd w:val="clear" w:color="auto" w:fill="FFFFFF"/>
        </w:rPr>
        <w:t xml:space="preserve"> among different cancer cohorts. Furthermore, the selective enrichment or depletion of impactful variant</w:t>
      </w:r>
      <w:r w:rsidRPr="00E44006">
        <w:rPr>
          <w:rFonts w:ascii="Times New Roman" w:hAnsi="Times New Roman" w:cs="Times New Roman"/>
          <w:i/>
          <w:iCs/>
          <w:color w:val="000000"/>
          <w:sz w:val="22"/>
          <w:szCs w:val="22"/>
          <w:shd w:val="clear" w:color="auto" w:fill="FFFFFF"/>
        </w:rPr>
        <w:t>s</w:t>
      </w:r>
      <w:r w:rsidRPr="00E44006">
        <w:rPr>
          <w:rFonts w:ascii="Times New Roman" w:hAnsi="Times New Roman" w:cs="Times New Roman"/>
          <w:color w:val="000000"/>
          <w:sz w:val="22"/>
          <w:szCs w:val="22"/>
          <w:shd w:val="clear" w:color="auto" w:fill="FFFFFF"/>
        </w:rPr>
        <w:t xml:space="preserve"> in different TF motifs suggest distinct alteration profiles associated with different components of regulatory networks in various cancers.</w:t>
      </w:r>
    </w:p>
    <w:p w14:paraId="1F3337B4" w14:textId="6CAA3900" w:rsidR="00E44006" w:rsidRPr="00E44006" w:rsidRDefault="00E44006" w:rsidP="00E44006">
      <w:pPr>
        <w:ind w:firstLine="720"/>
        <w:rPr>
          <w:rFonts w:ascii="Times New Roman" w:hAnsi="Times New Roman" w:cs="Times New Roman"/>
          <w:sz w:val="22"/>
          <w:szCs w:val="22"/>
        </w:rPr>
      </w:pPr>
      <w:r w:rsidRPr="00E44006">
        <w:rPr>
          <w:rFonts w:ascii="Times New Roman" w:hAnsi="Times New Roman" w:cs="Times New Roman"/>
          <w:color w:val="000000"/>
          <w:sz w:val="22"/>
          <w:szCs w:val="22"/>
          <w:shd w:val="clear" w:color="auto" w:fill="FFFFFF"/>
        </w:rPr>
        <w:t xml:space="preserve">Additionally, we </w:t>
      </w:r>
      <w:r w:rsidR="00046445">
        <w:rPr>
          <w:rFonts w:ascii="Times New Roman" w:hAnsi="Times New Roman" w:cs="Times New Roman"/>
          <w:color w:val="000000"/>
          <w:sz w:val="22"/>
          <w:szCs w:val="22"/>
          <w:shd w:val="clear" w:color="auto" w:fill="FFFFFF"/>
        </w:rPr>
        <w:t>explored the role of impactful variations in cancer evolution by integrating</w:t>
      </w:r>
      <w:r w:rsidRPr="00E44006">
        <w:rPr>
          <w:rFonts w:ascii="Times New Roman" w:hAnsi="Times New Roman" w:cs="Times New Roman"/>
          <w:color w:val="000000"/>
          <w:sz w:val="22"/>
          <w:szCs w:val="22"/>
          <w:shd w:val="clear" w:color="auto" w:fill="FFFFFF"/>
        </w:rPr>
        <w:t xml:space="preserve"> sub-clonal information and allele frequencies along with</w:t>
      </w:r>
      <w:r w:rsidR="00046445">
        <w:rPr>
          <w:rFonts w:ascii="Times New Roman" w:hAnsi="Times New Roman" w:cs="Times New Roman"/>
          <w:color w:val="000000"/>
          <w:sz w:val="22"/>
          <w:szCs w:val="22"/>
          <w:shd w:val="clear" w:color="auto" w:fill="FFFFFF"/>
        </w:rPr>
        <w:t xml:space="preserve"> functional burdening measure of pan-cancer variants</w:t>
      </w:r>
      <w:r w:rsidRPr="00E44006">
        <w:rPr>
          <w:rFonts w:ascii="Times New Roman" w:hAnsi="Times New Roman" w:cs="Times New Roman"/>
          <w:color w:val="000000"/>
          <w:sz w:val="22"/>
          <w:szCs w:val="22"/>
          <w:shd w:val="clear" w:color="auto" w:fill="FFFFFF"/>
        </w:rPr>
        <w:t>. Intuitively, one would expect that high impact mutations should either achieve higher frequency if they are advantageous, or lower/non detectable if deleterious. Interestingly, we observed that high functional impact passenger variants along with LOF variants have a higher allelic frequency and a higher prevalence in parental subclones, signifying their important role in the early phases of cancer progression, or potentially providing a higher fitness advantage.</w:t>
      </w:r>
    </w:p>
    <w:p w14:paraId="0AECBDE6" w14:textId="77777777" w:rsidR="00E44006" w:rsidRPr="00E44006" w:rsidRDefault="00E44006" w:rsidP="00E44006">
      <w:pPr>
        <w:ind w:firstLine="720"/>
        <w:rPr>
          <w:rFonts w:ascii="Times New Roman" w:hAnsi="Times New Roman" w:cs="Times New Roman"/>
          <w:sz w:val="22"/>
          <w:szCs w:val="22"/>
        </w:rPr>
      </w:pPr>
      <w:r w:rsidRPr="00E44006">
        <w:rPr>
          <w:rFonts w:ascii="Times New Roman" w:hAnsi="Times New Roman" w:cs="Times New Roman"/>
          <w:color w:val="000000"/>
          <w:sz w:val="22"/>
          <w:szCs w:val="22"/>
          <w:shd w:val="clear" w:color="auto" w:fill="FFFFFF"/>
        </w:rPr>
        <w:t>We next sought to examine whether impactful passengers might exert a clinically meaningful effect on tumor progression. Therefore, we performed survival analysis to see if impact burden predicted patient survival within individual cancer subtypes. These correlations varied substantially in different cancer types. For instance, we observed that functional mutation burden predicted substantially earlier death in chronic lymphocytic leukemia(CLL) and substantially</w:t>
      </w:r>
      <w:r w:rsidRPr="00E44006">
        <w:rPr>
          <w:rFonts w:ascii="Times New Roman" w:hAnsi="Times New Roman" w:cs="Times New Roman"/>
          <w:color w:val="FF0000"/>
          <w:sz w:val="22"/>
          <w:szCs w:val="22"/>
          <w:shd w:val="clear" w:color="auto" w:fill="FFFFFF"/>
        </w:rPr>
        <w:t xml:space="preserve"> </w:t>
      </w:r>
      <w:r w:rsidRPr="00E44006">
        <w:rPr>
          <w:rFonts w:ascii="Times New Roman" w:hAnsi="Times New Roman" w:cs="Times New Roman"/>
          <w:color w:val="000000"/>
          <w:sz w:val="22"/>
          <w:szCs w:val="22"/>
          <w:shd w:val="clear" w:color="auto" w:fill="FFFFFF"/>
        </w:rPr>
        <w:t>prolonged survival in Kidney-RCC (renal clear cells), respectively. These results lend support to the hypothesis that functional passengers are clinically meaningful. More specifically, the results suggest that latent drivers are more important than deleterious passengers in CLL, but that the situation is reversed in RCC. This divergence can be explained by appealing to the large share of missing drivers in CLL, which suggests a greater role for latent drivers in CLL.</w:t>
      </w:r>
    </w:p>
    <w:p w14:paraId="373DDB4D" w14:textId="77777777" w:rsidR="00E44006" w:rsidRPr="00E44006" w:rsidRDefault="00E44006" w:rsidP="00E44006">
      <w:pPr>
        <w:ind w:firstLine="720"/>
        <w:rPr>
          <w:rFonts w:ascii="Times New Roman" w:hAnsi="Times New Roman" w:cs="Times New Roman"/>
          <w:sz w:val="22"/>
          <w:szCs w:val="22"/>
        </w:rPr>
      </w:pPr>
      <w:r w:rsidRPr="00E44006">
        <w:rPr>
          <w:rFonts w:ascii="Times New Roman" w:hAnsi="Times New Roman" w:cs="Times New Roman"/>
          <w:color w:val="000000"/>
          <w:sz w:val="22"/>
          <w:szCs w:val="22"/>
          <w:shd w:val="clear" w:color="auto" w:fill="FFFFFF"/>
        </w:rPr>
        <w:t>In conclusion, our work highlights an important subset of the coding and noncoding variants that were originally identified as “passenger variants”, nonetheless show biologically and clinically relevant functional roles across a range of cancers.</w:t>
      </w:r>
    </w:p>
    <w:p w14:paraId="5B12DC08" w14:textId="77777777" w:rsidR="00E44006" w:rsidRDefault="00E44006" w:rsidP="00E44006">
      <w:pPr>
        <w:rPr>
          <w:rFonts w:ascii="Times New Roman" w:eastAsia="Times New Roman" w:hAnsi="Times New Roman" w:cs="Times New Roman"/>
          <w:sz w:val="22"/>
          <w:szCs w:val="22"/>
        </w:rPr>
      </w:pPr>
    </w:p>
    <w:p w14:paraId="7D900E8C" w14:textId="77777777" w:rsidR="00E44006" w:rsidRPr="00E44006" w:rsidRDefault="00E44006" w:rsidP="00E44006">
      <w:pPr>
        <w:rPr>
          <w:rFonts w:ascii="Times New Roman" w:eastAsia="Times New Roman" w:hAnsi="Times New Roman" w:cs="Times New Roman"/>
          <w:b/>
          <w:sz w:val="22"/>
          <w:szCs w:val="22"/>
          <w:u w:val="single"/>
        </w:rPr>
      </w:pPr>
      <w:r w:rsidRPr="00E44006">
        <w:rPr>
          <w:rFonts w:ascii="Times New Roman" w:eastAsia="Times New Roman" w:hAnsi="Times New Roman" w:cs="Times New Roman"/>
          <w:b/>
          <w:sz w:val="22"/>
          <w:szCs w:val="22"/>
          <w:u w:val="single"/>
        </w:rPr>
        <w:t>References</w:t>
      </w:r>
    </w:p>
    <w:p w14:paraId="1A8B036D" w14:textId="77777777" w:rsidR="00E44006" w:rsidRPr="00E44006" w:rsidRDefault="00E44006" w:rsidP="00E44006">
      <w:pPr>
        <w:rPr>
          <w:rFonts w:ascii="Times New Roman" w:eastAsia="Times New Roman" w:hAnsi="Times New Roman" w:cs="Times New Roman"/>
          <w:sz w:val="22"/>
          <w:szCs w:val="22"/>
        </w:rPr>
      </w:pPr>
    </w:p>
    <w:p w14:paraId="620F3C18" w14:textId="77777777" w:rsidR="00E44006" w:rsidRPr="00E44006" w:rsidRDefault="00E44006" w:rsidP="00E44006">
      <w:pPr>
        <w:widowControl w:val="0"/>
        <w:autoSpaceDE w:val="0"/>
        <w:autoSpaceDN w:val="0"/>
        <w:adjustRightInd w:val="0"/>
        <w:ind w:left="640" w:hanging="640"/>
        <w:rPr>
          <w:rFonts w:ascii="Calibri" w:eastAsia="Times New Roman" w:hAnsi="Calibri" w:cs="Times New Roman"/>
          <w:noProof/>
          <w:sz w:val="22"/>
        </w:rPr>
      </w:pPr>
      <w:r>
        <w:rPr>
          <w:sz w:val="22"/>
          <w:szCs w:val="22"/>
        </w:rPr>
        <w:fldChar w:fldCharType="begin" w:fldLock="1"/>
      </w:r>
      <w:r>
        <w:rPr>
          <w:sz w:val="22"/>
          <w:szCs w:val="22"/>
        </w:rPr>
        <w:instrText xml:space="preserve">ADDIN Mendeley Bibliography CSL_BIBLIOGRAPHY </w:instrText>
      </w:r>
      <w:r>
        <w:rPr>
          <w:sz w:val="22"/>
          <w:szCs w:val="22"/>
        </w:rPr>
        <w:fldChar w:fldCharType="separate"/>
      </w:r>
      <w:r w:rsidRPr="00E44006">
        <w:rPr>
          <w:rFonts w:ascii="Calibri" w:eastAsia="Times New Roman" w:hAnsi="Calibri" w:cs="Times New Roman"/>
          <w:noProof/>
          <w:sz w:val="22"/>
        </w:rPr>
        <w:t>1.</w:t>
      </w:r>
      <w:r w:rsidRPr="00E44006">
        <w:rPr>
          <w:rFonts w:ascii="Calibri" w:eastAsia="Times New Roman" w:hAnsi="Calibri" w:cs="Times New Roman"/>
          <w:noProof/>
          <w:sz w:val="22"/>
        </w:rPr>
        <w:tab/>
        <w:t xml:space="preserve">Vogelstein, B. </w:t>
      </w:r>
      <w:r w:rsidRPr="00E44006">
        <w:rPr>
          <w:rFonts w:ascii="Calibri" w:eastAsia="Times New Roman" w:hAnsi="Calibri" w:cs="Times New Roman"/>
          <w:i/>
          <w:iCs/>
          <w:noProof/>
          <w:sz w:val="22"/>
        </w:rPr>
        <w:t>et al.</w:t>
      </w:r>
      <w:r w:rsidRPr="00E44006">
        <w:rPr>
          <w:rFonts w:ascii="Calibri" w:eastAsia="Times New Roman" w:hAnsi="Calibri" w:cs="Times New Roman"/>
          <w:noProof/>
          <w:sz w:val="22"/>
        </w:rPr>
        <w:t xml:space="preserve"> Cancer Genome Landscapes. </w:t>
      </w:r>
      <w:r w:rsidRPr="00E44006">
        <w:rPr>
          <w:rFonts w:ascii="Calibri" w:eastAsia="Times New Roman" w:hAnsi="Calibri" w:cs="Times New Roman"/>
          <w:i/>
          <w:iCs/>
          <w:noProof/>
          <w:sz w:val="22"/>
        </w:rPr>
        <w:t>Science (80-. ).</w:t>
      </w:r>
      <w:r w:rsidRPr="00E44006">
        <w:rPr>
          <w:rFonts w:ascii="Calibri" w:eastAsia="Times New Roman" w:hAnsi="Calibri" w:cs="Times New Roman"/>
          <w:noProof/>
          <w:sz w:val="22"/>
        </w:rPr>
        <w:t xml:space="preserve"> </w:t>
      </w:r>
      <w:r w:rsidRPr="00E44006">
        <w:rPr>
          <w:rFonts w:ascii="Calibri" w:eastAsia="Times New Roman" w:hAnsi="Calibri" w:cs="Times New Roman"/>
          <w:b/>
          <w:bCs/>
          <w:noProof/>
          <w:sz w:val="22"/>
        </w:rPr>
        <w:t>339,</w:t>
      </w:r>
      <w:r w:rsidRPr="00E44006">
        <w:rPr>
          <w:rFonts w:ascii="Calibri" w:eastAsia="Times New Roman" w:hAnsi="Calibri" w:cs="Times New Roman"/>
          <w:noProof/>
          <w:sz w:val="22"/>
        </w:rPr>
        <w:t xml:space="preserve"> 1546–1558 (2013).</w:t>
      </w:r>
    </w:p>
    <w:p w14:paraId="7D815A34" w14:textId="77777777" w:rsidR="00E44006" w:rsidRPr="00E44006" w:rsidRDefault="00E44006" w:rsidP="00E44006">
      <w:pPr>
        <w:widowControl w:val="0"/>
        <w:autoSpaceDE w:val="0"/>
        <w:autoSpaceDN w:val="0"/>
        <w:adjustRightInd w:val="0"/>
        <w:ind w:left="640" w:hanging="640"/>
        <w:rPr>
          <w:rFonts w:ascii="Calibri" w:eastAsia="Times New Roman" w:hAnsi="Calibri" w:cs="Times New Roman"/>
          <w:noProof/>
          <w:sz w:val="22"/>
        </w:rPr>
      </w:pPr>
      <w:r w:rsidRPr="00E44006">
        <w:rPr>
          <w:rFonts w:ascii="Calibri" w:eastAsia="Times New Roman" w:hAnsi="Calibri" w:cs="Times New Roman"/>
          <w:noProof/>
          <w:sz w:val="22"/>
        </w:rPr>
        <w:t>2.</w:t>
      </w:r>
      <w:r w:rsidRPr="00E44006">
        <w:rPr>
          <w:rFonts w:ascii="Calibri" w:eastAsia="Times New Roman" w:hAnsi="Calibri" w:cs="Times New Roman"/>
          <w:noProof/>
          <w:sz w:val="22"/>
        </w:rPr>
        <w:tab/>
        <w:t xml:space="preserve">Nussinov, R. &amp; Tsai, C. J. ‘Latent drivers’ expand the cancer mutational landscape. </w:t>
      </w:r>
      <w:r w:rsidRPr="00E44006">
        <w:rPr>
          <w:rFonts w:ascii="Calibri" w:eastAsia="Times New Roman" w:hAnsi="Calibri" w:cs="Times New Roman"/>
          <w:i/>
          <w:iCs/>
          <w:noProof/>
          <w:sz w:val="22"/>
        </w:rPr>
        <w:t>Current Opinion in Structural Biology</w:t>
      </w:r>
      <w:r w:rsidRPr="00E44006">
        <w:rPr>
          <w:rFonts w:ascii="Calibri" w:eastAsia="Times New Roman" w:hAnsi="Calibri" w:cs="Times New Roman"/>
          <w:noProof/>
          <w:sz w:val="22"/>
        </w:rPr>
        <w:t xml:space="preserve"> </w:t>
      </w:r>
      <w:r w:rsidRPr="00E44006">
        <w:rPr>
          <w:rFonts w:ascii="Calibri" w:eastAsia="Times New Roman" w:hAnsi="Calibri" w:cs="Times New Roman"/>
          <w:b/>
          <w:bCs/>
          <w:noProof/>
          <w:sz w:val="22"/>
        </w:rPr>
        <w:t>32,</w:t>
      </w:r>
      <w:r w:rsidRPr="00E44006">
        <w:rPr>
          <w:rFonts w:ascii="Calibri" w:eastAsia="Times New Roman" w:hAnsi="Calibri" w:cs="Times New Roman"/>
          <w:noProof/>
          <w:sz w:val="22"/>
        </w:rPr>
        <w:t xml:space="preserve"> 25–32 (2015).</w:t>
      </w:r>
    </w:p>
    <w:p w14:paraId="666E75E6" w14:textId="77777777" w:rsidR="00E44006" w:rsidRPr="00E44006" w:rsidRDefault="00E44006" w:rsidP="00E44006">
      <w:pPr>
        <w:widowControl w:val="0"/>
        <w:autoSpaceDE w:val="0"/>
        <w:autoSpaceDN w:val="0"/>
        <w:adjustRightInd w:val="0"/>
        <w:ind w:left="640" w:hanging="640"/>
        <w:rPr>
          <w:rFonts w:ascii="Calibri" w:eastAsia="Times New Roman" w:hAnsi="Calibri" w:cs="Times New Roman"/>
          <w:noProof/>
          <w:sz w:val="22"/>
        </w:rPr>
      </w:pPr>
      <w:r w:rsidRPr="00E44006">
        <w:rPr>
          <w:rFonts w:ascii="Calibri" w:eastAsia="Times New Roman" w:hAnsi="Calibri" w:cs="Times New Roman"/>
          <w:noProof/>
          <w:sz w:val="22"/>
        </w:rPr>
        <w:t>3.</w:t>
      </w:r>
      <w:r w:rsidRPr="00E44006">
        <w:rPr>
          <w:rFonts w:ascii="Calibri" w:eastAsia="Times New Roman" w:hAnsi="Calibri" w:cs="Times New Roman"/>
          <w:noProof/>
          <w:sz w:val="22"/>
        </w:rPr>
        <w:tab/>
        <w:t xml:space="preserve">Castro-Giner, F., Ratcliffe, P. &amp; Tomlinson, I. The mini-driver model of polygenic cancer evolution. </w:t>
      </w:r>
      <w:r w:rsidRPr="00E44006">
        <w:rPr>
          <w:rFonts w:ascii="Calibri" w:eastAsia="Times New Roman" w:hAnsi="Calibri" w:cs="Times New Roman"/>
          <w:i/>
          <w:iCs/>
          <w:noProof/>
          <w:sz w:val="22"/>
        </w:rPr>
        <w:t>Nat. Rev. Cancer</w:t>
      </w:r>
      <w:r w:rsidRPr="00E44006">
        <w:rPr>
          <w:rFonts w:ascii="Calibri" w:eastAsia="Times New Roman" w:hAnsi="Calibri" w:cs="Times New Roman"/>
          <w:noProof/>
          <w:sz w:val="22"/>
        </w:rPr>
        <w:t xml:space="preserve"> </w:t>
      </w:r>
      <w:r w:rsidRPr="00E44006">
        <w:rPr>
          <w:rFonts w:ascii="Calibri" w:eastAsia="Times New Roman" w:hAnsi="Calibri" w:cs="Times New Roman"/>
          <w:b/>
          <w:bCs/>
          <w:noProof/>
          <w:sz w:val="22"/>
        </w:rPr>
        <w:t>15,</w:t>
      </w:r>
      <w:r w:rsidRPr="00E44006">
        <w:rPr>
          <w:rFonts w:ascii="Calibri" w:eastAsia="Times New Roman" w:hAnsi="Calibri" w:cs="Times New Roman"/>
          <w:noProof/>
          <w:sz w:val="22"/>
        </w:rPr>
        <w:t xml:space="preserve"> 680–685 (2015).</w:t>
      </w:r>
    </w:p>
    <w:p w14:paraId="36ADDFE2" w14:textId="77777777" w:rsidR="00E44006" w:rsidRPr="00E44006" w:rsidRDefault="00E44006" w:rsidP="00E44006">
      <w:pPr>
        <w:widowControl w:val="0"/>
        <w:autoSpaceDE w:val="0"/>
        <w:autoSpaceDN w:val="0"/>
        <w:adjustRightInd w:val="0"/>
        <w:ind w:left="640" w:hanging="640"/>
        <w:rPr>
          <w:rFonts w:ascii="Calibri" w:hAnsi="Calibri"/>
          <w:noProof/>
          <w:sz w:val="22"/>
        </w:rPr>
      </w:pPr>
      <w:r w:rsidRPr="00E44006">
        <w:rPr>
          <w:rFonts w:ascii="Calibri" w:eastAsia="Times New Roman" w:hAnsi="Calibri" w:cs="Times New Roman"/>
          <w:noProof/>
          <w:sz w:val="22"/>
        </w:rPr>
        <w:t>4.</w:t>
      </w:r>
      <w:r w:rsidRPr="00E44006">
        <w:rPr>
          <w:rFonts w:ascii="Calibri" w:eastAsia="Times New Roman" w:hAnsi="Calibri" w:cs="Times New Roman"/>
          <w:noProof/>
          <w:sz w:val="22"/>
        </w:rPr>
        <w:tab/>
        <w:t xml:space="preserve">McFarland, C. D., Korolev, K. S., Kryukov, G. V, Sunyaev, S. R. &amp; Mirny, L. A. Impact of deleterious passenger mutations on cancer progression. </w:t>
      </w:r>
      <w:r w:rsidRPr="00E44006">
        <w:rPr>
          <w:rFonts w:ascii="Calibri" w:eastAsia="Times New Roman" w:hAnsi="Calibri" w:cs="Times New Roman"/>
          <w:i/>
          <w:iCs/>
          <w:noProof/>
          <w:sz w:val="22"/>
        </w:rPr>
        <w:t>Proc. Natl. Acad. Sci. U. S. A.</w:t>
      </w:r>
      <w:r w:rsidRPr="00E44006">
        <w:rPr>
          <w:rFonts w:ascii="Calibri" w:eastAsia="Times New Roman" w:hAnsi="Calibri" w:cs="Times New Roman"/>
          <w:noProof/>
          <w:sz w:val="22"/>
        </w:rPr>
        <w:t xml:space="preserve"> </w:t>
      </w:r>
      <w:r w:rsidRPr="00E44006">
        <w:rPr>
          <w:rFonts w:ascii="Calibri" w:eastAsia="Times New Roman" w:hAnsi="Calibri" w:cs="Times New Roman"/>
          <w:b/>
          <w:bCs/>
          <w:noProof/>
          <w:sz w:val="22"/>
        </w:rPr>
        <w:t>110,</w:t>
      </w:r>
      <w:r w:rsidRPr="00E44006">
        <w:rPr>
          <w:rFonts w:ascii="Calibri" w:eastAsia="Times New Roman" w:hAnsi="Calibri" w:cs="Times New Roman"/>
          <w:noProof/>
          <w:sz w:val="22"/>
        </w:rPr>
        <w:t xml:space="preserve"> 2910–5 (2013).</w:t>
      </w:r>
    </w:p>
    <w:p w14:paraId="4772A716" w14:textId="77777777" w:rsidR="00B80357" w:rsidRDefault="00E44006">
      <w:pPr>
        <w:rPr>
          <w:sz w:val="22"/>
          <w:szCs w:val="22"/>
        </w:rPr>
      </w:pPr>
      <w:r>
        <w:rPr>
          <w:sz w:val="22"/>
          <w:szCs w:val="22"/>
        </w:rPr>
        <w:fldChar w:fldCharType="end"/>
      </w:r>
    </w:p>
    <w:p w14:paraId="7AFE226F" w14:textId="3A08ACF2" w:rsidR="008E0411" w:rsidRPr="00E44006" w:rsidRDefault="008E0411">
      <w:pPr>
        <w:rPr>
          <w:sz w:val="22"/>
          <w:szCs w:val="22"/>
        </w:rPr>
      </w:pPr>
    </w:p>
    <w:sectPr w:rsidR="008E0411" w:rsidRPr="00E44006" w:rsidSect="009D69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006"/>
    <w:rsid w:val="00046445"/>
    <w:rsid w:val="008E0411"/>
    <w:rsid w:val="009D69BA"/>
    <w:rsid w:val="00B6310B"/>
    <w:rsid w:val="00B80357"/>
    <w:rsid w:val="00E44006"/>
    <w:rsid w:val="00E645B8"/>
    <w:rsid w:val="00E72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9E7926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4006"/>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225951">
      <w:bodyDiv w:val="1"/>
      <w:marLeft w:val="0"/>
      <w:marRight w:val="0"/>
      <w:marTop w:val="0"/>
      <w:marBottom w:val="0"/>
      <w:divBdr>
        <w:top w:val="none" w:sz="0" w:space="0" w:color="auto"/>
        <w:left w:val="none" w:sz="0" w:space="0" w:color="auto"/>
        <w:bottom w:val="none" w:sz="0" w:space="0" w:color="auto"/>
        <w:right w:val="none" w:sz="0" w:space="0" w:color="auto"/>
      </w:divBdr>
    </w:div>
    <w:div w:id="1797916694">
      <w:bodyDiv w:val="1"/>
      <w:marLeft w:val="0"/>
      <w:marRight w:val="0"/>
      <w:marTop w:val="0"/>
      <w:marBottom w:val="0"/>
      <w:divBdr>
        <w:top w:val="none" w:sz="0" w:space="0" w:color="auto"/>
        <w:left w:val="none" w:sz="0" w:space="0" w:color="auto"/>
        <w:bottom w:val="none" w:sz="0" w:space="0" w:color="auto"/>
        <w:right w:val="none" w:sz="0" w:space="0" w:color="auto"/>
      </w:divBdr>
      <w:divsChild>
        <w:div w:id="653803343">
          <w:marLeft w:val="0"/>
          <w:marRight w:val="0"/>
          <w:marTop w:val="0"/>
          <w:marBottom w:val="0"/>
          <w:divBdr>
            <w:top w:val="none" w:sz="0" w:space="0" w:color="auto"/>
            <w:left w:val="none" w:sz="0" w:space="0" w:color="auto"/>
            <w:bottom w:val="none" w:sz="0" w:space="0" w:color="auto"/>
            <w:right w:val="none" w:sz="0" w:space="0" w:color="auto"/>
          </w:divBdr>
        </w:div>
        <w:div w:id="1606616932">
          <w:marLeft w:val="0"/>
          <w:marRight w:val="0"/>
          <w:marTop w:val="0"/>
          <w:marBottom w:val="0"/>
          <w:divBdr>
            <w:top w:val="none" w:sz="0" w:space="0" w:color="auto"/>
            <w:left w:val="none" w:sz="0" w:space="0" w:color="auto"/>
            <w:bottom w:val="none" w:sz="0" w:space="0" w:color="auto"/>
            <w:right w:val="none" w:sz="0" w:space="0" w:color="auto"/>
          </w:divBdr>
        </w:div>
        <w:div w:id="399795814">
          <w:marLeft w:val="0"/>
          <w:marRight w:val="0"/>
          <w:marTop w:val="0"/>
          <w:marBottom w:val="0"/>
          <w:divBdr>
            <w:top w:val="none" w:sz="0" w:space="0" w:color="auto"/>
            <w:left w:val="none" w:sz="0" w:space="0" w:color="auto"/>
            <w:bottom w:val="none" w:sz="0" w:space="0" w:color="auto"/>
            <w:right w:val="none" w:sz="0" w:space="0" w:color="auto"/>
          </w:divBdr>
        </w:div>
        <w:div w:id="2044091701">
          <w:marLeft w:val="0"/>
          <w:marRight w:val="0"/>
          <w:marTop w:val="0"/>
          <w:marBottom w:val="0"/>
          <w:divBdr>
            <w:top w:val="none" w:sz="0" w:space="0" w:color="auto"/>
            <w:left w:val="none" w:sz="0" w:space="0" w:color="auto"/>
            <w:bottom w:val="none" w:sz="0" w:space="0" w:color="auto"/>
            <w:right w:val="none" w:sz="0" w:space="0" w:color="auto"/>
          </w:divBdr>
        </w:div>
      </w:divsChild>
    </w:div>
    <w:div w:id="20724639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2285</Words>
  <Characters>13028</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2016-11-06T05:24:00Z</dcterms:created>
  <dcterms:modified xsi:type="dcterms:W3CDTF">2016-11-06T07:34:00Z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http://www.zotero.org/styles/nature</vt:lpwstr>
  </property>
  <property fmtid="{D5CDD505-2E9C-101B-9397-08002B2CF9AE}" pid="4" name="Mendeley User Name_1">
    <vt:lpwstr>sushant.mishraz@gmail.com@www.mendeley.com</vt:lpwstr>
  </property>
</Properties>
</file>