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EA50" w14:textId="77777777" w:rsidR="00BE3EA9" w:rsidRPr="00C1590F" w:rsidRDefault="0042063B" w:rsidP="004131F9">
      <w:pPr>
        <w:pStyle w:val="Heading1"/>
        <w:ind w:left="2160" w:firstLine="720"/>
        <w:jc w:val="left"/>
      </w:pPr>
      <w:r w:rsidRPr="00C1590F">
        <w:t>Response Letter</w:t>
      </w:r>
    </w:p>
    <w:p w14:paraId="530AD0F5" w14:textId="77777777" w:rsidR="00EE3D8C" w:rsidRDefault="00EE3D8C" w:rsidP="003535F0">
      <w:pPr>
        <w:pStyle w:val="Heading3"/>
        <w:spacing w:before="0" w:after="0"/>
      </w:pPr>
    </w:p>
    <w:p w14:paraId="60FF354C" w14:textId="77777777" w:rsidR="006C3C8A" w:rsidRPr="00C1590F" w:rsidRDefault="00CB5C25" w:rsidP="003535F0">
      <w:pPr>
        <w:pStyle w:val="Heading3"/>
        <w:spacing w:before="0" w:after="0"/>
      </w:pPr>
      <w:r w:rsidRPr="00C1590F">
        <w:t>Reviewer #1</w:t>
      </w:r>
    </w:p>
    <w:p w14:paraId="39AC8CD6" w14:textId="70D243A9" w:rsidR="0042063B" w:rsidRPr="00C1590F" w:rsidRDefault="006C3C8A" w:rsidP="0042063B">
      <w:pPr>
        <w:pStyle w:val="Heading3"/>
      </w:pPr>
      <w:r w:rsidRPr="00C1590F">
        <w:t xml:space="preserve">-- </w:t>
      </w:r>
      <w:r w:rsidR="00CB5C25" w:rsidRPr="00C1590F">
        <w:t>Ref</w:t>
      </w:r>
      <w:r w:rsidR="00F83D6C">
        <w:t xml:space="preserve"> </w:t>
      </w:r>
      <w:r w:rsidR="00EE3D8C">
        <w:t>1</w:t>
      </w:r>
      <w:r w:rsidR="00B9141D">
        <w:t>.0</w:t>
      </w:r>
      <w:r w:rsidR="0042063B" w:rsidRPr="00C1590F">
        <w:t xml:space="preserve"> –</w:t>
      </w:r>
      <w:r w:rsidRPr="00C1590F">
        <w:t xml:space="preserve"> </w:t>
      </w:r>
      <w:r w:rsidR="000D0C98">
        <w:t>annotation source, false negatives</w:t>
      </w:r>
      <w:r w:rsidRPr="00C1590F">
        <w:t xml:space="preserve"> --</w:t>
      </w:r>
    </w:p>
    <w:p w14:paraId="0D1A2206" w14:textId="77777777" w:rsidR="00F83D6C" w:rsidRDefault="00F83D6C" w:rsidP="0042063B"/>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D426A9" w:rsidRPr="00C1590F" w14:paraId="3B7C93D7" w14:textId="77777777" w:rsidTr="00D868F0">
        <w:tc>
          <w:tcPr>
            <w:tcW w:w="1728" w:type="dxa"/>
          </w:tcPr>
          <w:p w14:paraId="74194AA1" w14:textId="77777777" w:rsidR="00D426A9" w:rsidRPr="00C1590F" w:rsidRDefault="00D426A9" w:rsidP="00D868F0">
            <w:pPr>
              <w:pStyle w:val="reviewer"/>
              <w:jc w:val="both"/>
            </w:pPr>
            <w:r w:rsidRPr="00C1590F">
              <w:t>Reviewer</w:t>
            </w:r>
          </w:p>
          <w:p w14:paraId="0950F9B4" w14:textId="77777777" w:rsidR="00D426A9" w:rsidRPr="00C1590F" w:rsidRDefault="00D426A9" w:rsidP="00D868F0">
            <w:pPr>
              <w:pStyle w:val="reviewer"/>
              <w:jc w:val="both"/>
            </w:pPr>
            <w:r w:rsidRPr="00C1590F">
              <w:t>Comment</w:t>
            </w:r>
          </w:p>
        </w:tc>
        <w:tc>
          <w:tcPr>
            <w:tcW w:w="7200" w:type="dxa"/>
          </w:tcPr>
          <w:p w14:paraId="02882192" w14:textId="63F0180F" w:rsidR="00D426A9" w:rsidRPr="00C1590F" w:rsidRDefault="00D426A9" w:rsidP="00D868F0">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It seems all SNVs curated from various resources are non-synonymous as shown in Figure S1A, but this is not clearly mentioned in the Methods part of the main text. Was the basic annotation (non-synonymous or synonymous) of all SNVs from different sources done by the VAT? As we all know, not all variants </w:t>
            </w:r>
            <w:r>
              <w:rPr>
                <w:rFonts w:ascii="Courier New" w:hAnsi="Courier New" w:cs="Courier New"/>
                <w:sz w:val="20"/>
                <w:szCs w:val="20"/>
              </w:rPr>
              <w:t xml:space="preserve">from 1KG and ExAC are “benign”, </w:t>
            </w:r>
            <w:r w:rsidRPr="00333FD6">
              <w:rPr>
                <w:rFonts w:ascii="Courier New" w:hAnsi="Courier New" w:cs="Courier New"/>
                <w:sz w:val="20"/>
                <w:szCs w:val="20"/>
              </w:rPr>
              <w:t xml:space="preserve">did you apply any filter to minimize the potential false negatives (e.g., in </w:t>
            </w:r>
            <w:proofErr w:type="spellStart"/>
            <w:r w:rsidRPr="00333FD6">
              <w:rPr>
                <w:rFonts w:ascii="Courier New" w:hAnsi="Courier New" w:cs="Courier New"/>
                <w:sz w:val="20"/>
                <w:szCs w:val="20"/>
              </w:rPr>
              <w:t>silico</w:t>
            </w:r>
            <w:proofErr w:type="spellEnd"/>
            <w:r w:rsidRPr="00333FD6">
              <w:rPr>
                <w:rFonts w:ascii="Courier New" w:hAnsi="Courier New" w:cs="Courier New"/>
                <w:sz w:val="20"/>
                <w:szCs w:val="20"/>
              </w:rPr>
              <w:t xml:space="preserve"> prediction tools)?</w:t>
            </w:r>
          </w:p>
        </w:tc>
      </w:tr>
      <w:tr w:rsidR="00D426A9" w:rsidRPr="00C1590F" w14:paraId="2DFE4857" w14:textId="77777777" w:rsidTr="00D868F0">
        <w:tc>
          <w:tcPr>
            <w:tcW w:w="1728" w:type="dxa"/>
          </w:tcPr>
          <w:p w14:paraId="3540629F" w14:textId="77777777" w:rsidR="00D426A9" w:rsidRPr="00B9141D" w:rsidRDefault="00D426A9" w:rsidP="00D868F0">
            <w:pPr>
              <w:pStyle w:val="author"/>
              <w:jc w:val="both"/>
              <w:rPr>
                <w:sz w:val="22"/>
                <w:szCs w:val="22"/>
              </w:rPr>
            </w:pPr>
            <w:r w:rsidRPr="00B9141D">
              <w:rPr>
                <w:sz w:val="22"/>
                <w:szCs w:val="22"/>
              </w:rPr>
              <w:t>Author</w:t>
            </w:r>
          </w:p>
          <w:p w14:paraId="02142B22" w14:textId="77777777" w:rsidR="00D426A9" w:rsidRPr="00B9141D" w:rsidRDefault="00D426A9" w:rsidP="00D868F0">
            <w:pPr>
              <w:pStyle w:val="author"/>
              <w:jc w:val="both"/>
              <w:rPr>
                <w:sz w:val="22"/>
                <w:szCs w:val="22"/>
              </w:rPr>
            </w:pPr>
            <w:r w:rsidRPr="00B9141D">
              <w:rPr>
                <w:sz w:val="22"/>
                <w:szCs w:val="22"/>
              </w:rPr>
              <w:t>Response</w:t>
            </w:r>
          </w:p>
        </w:tc>
        <w:tc>
          <w:tcPr>
            <w:tcW w:w="7200" w:type="dxa"/>
          </w:tcPr>
          <w:p w14:paraId="2301DBF4" w14:textId="77777777" w:rsidR="00D426A9" w:rsidRPr="002E3537" w:rsidRDefault="00D426A9" w:rsidP="00D426A9">
            <w:pPr>
              <w:pStyle w:val="author"/>
              <w:jc w:val="both"/>
              <w:rPr>
                <w:rFonts w:cs="Arial"/>
                <w:color w:val="222222"/>
                <w:sz w:val="22"/>
                <w:szCs w:val="22"/>
              </w:rPr>
            </w:pPr>
            <w:r w:rsidRPr="002E3537">
              <w:rPr>
                <w:rFonts w:cs="Arial"/>
                <w:color w:val="222222"/>
                <w:sz w:val="22"/>
                <w:szCs w:val="22"/>
              </w:rPr>
              <w:t>We would first like to thank the reviewer for taking to time to carefully read through our study, and we also thank the reviewer for valuable suggestions o</w:t>
            </w:r>
            <w:r>
              <w:rPr>
                <w:rFonts w:cs="Arial"/>
                <w:color w:val="222222"/>
                <w:sz w:val="22"/>
                <w:szCs w:val="22"/>
              </w:rPr>
              <w:t>n how we may improve this work.</w:t>
            </w:r>
          </w:p>
          <w:p w14:paraId="195FF117" w14:textId="77777777" w:rsidR="00D426A9" w:rsidRDefault="00D426A9" w:rsidP="00D426A9">
            <w:pPr>
              <w:pStyle w:val="author"/>
              <w:jc w:val="both"/>
              <w:rPr>
                <w:rFonts w:cs="Arial"/>
                <w:color w:val="222222"/>
                <w:sz w:val="22"/>
                <w:szCs w:val="22"/>
              </w:rPr>
            </w:pPr>
          </w:p>
          <w:p w14:paraId="5AC761C2" w14:textId="4224B4DF" w:rsidR="00D426A9" w:rsidRPr="0010487B" w:rsidRDefault="00D426A9" w:rsidP="00E076AA">
            <w:pPr>
              <w:pStyle w:val="author"/>
              <w:jc w:val="both"/>
              <w:rPr>
                <w:rFonts w:cs="Arial"/>
                <w:sz w:val="22"/>
                <w:szCs w:val="22"/>
              </w:rPr>
            </w:pPr>
            <w:r>
              <w:rPr>
                <w:rFonts w:cs="Arial"/>
                <w:color w:val="222222"/>
                <w:sz w:val="22"/>
                <w:szCs w:val="22"/>
              </w:rPr>
              <w:t xml:space="preserve">In the revised version of the manuscript, we </w:t>
            </w:r>
            <w:r w:rsidR="00BD2237">
              <w:rPr>
                <w:rFonts w:cs="Arial"/>
                <w:color w:val="222222"/>
                <w:sz w:val="22"/>
                <w:szCs w:val="22"/>
              </w:rPr>
              <w:t>now</w:t>
            </w:r>
            <w:r>
              <w:rPr>
                <w:rFonts w:cs="Arial"/>
                <w:color w:val="222222"/>
                <w:sz w:val="22"/>
                <w:szCs w:val="22"/>
              </w:rPr>
              <w:t xml:space="preserve"> specify that we exclusively look at non-synonymous SNVs. </w:t>
            </w:r>
            <w:r w:rsidR="00BD2237">
              <w:rPr>
                <w:rFonts w:cs="Arial"/>
                <w:color w:val="222222"/>
                <w:sz w:val="22"/>
                <w:szCs w:val="22"/>
              </w:rPr>
              <w:t>The r</w:t>
            </w:r>
            <w:r>
              <w:rPr>
                <w:rFonts w:cs="Arial"/>
                <w:color w:val="222222"/>
                <w:sz w:val="22"/>
                <w:szCs w:val="22"/>
              </w:rPr>
              <w:t xml:space="preserve">eviewer </w:t>
            </w:r>
            <w:r w:rsidR="00BD2237">
              <w:rPr>
                <w:rFonts w:cs="Arial"/>
                <w:color w:val="222222"/>
                <w:sz w:val="22"/>
                <w:szCs w:val="22"/>
              </w:rPr>
              <w:t xml:space="preserve">has </w:t>
            </w:r>
            <w:r>
              <w:rPr>
                <w:rFonts w:cs="Arial"/>
                <w:color w:val="222222"/>
                <w:sz w:val="22"/>
                <w:szCs w:val="22"/>
              </w:rPr>
              <w:t>correctly point</w:t>
            </w:r>
            <w:r w:rsidR="00BD2237">
              <w:rPr>
                <w:rFonts w:cs="Arial"/>
                <w:color w:val="222222"/>
                <w:sz w:val="22"/>
                <w:szCs w:val="22"/>
              </w:rPr>
              <w:t>ed</w:t>
            </w:r>
            <w:r>
              <w:rPr>
                <w:rFonts w:cs="Arial"/>
                <w:color w:val="222222"/>
                <w:sz w:val="22"/>
                <w:szCs w:val="22"/>
              </w:rPr>
              <w:t xml:space="preserve"> out </w:t>
            </w:r>
            <w:r w:rsidR="00BD2237">
              <w:rPr>
                <w:rFonts w:cs="Arial"/>
                <w:color w:val="222222"/>
                <w:sz w:val="22"/>
                <w:szCs w:val="22"/>
              </w:rPr>
              <w:t xml:space="preserve">that </w:t>
            </w:r>
            <w:r>
              <w:rPr>
                <w:rFonts w:cs="Arial"/>
                <w:color w:val="222222"/>
                <w:sz w:val="22"/>
                <w:szCs w:val="22"/>
              </w:rPr>
              <w:t>the annotation</w:t>
            </w:r>
            <w:r w:rsidR="00BD2237">
              <w:rPr>
                <w:rFonts w:cs="Arial"/>
                <w:color w:val="222222"/>
                <w:sz w:val="22"/>
                <w:szCs w:val="22"/>
              </w:rPr>
              <w:t>s</w:t>
            </w:r>
            <w:r>
              <w:rPr>
                <w:rFonts w:cs="Arial"/>
                <w:color w:val="222222"/>
                <w:sz w:val="22"/>
                <w:szCs w:val="22"/>
              </w:rPr>
              <w:t xml:space="preserve"> of coding SNVs </w:t>
            </w:r>
            <w:r w:rsidR="00BD2237">
              <w:rPr>
                <w:rFonts w:cs="Arial"/>
                <w:color w:val="222222"/>
                <w:sz w:val="22"/>
                <w:szCs w:val="22"/>
              </w:rPr>
              <w:t>were</w:t>
            </w:r>
            <w:r>
              <w:rPr>
                <w:rFonts w:cs="Arial"/>
                <w:color w:val="222222"/>
                <w:sz w:val="22"/>
                <w:szCs w:val="22"/>
              </w:rPr>
              <w:t xml:space="preserve"> obtained </w:t>
            </w:r>
            <w:r w:rsidR="00BD2237">
              <w:rPr>
                <w:rFonts w:cs="Arial"/>
                <w:color w:val="222222"/>
                <w:sz w:val="22"/>
                <w:szCs w:val="22"/>
              </w:rPr>
              <w:t>using</w:t>
            </w:r>
            <w:r>
              <w:rPr>
                <w:rFonts w:cs="Arial"/>
                <w:color w:val="222222"/>
                <w:sz w:val="22"/>
                <w:szCs w:val="22"/>
              </w:rPr>
              <w:t xml:space="preserve"> VAT. Furthermore, </w:t>
            </w:r>
            <w:r w:rsidR="00BD2237">
              <w:rPr>
                <w:rFonts w:cs="Arial"/>
                <w:color w:val="222222"/>
                <w:sz w:val="22"/>
                <w:szCs w:val="22"/>
              </w:rPr>
              <w:t>w</w:t>
            </w:r>
            <w:r>
              <w:rPr>
                <w:rFonts w:cs="Arial"/>
                <w:color w:val="222222"/>
                <w:sz w:val="22"/>
                <w:szCs w:val="22"/>
              </w:rPr>
              <w:t xml:space="preserve">e agree with </w:t>
            </w:r>
            <w:r w:rsidR="00297858">
              <w:rPr>
                <w:rFonts w:cs="Arial"/>
                <w:color w:val="222222"/>
                <w:sz w:val="22"/>
                <w:szCs w:val="22"/>
              </w:rPr>
              <w:t xml:space="preserve">the </w:t>
            </w:r>
            <w:r>
              <w:rPr>
                <w:rFonts w:cs="Arial"/>
                <w:color w:val="222222"/>
                <w:sz w:val="22"/>
                <w:szCs w:val="22"/>
              </w:rPr>
              <w:t xml:space="preserve">reviewer that </w:t>
            </w:r>
            <w:r w:rsidR="006E2D1A">
              <w:rPr>
                <w:rFonts w:cs="Arial"/>
                <w:color w:val="222222"/>
                <w:sz w:val="22"/>
                <w:szCs w:val="22"/>
              </w:rPr>
              <w:t xml:space="preserve">not </w:t>
            </w:r>
            <w:r>
              <w:rPr>
                <w:rFonts w:cs="Arial"/>
                <w:color w:val="222222"/>
                <w:sz w:val="22"/>
                <w:szCs w:val="22"/>
              </w:rPr>
              <w:t xml:space="preserve">all variants from 1KG and ExAC are </w:t>
            </w:r>
            <w:r w:rsidR="006E2D1A">
              <w:rPr>
                <w:rFonts w:cs="Arial"/>
                <w:color w:val="222222"/>
                <w:sz w:val="22"/>
                <w:szCs w:val="22"/>
              </w:rPr>
              <w:t>necessarily benign. In an effort to deal with this, w</w:t>
            </w:r>
            <w:r>
              <w:rPr>
                <w:rFonts w:cs="Arial"/>
                <w:color w:val="222222"/>
                <w:sz w:val="22"/>
                <w:szCs w:val="22"/>
              </w:rPr>
              <w:t>e</w:t>
            </w:r>
            <w:r w:rsidR="006E2D1A">
              <w:rPr>
                <w:rFonts w:cs="Arial"/>
                <w:color w:val="222222"/>
                <w:sz w:val="22"/>
                <w:szCs w:val="22"/>
              </w:rPr>
              <w:t xml:space="preserve"> have removed any known disease-associated </w:t>
            </w:r>
            <w:r>
              <w:rPr>
                <w:rFonts w:cs="Arial"/>
                <w:color w:val="222222"/>
                <w:sz w:val="22"/>
                <w:szCs w:val="22"/>
              </w:rPr>
              <w:t xml:space="preserve">variants </w:t>
            </w:r>
            <w:r w:rsidR="006E2D1A">
              <w:rPr>
                <w:rFonts w:cs="Arial"/>
                <w:color w:val="222222"/>
                <w:sz w:val="22"/>
                <w:szCs w:val="22"/>
              </w:rPr>
              <w:t>(</w:t>
            </w:r>
            <w:r>
              <w:rPr>
                <w:rFonts w:cs="Arial"/>
                <w:color w:val="222222"/>
                <w:sz w:val="22"/>
                <w:szCs w:val="22"/>
              </w:rPr>
              <w:t>HGMD and TCGA</w:t>
            </w:r>
            <w:r w:rsidR="00F16B53">
              <w:rPr>
                <w:rFonts w:cs="Arial"/>
                <w:color w:val="222222"/>
                <w:sz w:val="22"/>
                <w:szCs w:val="22"/>
              </w:rPr>
              <w:t>) that</w:t>
            </w:r>
            <w:r>
              <w:rPr>
                <w:rFonts w:cs="Arial"/>
                <w:color w:val="222222"/>
                <w:sz w:val="22"/>
                <w:szCs w:val="22"/>
              </w:rPr>
              <w:t xml:space="preserve"> </w:t>
            </w:r>
            <w:r w:rsidR="00E076AA">
              <w:rPr>
                <w:rFonts w:cs="Arial"/>
                <w:color w:val="222222"/>
                <w:sz w:val="22"/>
                <w:szCs w:val="22"/>
              </w:rPr>
              <w:t>were initially</w:t>
            </w:r>
            <w:r>
              <w:rPr>
                <w:rFonts w:cs="Arial"/>
                <w:color w:val="222222"/>
                <w:sz w:val="22"/>
                <w:szCs w:val="22"/>
              </w:rPr>
              <w:t xml:space="preserve"> present in the 1KG and ExAC dataset</w:t>
            </w:r>
            <w:r w:rsidR="00E076AA">
              <w:rPr>
                <w:rFonts w:cs="Arial"/>
                <w:color w:val="222222"/>
                <w:sz w:val="22"/>
                <w:szCs w:val="22"/>
              </w:rPr>
              <w:t>s</w:t>
            </w:r>
            <w:r>
              <w:rPr>
                <w:rFonts w:cs="Arial"/>
                <w:color w:val="222222"/>
                <w:sz w:val="22"/>
                <w:szCs w:val="22"/>
              </w:rPr>
              <w:t>.</w:t>
            </w:r>
          </w:p>
        </w:tc>
      </w:tr>
      <w:tr w:rsidR="00D426A9" w:rsidRPr="00C1590F" w14:paraId="06B419D8" w14:textId="77777777" w:rsidTr="00D868F0">
        <w:tc>
          <w:tcPr>
            <w:tcW w:w="1728" w:type="dxa"/>
          </w:tcPr>
          <w:p w14:paraId="0F29FB90" w14:textId="77777777" w:rsidR="00D426A9" w:rsidRPr="00C1590F" w:rsidRDefault="00D426A9" w:rsidP="00D868F0">
            <w:pPr>
              <w:pStyle w:val="new-text"/>
              <w:jc w:val="both"/>
            </w:pPr>
            <w:r w:rsidRPr="00C1590F">
              <w:t>Excerpt From</w:t>
            </w:r>
          </w:p>
          <w:p w14:paraId="58A48180" w14:textId="77777777" w:rsidR="00D426A9" w:rsidRPr="00C1590F" w:rsidRDefault="00D426A9" w:rsidP="00D868F0">
            <w:pPr>
              <w:pStyle w:val="new-text"/>
              <w:jc w:val="both"/>
            </w:pPr>
            <w:r w:rsidRPr="00C1590F">
              <w:t>Revised Manuscript</w:t>
            </w:r>
          </w:p>
        </w:tc>
        <w:tc>
          <w:tcPr>
            <w:tcW w:w="7200" w:type="dxa"/>
          </w:tcPr>
          <w:p w14:paraId="3A090290" w14:textId="3DBB0C26" w:rsidR="00E076AA" w:rsidRPr="000B395A" w:rsidRDefault="002E5CE8" w:rsidP="000B395A">
            <w:pPr>
              <w:rPr>
                <w:sz w:val="18"/>
                <w:szCs w:val="18"/>
              </w:rPr>
            </w:pPr>
            <w:r w:rsidRPr="000B395A">
              <w:rPr>
                <w:sz w:val="18"/>
                <w:szCs w:val="18"/>
              </w:rPr>
              <w:t>“</w:t>
            </w:r>
            <w:r w:rsidR="000B395A" w:rsidRPr="000B395A">
              <w:rPr>
                <w:rFonts w:eastAsia="Times New Roman"/>
                <w:sz w:val="18"/>
                <w:szCs w:val="18"/>
              </w:rPr>
              <w:t>In order to avoid redundancy and false positive call sets, we only consider HGMD SNVs annotated as pathological variants (labeled as “DM”) in the HGMD dataset. Furthermore, we removed HGMD variants present in the 1000 Genomes and ExAC datasets. Similarly, we also removed known TCGA variants present in the original ExAC SNV datasets.”</w:t>
            </w:r>
          </w:p>
        </w:tc>
      </w:tr>
    </w:tbl>
    <w:p w14:paraId="6563C492" w14:textId="77777777" w:rsidR="00D426A9" w:rsidRDefault="00D426A9" w:rsidP="0042063B"/>
    <w:p w14:paraId="3F790176" w14:textId="77777777" w:rsidR="00D426A9" w:rsidRPr="00C1590F" w:rsidRDefault="00D426A9" w:rsidP="0042063B"/>
    <w:p w14:paraId="7B3DB241" w14:textId="402EB959" w:rsidR="004131F9" w:rsidRPr="003D5904" w:rsidRDefault="006C3C8A" w:rsidP="003D5904">
      <w:pPr>
        <w:pStyle w:val="Heading3"/>
      </w:pPr>
      <w:r w:rsidRPr="00C1590F">
        <w:t xml:space="preserve">-- </w:t>
      </w:r>
      <w:r w:rsidR="00801318" w:rsidRPr="00C1590F">
        <w:t>Ref</w:t>
      </w:r>
      <w:r w:rsidR="00F83D6C">
        <w:t xml:space="preserve"> 1</w:t>
      </w:r>
      <w:r w:rsidR="00801318" w:rsidRPr="00C1590F">
        <w:t>.</w:t>
      </w:r>
      <w:r w:rsidR="00B9141D">
        <w:t>1</w:t>
      </w:r>
      <w:r w:rsidR="00801318" w:rsidRPr="00C1590F">
        <w:t xml:space="preserve"> –</w:t>
      </w:r>
      <w:r w:rsidR="000D0C98">
        <w:t>core/surface residue description</w:t>
      </w:r>
      <w:r w:rsidR="00801318"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D868F0" w:rsidRPr="00C1590F" w14:paraId="292D4628" w14:textId="77777777" w:rsidTr="00D868F0">
        <w:tc>
          <w:tcPr>
            <w:tcW w:w="1728" w:type="dxa"/>
          </w:tcPr>
          <w:p w14:paraId="78632AEA" w14:textId="77777777" w:rsidR="00D868F0" w:rsidRPr="00C1590F" w:rsidRDefault="00D868F0" w:rsidP="00D868F0">
            <w:pPr>
              <w:pStyle w:val="reviewer"/>
              <w:jc w:val="both"/>
            </w:pPr>
            <w:r w:rsidRPr="00C1590F">
              <w:t>Reviewer</w:t>
            </w:r>
          </w:p>
          <w:p w14:paraId="0F72401B" w14:textId="77777777" w:rsidR="00D868F0" w:rsidRPr="00C1590F" w:rsidRDefault="00D868F0" w:rsidP="00D868F0">
            <w:pPr>
              <w:pStyle w:val="reviewer"/>
              <w:jc w:val="both"/>
            </w:pPr>
            <w:r w:rsidRPr="00C1590F">
              <w:t>Comment</w:t>
            </w:r>
          </w:p>
        </w:tc>
        <w:tc>
          <w:tcPr>
            <w:tcW w:w="7200" w:type="dxa"/>
          </w:tcPr>
          <w:p w14:paraId="2D121145" w14:textId="25A3C7D5" w:rsidR="00D868F0" w:rsidRPr="00C1590F" w:rsidRDefault="00D868F0" w:rsidP="00D868F0">
            <w:pPr>
              <w:autoSpaceDE w:val="0"/>
              <w:autoSpaceDN w:val="0"/>
              <w:adjustRightInd w:val="0"/>
              <w:rPr>
                <w:rFonts w:ascii="Courier New" w:hAnsi="Courier New" w:cs="Courier New"/>
                <w:sz w:val="20"/>
                <w:szCs w:val="20"/>
              </w:rPr>
            </w:pPr>
            <w:r w:rsidRPr="00333FD6">
              <w:rPr>
                <w:rFonts w:ascii="Courier New" w:hAnsi="Courier New" w:cs="Courier New"/>
                <w:sz w:val="20"/>
                <w:szCs w:val="20"/>
              </w:rPr>
              <w:t>Please briefly define and compare the “core” and “surface” residuals in the main text as they are critical to understand the differential impact evaluated in this study.</w:t>
            </w:r>
          </w:p>
        </w:tc>
      </w:tr>
      <w:tr w:rsidR="00D868F0" w:rsidRPr="00C1590F" w14:paraId="4E63C2F0" w14:textId="77777777" w:rsidTr="00D868F0">
        <w:tc>
          <w:tcPr>
            <w:tcW w:w="1728" w:type="dxa"/>
          </w:tcPr>
          <w:p w14:paraId="48E927F3" w14:textId="77777777" w:rsidR="00D868F0" w:rsidRPr="00B9141D" w:rsidRDefault="00D868F0" w:rsidP="00D868F0">
            <w:pPr>
              <w:pStyle w:val="author"/>
              <w:jc w:val="both"/>
              <w:rPr>
                <w:sz w:val="22"/>
                <w:szCs w:val="22"/>
              </w:rPr>
            </w:pPr>
            <w:r w:rsidRPr="00B9141D">
              <w:rPr>
                <w:sz w:val="22"/>
                <w:szCs w:val="22"/>
              </w:rPr>
              <w:t>Author</w:t>
            </w:r>
          </w:p>
          <w:p w14:paraId="33AE70B1" w14:textId="77777777" w:rsidR="00D868F0" w:rsidRPr="00B9141D" w:rsidRDefault="00D868F0" w:rsidP="00D868F0">
            <w:pPr>
              <w:pStyle w:val="author"/>
              <w:jc w:val="both"/>
              <w:rPr>
                <w:sz w:val="22"/>
                <w:szCs w:val="22"/>
              </w:rPr>
            </w:pPr>
            <w:r w:rsidRPr="00B9141D">
              <w:rPr>
                <w:sz w:val="22"/>
                <w:szCs w:val="22"/>
              </w:rPr>
              <w:t>Response</w:t>
            </w:r>
          </w:p>
        </w:tc>
        <w:tc>
          <w:tcPr>
            <w:tcW w:w="7200" w:type="dxa"/>
          </w:tcPr>
          <w:p w14:paraId="62616B71" w14:textId="7592ED94" w:rsidR="00D868F0" w:rsidRPr="0010487B" w:rsidRDefault="00D868F0" w:rsidP="003D5904">
            <w:pPr>
              <w:pStyle w:val="author"/>
              <w:jc w:val="both"/>
              <w:rPr>
                <w:rFonts w:cs="Arial"/>
                <w:sz w:val="22"/>
                <w:szCs w:val="22"/>
              </w:rPr>
            </w:pPr>
            <w:r>
              <w:rPr>
                <w:rFonts w:cs="Arial"/>
                <w:sz w:val="22"/>
                <w:szCs w:val="22"/>
              </w:rPr>
              <w:t>We thank the reviewer for this suggestion</w:t>
            </w:r>
            <w:r w:rsidR="003D5904">
              <w:rPr>
                <w:rFonts w:cs="Arial"/>
                <w:sz w:val="22"/>
                <w:szCs w:val="22"/>
              </w:rPr>
              <w:t>, and we have now</w:t>
            </w:r>
            <w:r>
              <w:rPr>
                <w:rFonts w:cs="Arial"/>
                <w:sz w:val="22"/>
                <w:szCs w:val="22"/>
              </w:rPr>
              <w:t xml:space="preserve"> accordingly provide</w:t>
            </w:r>
            <w:r w:rsidR="003D5904">
              <w:rPr>
                <w:rFonts w:cs="Arial"/>
                <w:sz w:val="22"/>
                <w:szCs w:val="22"/>
              </w:rPr>
              <w:t>d</w:t>
            </w:r>
            <w:r>
              <w:rPr>
                <w:rFonts w:cs="Arial"/>
                <w:sz w:val="22"/>
                <w:szCs w:val="22"/>
              </w:rPr>
              <w:t xml:space="preserve"> this information in the main text instead of </w:t>
            </w:r>
            <w:r w:rsidR="003D5904">
              <w:rPr>
                <w:rFonts w:cs="Arial"/>
                <w:sz w:val="22"/>
                <w:szCs w:val="22"/>
              </w:rPr>
              <w:t>the supplement</w:t>
            </w:r>
            <w:r>
              <w:rPr>
                <w:rFonts w:cs="Arial"/>
                <w:sz w:val="22"/>
                <w:szCs w:val="22"/>
              </w:rPr>
              <w:t>.</w:t>
            </w:r>
          </w:p>
        </w:tc>
      </w:tr>
      <w:tr w:rsidR="00D868F0" w:rsidRPr="00C1590F" w14:paraId="5F8CD00B" w14:textId="77777777" w:rsidTr="00D868F0">
        <w:tc>
          <w:tcPr>
            <w:tcW w:w="1728" w:type="dxa"/>
          </w:tcPr>
          <w:p w14:paraId="643A58D0" w14:textId="77777777" w:rsidR="00D868F0" w:rsidRPr="00C1590F" w:rsidRDefault="00D868F0" w:rsidP="00D868F0">
            <w:pPr>
              <w:pStyle w:val="new-text"/>
              <w:jc w:val="both"/>
            </w:pPr>
            <w:r w:rsidRPr="00C1590F">
              <w:t>Excerpt From</w:t>
            </w:r>
          </w:p>
          <w:p w14:paraId="2D6E056C" w14:textId="77777777" w:rsidR="00D868F0" w:rsidRPr="00C1590F" w:rsidRDefault="00D868F0" w:rsidP="00D868F0">
            <w:pPr>
              <w:pStyle w:val="new-text"/>
              <w:jc w:val="both"/>
            </w:pPr>
            <w:r w:rsidRPr="00C1590F">
              <w:t>Revised Manuscript</w:t>
            </w:r>
          </w:p>
        </w:tc>
        <w:tc>
          <w:tcPr>
            <w:tcW w:w="7200" w:type="dxa"/>
          </w:tcPr>
          <w:p w14:paraId="70D2BC40" w14:textId="1B6C8926" w:rsidR="00D868F0" w:rsidRPr="009A6888" w:rsidRDefault="00D868F0" w:rsidP="005C5B91">
            <w:pPr>
              <w:rPr>
                <w:sz w:val="18"/>
                <w:szCs w:val="18"/>
              </w:rPr>
            </w:pPr>
            <w:r w:rsidRPr="009A6888">
              <w:rPr>
                <w:sz w:val="18"/>
                <w:szCs w:val="18"/>
              </w:rPr>
              <w:t>“</w:t>
            </w:r>
            <w:r w:rsidR="005C5B91" w:rsidRPr="009A6888">
              <w:rPr>
                <w:rFonts w:eastAsia="ＭＳ 明朝"/>
                <w:sz w:val="18"/>
                <w:szCs w:val="18"/>
              </w:rPr>
              <w:t xml:space="preserve">Moreover, we sub-classify each of these three categories into core and surface residues based on their RSASA value. We calculated the RSASA value for each residue using NACCESS </w:t>
            </w:r>
            <w:r w:rsidR="005C5B91" w:rsidRPr="009A6888">
              <w:rPr>
                <w:rFonts w:eastAsia="ＭＳ 明朝"/>
                <w:sz w:val="18"/>
                <w:szCs w:val="18"/>
              </w:rPr>
              <w:fldChar w:fldCharType="begin" w:fldLock="1"/>
            </w:r>
            <w:r w:rsidR="005C5B91" w:rsidRPr="009A6888">
              <w:rPr>
                <w:rFonts w:eastAsia="ＭＳ 明朝"/>
                <w:sz w:val="18"/>
                <w:szCs w:val="18"/>
              </w:rPr>
              <w:instrText>ADDIN CSL_CITATION { "citationItems" : [ { "id" : "ITEM-1", "itemData" : { "DOI" : "10.1016/0022-2836(91)90027-4", "ISBN" : "0022-2836 (Print)\\r0022-2836 (Linking)", "ISSN" : "00222836", "PMID" : "1856871", "abstract" : "The conformations of known tryptic limited proteolytic sites have been analysed and compared to the structures of the binding regions of serine proteinase inhibitors, as they are found when complexed to a serine proteinase. Conformational parameters studied include main-chain torsion angles, root-mean-square fits, accessibility, mobility and protrusion indices. As observed before, the inhibitors share a common main-chain conformation at the binding loop from P3-P\u20323 (Schechter, Berger notation), which is maintained throughout all the serine proteinase inhibitor families for which X-ray data is available, despite lack of similarity in the rest of the protein. This canonical structure is not found amongst the limited proteolytic sites (or nicksites), which differ markedly from the inhibitor binding loop conformation, and also amongst themselves. The experimentally determined nicksites are in general both accessible and protruding; as are the inhibitor binding loops, as well as being typically flexible regions of structure, as denoted by elevated temperature factors from crystallographic determinations. For cleavage by serine proteinases these loops must radically alter their local conformations and a large motion of the loop relative to the structure, in some cases, would be required to orientate these sites for cleavage. \u00a9 1991.", "author" : [ { "dropping-particle" : "", "family" : "Hubbard", "given" : "S. J.", "non-dropping-particle" : "", "parse-names" : false, "suffix" : "" }, { "dropping-particle" : "", "family" : "Campbell", "given" : "S. F.", "non-dropping-particle" : "", "parse-names" : false, "suffix" : "" }, { "dropping-particle" : "", "family" : "Thornton", "given" : "J. M.", "non-dropping-particle" : "", "parse-names" : false, "suffix" : "" } ], "container-title" : "Journal of Molecular Biology", "id" : "ITEM-1", "issue" : "2", "issued" : { "date-parts" : [ [ "1991" ] ] }, "page" : "507-530", "title" : "Molecular recognition. Conformational analysis of limited proteolytic sites and serine proteinase protein inhibitors", "type" : "article-journal", "volume" : "220" }, "uris" : [ "http://www.mendeley.com/documents/?uuid=ff765878-3a45-4fbc-9127-8a7da635f794" ] } ], "mendeley" : { "formattedCitation" : "(1)", "plainTextFormattedCitation" : "(1)" }, "properties" : { "noteIndex" : 0 }, "schema" : "https://github.com/citation-style-language/schema/raw/master/csl-citation.json" }</w:instrText>
            </w:r>
            <w:r w:rsidR="005C5B91" w:rsidRPr="009A6888">
              <w:rPr>
                <w:rFonts w:eastAsia="ＭＳ 明朝"/>
                <w:sz w:val="18"/>
                <w:szCs w:val="18"/>
              </w:rPr>
              <w:fldChar w:fldCharType="separate"/>
            </w:r>
            <w:r w:rsidR="005C5B91" w:rsidRPr="009A6888">
              <w:rPr>
                <w:rFonts w:eastAsia="ＭＳ 明朝"/>
                <w:sz w:val="18"/>
                <w:szCs w:val="18"/>
              </w:rPr>
              <w:t>(1)</w:t>
            </w:r>
            <w:r w:rsidR="005C5B91" w:rsidRPr="009A6888">
              <w:rPr>
                <w:rFonts w:eastAsia="ＭＳ 明朝"/>
                <w:sz w:val="18"/>
                <w:szCs w:val="18"/>
              </w:rPr>
              <w:fldChar w:fldCharType="end"/>
            </w:r>
            <w:r w:rsidR="005C5B91" w:rsidRPr="009A6888">
              <w:rPr>
                <w:rFonts w:eastAsia="ＭＳ 明朝"/>
                <w:sz w:val="18"/>
                <w:szCs w:val="18"/>
              </w:rPr>
              <w:t>. Residues were defined as core when the RSASA value was lower than or equal to 25 % and surface residues had RSASA value greater than 25%</w:t>
            </w:r>
            <w:r w:rsidRPr="009A6888">
              <w:rPr>
                <w:rFonts w:eastAsia="Times New Roman"/>
                <w:color w:val="000000"/>
                <w:sz w:val="18"/>
                <w:szCs w:val="18"/>
              </w:rPr>
              <w:t>.</w:t>
            </w:r>
            <w:r w:rsidRPr="009A6888">
              <w:rPr>
                <w:sz w:val="18"/>
                <w:szCs w:val="18"/>
              </w:rPr>
              <w:t>“</w:t>
            </w:r>
          </w:p>
        </w:tc>
      </w:tr>
    </w:tbl>
    <w:p w14:paraId="084273DA" w14:textId="77777777" w:rsidR="00D868F0" w:rsidRDefault="00D868F0" w:rsidP="004131F9">
      <w:pPr>
        <w:rPr>
          <w:rFonts w:ascii="Arial" w:eastAsia="Times New Roman" w:hAnsi="Arial"/>
          <w:b/>
          <w:kern w:val="28"/>
          <w:sz w:val="28"/>
          <w:szCs w:val="20"/>
          <w:lang w:eastAsia="en-US"/>
        </w:rPr>
      </w:pPr>
    </w:p>
    <w:p w14:paraId="4B3317E4" w14:textId="77777777" w:rsidR="003157F5" w:rsidRDefault="003157F5" w:rsidP="004131F9">
      <w:pPr>
        <w:rPr>
          <w:rFonts w:ascii="Arial" w:eastAsia="Times New Roman" w:hAnsi="Arial"/>
          <w:b/>
          <w:kern w:val="28"/>
          <w:sz w:val="28"/>
          <w:szCs w:val="20"/>
          <w:lang w:eastAsia="en-US"/>
        </w:rPr>
      </w:pPr>
    </w:p>
    <w:p w14:paraId="1EBEA07C" w14:textId="63B84CF3" w:rsidR="00B9141D" w:rsidRPr="00C1590F" w:rsidRDefault="00B9141D" w:rsidP="00B9141D">
      <w:pPr>
        <w:pStyle w:val="Heading3"/>
      </w:pPr>
      <w:r w:rsidRPr="00C1590F">
        <w:t>-- Ref</w:t>
      </w:r>
      <w:r>
        <w:t xml:space="preserve"> 1</w:t>
      </w:r>
      <w:r w:rsidRPr="00C1590F">
        <w:t>.</w:t>
      </w:r>
      <w:r>
        <w:t>2</w:t>
      </w:r>
      <w:r w:rsidRPr="00C1590F">
        <w:t xml:space="preserve"> – </w:t>
      </w:r>
      <w:r w:rsidR="000D0C98">
        <w:t xml:space="preserve">SNV </w:t>
      </w:r>
      <w:r w:rsidR="00713485">
        <w:t xml:space="preserve">frequency </w:t>
      </w:r>
      <w:r w:rsidR="000D0C98">
        <w:t>summary</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B9141D" w:rsidRPr="00C1590F" w14:paraId="416F57B1" w14:textId="77777777" w:rsidTr="00885845">
        <w:tc>
          <w:tcPr>
            <w:tcW w:w="1728" w:type="dxa"/>
          </w:tcPr>
          <w:p w14:paraId="121F65C1" w14:textId="77777777" w:rsidR="00B9141D" w:rsidRPr="00C1590F" w:rsidRDefault="00B9141D" w:rsidP="00885845">
            <w:pPr>
              <w:pStyle w:val="reviewer"/>
              <w:jc w:val="both"/>
            </w:pPr>
            <w:r w:rsidRPr="00C1590F">
              <w:t>Reviewer</w:t>
            </w:r>
          </w:p>
          <w:p w14:paraId="598F5323" w14:textId="77777777" w:rsidR="00B9141D" w:rsidRPr="00C1590F" w:rsidRDefault="00B9141D" w:rsidP="00885845">
            <w:pPr>
              <w:pStyle w:val="reviewer"/>
              <w:jc w:val="both"/>
            </w:pPr>
            <w:r w:rsidRPr="00C1590F">
              <w:t>Comment</w:t>
            </w:r>
          </w:p>
        </w:tc>
        <w:tc>
          <w:tcPr>
            <w:tcW w:w="7200" w:type="dxa"/>
          </w:tcPr>
          <w:p w14:paraId="4F7E7585" w14:textId="62743E64" w:rsidR="00B9141D" w:rsidRPr="00C1590F" w:rsidRDefault="00333FD6" w:rsidP="00B9141D">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Please summarize the number of SNVs used in each of your comparison analysis as Table 1 (e.g., benign/disease-associated, common/rare, conserved/variable, </w:t>
            </w:r>
            <w:r w:rsidRPr="00333FD6">
              <w:rPr>
                <w:rFonts w:ascii="Courier New" w:hAnsi="Courier New" w:cs="Courier New"/>
                <w:sz w:val="20"/>
                <w:szCs w:val="20"/>
              </w:rPr>
              <w:lastRenderedPageBreak/>
              <w:t>driver/passen</w:t>
            </w:r>
            <w:r>
              <w:rPr>
                <w:rFonts w:ascii="Courier New" w:hAnsi="Courier New" w:cs="Courier New"/>
                <w:sz w:val="20"/>
                <w:szCs w:val="20"/>
              </w:rPr>
              <w:t>ger).</w:t>
            </w:r>
          </w:p>
        </w:tc>
      </w:tr>
      <w:tr w:rsidR="00B9141D" w:rsidRPr="00C1590F" w14:paraId="518155F0" w14:textId="77777777" w:rsidTr="00885845">
        <w:tc>
          <w:tcPr>
            <w:tcW w:w="1728" w:type="dxa"/>
          </w:tcPr>
          <w:p w14:paraId="6783FC1D" w14:textId="77777777" w:rsidR="00B9141D" w:rsidRPr="00B9141D" w:rsidRDefault="00B9141D" w:rsidP="00885845">
            <w:pPr>
              <w:pStyle w:val="author"/>
              <w:jc w:val="both"/>
              <w:rPr>
                <w:sz w:val="22"/>
                <w:szCs w:val="22"/>
              </w:rPr>
            </w:pPr>
            <w:r w:rsidRPr="00B9141D">
              <w:rPr>
                <w:sz w:val="22"/>
                <w:szCs w:val="22"/>
              </w:rPr>
              <w:lastRenderedPageBreak/>
              <w:t>Author</w:t>
            </w:r>
          </w:p>
          <w:p w14:paraId="4D6BC411" w14:textId="77777777" w:rsidR="00B9141D" w:rsidRPr="00B9141D" w:rsidRDefault="00B9141D" w:rsidP="00885845">
            <w:pPr>
              <w:pStyle w:val="author"/>
              <w:jc w:val="both"/>
              <w:rPr>
                <w:sz w:val="22"/>
                <w:szCs w:val="22"/>
              </w:rPr>
            </w:pPr>
            <w:r w:rsidRPr="00B9141D">
              <w:rPr>
                <w:sz w:val="22"/>
                <w:szCs w:val="22"/>
              </w:rPr>
              <w:t>Response</w:t>
            </w:r>
          </w:p>
        </w:tc>
        <w:tc>
          <w:tcPr>
            <w:tcW w:w="7200" w:type="dxa"/>
          </w:tcPr>
          <w:p w14:paraId="3A4DB0B8" w14:textId="1876A6CE" w:rsidR="0010487B" w:rsidRPr="0010487B" w:rsidRDefault="00AF4ACD" w:rsidP="005E29A6">
            <w:pPr>
              <w:pStyle w:val="author"/>
              <w:jc w:val="both"/>
              <w:rPr>
                <w:rFonts w:cs="Arial"/>
                <w:sz w:val="22"/>
                <w:szCs w:val="22"/>
              </w:rPr>
            </w:pPr>
            <w:r>
              <w:rPr>
                <w:rFonts w:cs="Arial"/>
                <w:sz w:val="22"/>
                <w:szCs w:val="22"/>
              </w:rPr>
              <w:t xml:space="preserve">These statistics are indeed valuable to know, and they are now provided in </w:t>
            </w:r>
            <w:r w:rsidR="003D5904">
              <w:rPr>
                <w:rFonts w:cs="Arial"/>
                <w:sz w:val="22"/>
                <w:szCs w:val="22"/>
              </w:rPr>
              <w:t>T</w:t>
            </w:r>
            <w:r w:rsidR="00FE3212">
              <w:rPr>
                <w:rFonts w:cs="Arial"/>
                <w:sz w:val="22"/>
                <w:szCs w:val="22"/>
              </w:rPr>
              <w:t>able 1</w:t>
            </w:r>
            <w:r w:rsidR="003D5904">
              <w:rPr>
                <w:rFonts w:cs="Arial"/>
                <w:sz w:val="22"/>
                <w:szCs w:val="22"/>
              </w:rPr>
              <w:t xml:space="preserve">, which </w:t>
            </w:r>
            <w:r w:rsidR="005E29A6">
              <w:rPr>
                <w:rFonts w:cs="Arial"/>
                <w:sz w:val="22"/>
                <w:szCs w:val="22"/>
              </w:rPr>
              <w:t>may be found within the main text</w:t>
            </w:r>
            <w:r w:rsidR="00FE3212">
              <w:rPr>
                <w:rFonts w:cs="Arial"/>
                <w:sz w:val="22"/>
                <w:szCs w:val="22"/>
              </w:rPr>
              <w:t>.</w:t>
            </w:r>
          </w:p>
        </w:tc>
      </w:tr>
      <w:tr w:rsidR="00B9141D" w:rsidRPr="00C1590F" w14:paraId="268708AC" w14:textId="77777777" w:rsidTr="00885845">
        <w:tc>
          <w:tcPr>
            <w:tcW w:w="1728" w:type="dxa"/>
          </w:tcPr>
          <w:p w14:paraId="69CAC2E2" w14:textId="77777777" w:rsidR="00B9141D" w:rsidRPr="00C1590F" w:rsidRDefault="00B9141D" w:rsidP="00885845">
            <w:pPr>
              <w:pStyle w:val="new-text"/>
              <w:jc w:val="both"/>
            </w:pPr>
            <w:r w:rsidRPr="00C1590F">
              <w:t>Excerpt From</w:t>
            </w:r>
          </w:p>
          <w:p w14:paraId="22A34B1E" w14:textId="77777777" w:rsidR="00B9141D" w:rsidRPr="00C1590F" w:rsidRDefault="00B9141D" w:rsidP="00885845">
            <w:pPr>
              <w:pStyle w:val="new-text"/>
              <w:jc w:val="both"/>
            </w:pPr>
            <w:r w:rsidRPr="00C1590F">
              <w:t>Revised Manuscript</w:t>
            </w:r>
          </w:p>
        </w:tc>
        <w:tc>
          <w:tcPr>
            <w:tcW w:w="7200" w:type="dxa"/>
          </w:tcPr>
          <w:p w14:paraId="4C20EF3E" w14:textId="351A497E" w:rsidR="00B9141D" w:rsidRPr="00C01860" w:rsidRDefault="00FD240F" w:rsidP="00C01860">
            <w:pPr>
              <w:rPr>
                <w:sz w:val="22"/>
                <w:szCs w:val="22"/>
              </w:rPr>
            </w:pPr>
            <w:r>
              <w:rPr>
                <w:noProof/>
                <w:sz w:val="22"/>
                <w:szCs w:val="22"/>
                <w:lang w:eastAsia="en-US"/>
              </w:rPr>
              <w:drawing>
                <wp:inline distT="0" distB="0" distL="0" distR="0" wp14:anchorId="60845038" wp14:editId="3B26A205">
                  <wp:extent cx="4275399" cy="2112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5399" cy="2112557"/>
                          </a:xfrm>
                          <a:prstGeom prst="rect">
                            <a:avLst/>
                          </a:prstGeom>
                          <a:noFill/>
                          <a:ln>
                            <a:noFill/>
                          </a:ln>
                        </pic:spPr>
                      </pic:pic>
                    </a:graphicData>
                  </a:graphic>
                </wp:inline>
              </w:drawing>
            </w:r>
          </w:p>
        </w:tc>
      </w:tr>
    </w:tbl>
    <w:p w14:paraId="25647E96" w14:textId="77777777" w:rsidR="00B9141D" w:rsidRPr="00C1590F" w:rsidRDefault="00B9141D" w:rsidP="00B9141D"/>
    <w:p w14:paraId="5ACD15CB" w14:textId="77777777" w:rsidR="00604D55" w:rsidRDefault="00604D55" w:rsidP="006C3C8A">
      <w:pPr>
        <w:rPr>
          <w:rFonts w:ascii="Arial" w:eastAsia="Times New Roman" w:hAnsi="Arial"/>
          <w:b/>
          <w:kern w:val="28"/>
          <w:sz w:val="28"/>
          <w:szCs w:val="20"/>
          <w:lang w:eastAsia="en-US"/>
        </w:rPr>
      </w:pPr>
    </w:p>
    <w:p w14:paraId="6B3800A0" w14:textId="3A37C5C2" w:rsidR="00333FD6" w:rsidRPr="00C1590F" w:rsidRDefault="00333FD6" w:rsidP="00333FD6">
      <w:pPr>
        <w:pStyle w:val="Heading3"/>
      </w:pPr>
      <w:r w:rsidRPr="00C1590F">
        <w:t>-- Ref</w:t>
      </w:r>
      <w:r>
        <w:t xml:space="preserve"> 1</w:t>
      </w:r>
      <w:r w:rsidRPr="00C1590F">
        <w:t>.</w:t>
      </w:r>
      <w:r>
        <w:t>4</w:t>
      </w:r>
      <w:r w:rsidRPr="00C1590F">
        <w:t xml:space="preserve"> –</w:t>
      </w:r>
      <w:r w:rsidR="000D0C98">
        <w:t xml:space="preserve">variants with unknown significance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0FA2FA21" w14:textId="77777777" w:rsidTr="00FE3212">
        <w:tc>
          <w:tcPr>
            <w:tcW w:w="1728" w:type="dxa"/>
          </w:tcPr>
          <w:p w14:paraId="5E7CF4C8" w14:textId="77777777" w:rsidR="00333FD6" w:rsidRPr="00C1590F" w:rsidRDefault="00333FD6" w:rsidP="00FE3212">
            <w:pPr>
              <w:pStyle w:val="reviewer"/>
              <w:jc w:val="both"/>
            </w:pPr>
            <w:r w:rsidRPr="00C1590F">
              <w:t>Reviewer</w:t>
            </w:r>
          </w:p>
          <w:p w14:paraId="7AC783D4" w14:textId="77777777" w:rsidR="00333FD6" w:rsidRPr="00C1590F" w:rsidRDefault="00333FD6" w:rsidP="00FE3212">
            <w:pPr>
              <w:pStyle w:val="reviewer"/>
              <w:jc w:val="both"/>
            </w:pPr>
            <w:r w:rsidRPr="00C1590F">
              <w:t>Comment</w:t>
            </w:r>
          </w:p>
        </w:tc>
        <w:tc>
          <w:tcPr>
            <w:tcW w:w="7200" w:type="dxa"/>
          </w:tcPr>
          <w:p w14:paraId="531960CA" w14:textId="5CACB7EF" w:rsidR="00333FD6" w:rsidRPr="00C1590F" w:rsidRDefault="00333FD6" w:rsidP="00FE3212">
            <w:pPr>
              <w:autoSpaceDE w:val="0"/>
              <w:autoSpaceDN w:val="0"/>
              <w:adjustRightInd w:val="0"/>
              <w:rPr>
                <w:rFonts w:ascii="Courier New" w:hAnsi="Courier New" w:cs="Courier New"/>
                <w:sz w:val="20"/>
                <w:szCs w:val="20"/>
              </w:rPr>
            </w:pPr>
            <w:r w:rsidRPr="00333FD6">
              <w:rPr>
                <w:rFonts w:ascii="Courier New" w:hAnsi="Courier New" w:cs="Courier New"/>
                <w:sz w:val="20"/>
                <w:szCs w:val="20"/>
              </w:rPr>
              <w:t>The results are interesting. However, I was looking forward to seeing how the workflow was applied to variants of unknown significance to help classify/predict their impact, e.g., using a certain value of ΔF as a threshold. This would be extremely valuable and useful for other investigators.</w:t>
            </w:r>
          </w:p>
        </w:tc>
      </w:tr>
      <w:tr w:rsidR="00333FD6" w:rsidRPr="00C1590F" w14:paraId="12004604" w14:textId="77777777" w:rsidTr="00FE3212">
        <w:tc>
          <w:tcPr>
            <w:tcW w:w="1728" w:type="dxa"/>
          </w:tcPr>
          <w:p w14:paraId="7A62882B" w14:textId="77777777" w:rsidR="00333FD6" w:rsidRPr="00B9141D" w:rsidRDefault="00333FD6" w:rsidP="00FE3212">
            <w:pPr>
              <w:pStyle w:val="author"/>
              <w:jc w:val="both"/>
              <w:rPr>
                <w:sz w:val="22"/>
                <w:szCs w:val="22"/>
              </w:rPr>
            </w:pPr>
            <w:r w:rsidRPr="00B9141D">
              <w:rPr>
                <w:sz w:val="22"/>
                <w:szCs w:val="22"/>
              </w:rPr>
              <w:t>Author</w:t>
            </w:r>
          </w:p>
          <w:p w14:paraId="310EE510"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23767201" w14:textId="7FE33A88" w:rsidR="00333FD6" w:rsidRPr="0010487B" w:rsidRDefault="00E35526" w:rsidP="005E29A6">
            <w:pPr>
              <w:pStyle w:val="author"/>
              <w:jc w:val="both"/>
              <w:rPr>
                <w:rFonts w:cs="Arial"/>
                <w:sz w:val="22"/>
                <w:szCs w:val="22"/>
              </w:rPr>
            </w:pPr>
            <w:r>
              <w:rPr>
                <w:rFonts w:cs="Arial"/>
                <w:sz w:val="22"/>
                <w:szCs w:val="22"/>
              </w:rPr>
              <w:t xml:space="preserve">We agree </w:t>
            </w:r>
            <w:r w:rsidR="005E29A6">
              <w:rPr>
                <w:rFonts w:cs="Arial"/>
                <w:sz w:val="22"/>
                <w:szCs w:val="22"/>
              </w:rPr>
              <w:t xml:space="preserve">that greater value may be derived from </w:t>
            </w:r>
            <w:r w:rsidR="005E29A6" w:rsidRPr="00E35526">
              <w:rPr>
                <w:rFonts w:cs="Arial"/>
                <w:sz w:val="22"/>
                <w:szCs w:val="22"/>
              </w:rPr>
              <w:t>ΔF</w:t>
            </w:r>
            <w:r w:rsidR="005E29A6">
              <w:rPr>
                <w:rFonts w:cs="Arial"/>
                <w:sz w:val="22"/>
                <w:szCs w:val="22"/>
              </w:rPr>
              <w:t xml:space="preserve"> if a specific threshold may be used when making predictions on newly discovered SNVs.</w:t>
            </w:r>
            <w:r>
              <w:rPr>
                <w:rFonts w:cs="Arial"/>
                <w:sz w:val="22"/>
                <w:szCs w:val="22"/>
              </w:rPr>
              <w:t xml:space="preserve"> In order to rigorously define a </w:t>
            </w:r>
            <w:r w:rsidRPr="00E35526">
              <w:rPr>
                <w:rFonts w:cs="Arial"/>
                <w:sz w:val="22"/>
                <w:szCs w:val="22"/>
              </w:rPr>
              <w:t>ΔF</w:t>
            </w:r>
            <w:r>
              <w:rPr>
                <w:rFonts w:cs="Arial"/>
                <w:sz w:val="22"/>
                <w:szCs w:val="22"/>
              </w:rPr>
              <w:t xml:space="preserve"> that </w:t>
            </w:r>
            <w:r w:rsidR="00FF4897">
              <w:rPr>
                <w:rFonts w:cs="Arial"/>
                <w:sz w:val="22"/>
                <w:szCs w:val="22"/>
              </w:rPr>
              <w:t>may optimally</w:t>
            </w:r>
            <w:r>
              <w:rPr>
                <w:rFonts w:cs="Arial"/>
                <w:sz w:val="22"/>
                <w:szCs w:val="22"/>
              </w:rPr>
              <w:t xml:space="preserve"> be used to distinguish between deleterious and benign SNVs, we have taken </w:t>
            </w:r>
            <w:r w:rsidR="005E29A6">
              <w:rPr>
                <w:rFonts w:cs="Arial"/>
                <w:sz w:val="22"/>
                <w:szCs w:val="22"/>
              </w:rPr>
              <w:t xml:space="preserve">the </w:t>
            </w:r>
            <w:r>
              <w:rPr>
                <w:rFonts w:cs="Arial"/>
                <w:sz w:val="22"/>
                <w:szCs w:val="22"/>
              </w:rPr>
              <w:t xml:space="preserve">empirical approach </w:t>
            </w:r>
            <w:r w:rsidR="005E29A6">
              <w:rPr>
                <w:rFonts w:cs="Arial"/>
                <w:sz w:val="22"/>
                <w:szCs w:val="22"/>
              </w:rPr>
              <w:t>of jointly analyzing</w:t>
            </w:r>
            <w:r>
              <w:rPr>
                <w:rFonts w:cs="Arial"/>
                <w:sz w:val="22"/>
                <w:szCs w:val="22"/>
              </w:rPr>
              <w:t xml:space="preserve"> the distributions of </w:t>
            </w:r>
            <w:r w:rsidRPr="00E35526">
              <w:rPr>
                <w:rFonts w:cs="Arial"/>
                <w:sz w:val="22"/>
                <w:szCs w:val="22"/>
              </w:rPr>
              <w:t>ΔF</w:t>
            </w:r>
            <w:r>
              <w:rPr>
                <w:rFonts w:cs="Arial"/>
                <w:sz w:val="22"/>
                <w:szCs w:val="22"/>
              </w:rPr>
              <w:t xml:space="preserve"> scores for </w:t>
            </w:r>
            <w:r w:rsidR="005E29A6">
              <w:rPr>
                <w:rFonts w:cs="Arial"/>
                <w:sz w:val="22"/>
                <w:szCs w:val="22"/>
              </w:rPr>
              <w:t>HGMD</w:t>
            </w:r>
            <w:r>
              <w:rPr>
                <w:rFonts w:cs="Arial"/>
                <w:sz w:val="22"/>
                <w:szCs w:val="22"/>
              </w:rPr>
              <w:t xml:space="preserve"> </w:t>
            </w:r>
            <w:r w:rsidR="00B858DB">
              <w:rPr>
                <w:rFonts w:cs="Arial"/>
                <w:sz w:val="22"/>
                <w:szCs w:val="22"/>
              </w:rPr>
              <w:t xml:space="preserve">(disease-associated) and </w:t>
            </w:r>
            <w:r>
              <w:rPr>
                <w:rFonts w:cs="Arial"/>
                <w:sz w:val="22"/>
                <w:szCs w:val="22"/>
              </w:rPr>
              <w:t>SNVs from ExAC (presumably benign). The details and results of this analysis are now included with</w:t>
            </w:r>
            <w:r w:rsidR="009A6888">
              <w:rPr>
                <w:rFonts w:cs="Arial"/>
                <w:sz w:val="22"/>
                <w:szCs w:val="22"/>
              </w:rPr>
              <w:t>in the Supplementary Materials (Supplementary text S3</w:t>
            </w:r>
            <w:r>
              <w:rPr>
                <w:rFonts w:cs="Arial"/>
                <w:sz w:val="22"/>
                <w:szCs w:val="22"/>
              </w:rPr>
              <w:t>)</w:t>
            </w:r>
          </w:p>
        </w:tc>
      </w:tr>
      <w:tr w:rsidR="00333FD6" w:rsidRPr="00C1590F" w14:paraId="174B869D" w14:textId="77777777" w:rsidTr="00FE3212">
        <w:tc>
          <w:tcPr>
            <w:tcW w:w="1728" w:type="dxa"/>
          </w:tcPr>
          <w:p w14:paraId="2F8ABD07" w14:textId="77777777" w:rsidR="00333FD6" w:rsidRPr="00C1590F" w:rsidRDefault="00333FD6" w:rsidP="00FE3212">
            <w:pPr>
              <w:pStyle w:val="new-text"/>
              <w:jc w:val="both"/>
            </w:pPr>
            <w:r w:rsidRPr="00C1590F">
              <w:t>Excerpt From</w:t>
            </w:r>
          </w:p>
          <w:p w14:paraId="78828A82" w14:textId="77777777" w:rsidR="00333FD6" w:rsidRPr="00C1590F" w:rsidRDefault="00333FD6" w:rsidP="00FE3212">
            <w:pPr>
              <w:pStyle w:val="new-text"/>
              <w:jc w:val="both"/>
            </w:pPr>
            <w:r w:rsidRPr="00C1590F">
              <w:t>Revised Manuscript</w:t>
            </w:r>
          </w:p>
        </w:tc>
        <w:tc>
          <w:tcPr>
            <w:tcW w:w="7200" w:type="dxa"/>
          </w:tcPr>
          <w:p w14:paraId="293A7518" w14:textId="60DAAEF5" w:rsidR="004A67A9" w:rsidRPr="004A67A9" w:rsidRDefault="004A67A9" w:rsidP="004A67A9">
            <w:pPr>
              <w:rPr>
                <w:i/>
                <w:sz w:val="18"/>
                <w:szCs w:val="18"/>
                <w:u w:val="single"/>
              </w:rPr>
            </w:pPr>
            <w:r w:rsidRPr="001464F8">
              <w:rPr>
                <w:i/>
                <w:sz w:val="18"/>
                <w:szCs w:val="18"/>
                <w:u w:val="single"/>
              </w:rPr>
              <w:t xml:space="preserve">Excerpt in the </w:t>
            </w:r>
            <w:r>
              <w:rPr>
                <w:i/>
                <w:sz w:val="18"/>
                <w:szCs w:val="18"/>
                <w:u w:val="single"/>
              </w:rPr>
              <w:t>Main Text</w:t>
            </w:r>
          </w:p>
          <w:p w14:paraId="5CD1CDB6" w14:textId="77777777" w:rsidR="004A67A9" w:rsidRPr="001464F8" w:rsidRDefault="004A67A9" w:rsidP="004A67A9">
            <w:pPr>
              <w:rPr>
                <w:sz w:val="18"/>
                <w:szCs w:val="18"/>
              </w:rPr>
            </w:pPr>
            <w:r w:rsidRPr="001464F8">
              <w:rPr>
                <w:sz w:val="18"/>
                <w:szCs w:val="18"/>
              </w:rPr>
              <w:t>The deleteriousness of an SNV is a continuous variable, and indeed, this is reflected in the continuous nature of ΔF values. However, there is still considerable value in applying a binary classification scheme to newly discovered SNVs, which may be predicted to be benign or deleterious. In order to perform such binary classification, we applied a simplified decision boundary scheme, wherein we analyzed ΔF distributions for HGMD variants (disease-associated) and SNVs from ExAC (seemingly benign). The threshold was set with the objectives of a) minimizing the fraction of HGMD SNVs with ΔF values above the threshold, and b) minimizing the fraction of ExAC SNVs with ΔF values below the threshol</w:t>
            </w:r>
            <w:r>
              <w:rPr>
                <w:sz w:val="18"/>
                <w:szCs w:val="18"/>
              </w:rPr>
              <w:t>d</w:t>
            </w:r>
            <w:r w:rsidRPr="001464F8">
              <w:rPr>
                <w:sz w:val="18"/>
                <w:szCs w:val="18"/>
              </w:rPr>
              <w:t>. Using this approach, we observed that variants with ΔF score &lt;= -1.221 can be considered deleterious. Details of this scheme are provided as part of the supporting information.</w:t>
            </w:r>
          </w:p>
          <w:p w14:paraId="76EA6D15" w14:textId="77777777" w:rsidR="002C5735" w:rsidRDefault="002C5735" w:rsidP="00FE3212">
            <w:pPr>
              <w:rPr>
                <w:sz w:val="18"/>
                <w:szCs w:val="18"/>
              </w:rPr>
            </w:pPr>
          </w:p>
          <w:p w14:paraId="2B68D398" w14:textId="24F2F088" w:rsidR="004A67A9" w:rsidRPr="004A67A9" w:rsidRDefault="004A67A9" w:rsidP="00FE3212">
            <w:pPr>
              <w:rPr>
                <w:i/>
                <w:sz w:val="18"/>
                <w:szCs w:val="18"/>
                <w:u w:val="single"/>
              </w:rPr>
            </w:pPr>
            <w:r w:rsidRPr="001464F8">
              <w:rPr>
                <w:i/>
                <w:sz w:val="18"/>
                <w:szCs w:val="18"/>
                <w:u w:val="single"/>
              </w:rPr>
              <w:t>Excerpt in the Supplement:</w:t>
            </w:r>
          </w:p>
          <w:p w14:paraId="3F4C0F26" w14:textId="112FB817" w:rsidR="00333FD6" w:rsidRPr="009A6888" w:rsidRDefault="009A6888" w:rsidP="00F85D07">
            <w:pPr>
              <w:rPr>
                <w:sz w:val="18"/>
                <w:szCs w:val="18"/>
              </w:rPr>
            </w:pPr>
            <w:r w:rsidRPr="009A6888">
              <w:rPr>
                <w:sz w:val="18"/>
                <w:szCs w:val="18"/>
              </w:rPr>
              <w:t xml:space="preserve">As discussed in the results </w:t>
            </w:r>
            <w:r w:rsidR="00623D6F" w:rsidRPr="009A6888">
              <w:rPr>
                <w:sz w:val="18"/>
                <w:szCs w:val="18"/>
              </w:rPr>
              <w:t xml:space="preserve">of the main text, disease-associated SNVs from HGMD generally induce more negative ΔF </w:t>
            </w:r>
            <w:r w:rsidR="00290520" w:rsidRPr="009A6888">
              <w:rPr>
                <w:sz w:val="18"/>
                <w:szCs w:val="18"/>
              </w:rPr>
              <w:t xml:space="preserve">values </w:t>
            </w:r>
            <w:r w:rsidR="00623D6F" w:rsidRPr="009A6888">
              <w:rPr>
                <w:sz w:val="18"/>
                <w:szCs w:val="18"/>
              </w:rPr>
              <w:t xml:space="preserve">relative to </w:t>
            </w:r>
            <w:r w:rsidR="00290520" w:rsidRPr="009A6888">
              <w:rPr>
                <w:sz w:val="18"/>
                <w:szCs w:val="18"/>
              </w:rPr>
              <w:t>benign SNVs</w:t>
            </w:r>
            <w:r w:rsidR="00623D6F" w:rsidRPr="009A6888">
              <w:rPr>
                <w:sz w:val="18"/>
                <w:szCs w:val="18"/>
              </w:rPr>
              <w:t xml:space="preserve">. Given a newly discovered SNV, is there a specific ΔF threshold that may optimally be used to classify SNVs </w:t>
            </w:r>
            <w:r w:rsidR="00290520" w:rsidRPr="009A6888">
              <w:rPr>
                <w:sz w:val="18"/>
                <w:szCs w:val="18"/>
              </w:rPr>
              <w:t xml:space="preserve">as benign or </w:t>
            </w:r>
            <w:proofErr w:type="gramStart"/>
            <w:r w:rsidR="00290520" w:rsidRPr="009A6888">
              <w:rPr>
                <w:sz w:val="18"/>
                <w:szCs w:val="18"/>
              </w:rPr>
              <w:t xml:space="preserve">deleterious </w:t>
            </w:r>
            <w:r w:rsidR="00623D6F" w:rsidRPr="009A6888">
              <w:rPr>
                <w:sz w:val="18"/>
                <w:szCs w:val="18"/>
              </w:rPr>
              <w:t>?</w:t>
            </w:r>
            <w:proofErr w:type="gramEnd"/>
            <w:r w:rsidR="00623D6F" w:rsidRPr="009A6888">
              <w:rPr>
                <w:sz w:val="18"/>
                <w:szCs w:val="18"/>
              </w:rPr>
              <w:t xml:space="preserve"> We address this issue empirically by optimizing a function </w:t>
            </w:r>
            <w:r w:rsidR="00F85D07" w:rsidRPr="009A6888">
              <w:rPr>
                <w:i/>
                <w:sz w:val="18"/>
                <w:szCs w:val="18"/>
              </w:rPr>
              <w:t>f(x)</w:t>
            </w:r>
            <w:r w:rsidR="00F85D07" w:rsidRPr="009A6888">
              <w:rPr>
                <w:sz w:val="18"/>
                <w:szCs w:val="18"/>
              </w:rPr>
              <w:t xml:space="preserve"> </w:t>
            </w:r>
            <w:r w:rsidR="0057052D" w:rsidRPr="009A6888">
              <w:rPr>
                <w:sz w:val="18"/>
                <w:szCs w:val="18"/>
              </w:rPr>
              <w:t xml:space="preserve">defined by </w:t>
            </w:r>
            <w:r w:rsidRPr="009A6888">
              <w:rPr>
                <w:sz w:val="18"/>
                <w:szCs w:val="18"/>
              </w:rPr>
              <w:t>two distributions (Supplementary figure S5)</w:t>
            </w:r>
          </w:p>
          <w:p w14:paraId="4197F294" w14:textId="77777777" w:rsidR="0057052D" w:rsidRPr="009A6888" w:rsidRDefault="0057052D" w:rsidP="00F85D07">
            <w:pPr>
              <w:rPr>
                <w:sz w:val="18"/>
                <w:szCs w:val="18"/>
              </w:rPr>
            </w:pPr>
          </w:p>
          <w:p w14:paraId="64B20886" w14:textId="7F4BF8B3" w:rsidR="0057052D" w:rsidRPr="009A6888" w:rsidRDefault="0057052D" w:rsidP="0057052D">
            <w:pPr>
              <w:jc w:val="center"/>
              <w:rPr>
                <w:i/>
                <w:sz w:val="18"/>
                <w:szCs w:val="18"/>
              </w:rPr>
            </w:pPr>
            <w:r w:rsidRPr="009A6888">
              <w:rPr>
                <w:i/>
                <w:sz w:val="18"/>
                <w:szCs w:val="18"/>
              </w:rPr>
              <w:t>f(x</w:t>
            </w:r>
            <w:proofErr w:type="gramStart"/>
            <w:r w:rsidRPr="009A6888">
              <w:rPr>
                <w:i/>
                <w:sz w:val="18"/>
                <w:szCs w:val="18"/>
              </w:rPr>
              <w:t>)  =</w:t>
            </w:r>
            <w:proofErr w:type="gramEnd"/>
            <w:r w:rsidRPr="009A6888">
              <w:rPr>
                <w:i/>
                <w:sz w:val="18"/>
                <w:szCs w:val="18"/>
              </w:rPr>
              <w:t xml:space="preserve">  h(x) + e(x)</w:t>
            </w:r>
          </w:p>
          <w:p w14:paraId="6A5B727A" w14:textId="77777777" w:rsidR="0057052D" w:rsidRPr="009A6888" w:rsidRDefault="0057052D" w:rsidP="00F85D07">
            <w:pPr>
              <w:rPr>
                <w:sz w:val="18"/>
                <w:szCs w:val="18"/>
              </w:rPr>
            </w:pPr>
          </w:p>
          <w:p w14:paraId="1506EE43" w14:textId="564D7067" w:rsidR="0057052D" w:rsidRPr="009A6888" w:rsidRDefault="0057052D" w:rsidP="0057052D">
            <w:pPr>
              <w:rPr>
                <w:sz w:val="18"/>
                <w:szCs w:val="18"/>
              </w:rPr>
            </w:pPr>
            <w:r w:rsidRPr="009A6888">
              <w:rPr>
                <w:sz w:val="18"/>
                <w:szCs w:val="18"/>
              </w:rPr>
              <w:t>Let ΔF</w:t>
            </w:r>
            <w:r w:rsidRPr="009A6888">
              <w:rPr>
                <w:sz w:val="18"/>
                <w:szCs w:val="18"/>
                <w:vertAlign w:val="subscript"/>
              </w:rPr>
              <w:t>HGMD</w:t>
            </w:r>
            <w:r w:rsidRPr="009A6888">
              <w:rPr>
                <w:sz w:val="18"/>
                <w:szCs w:val="18"/>
              </w:rPr>
              <w:t xml:space="preserve"> denote the distribution of ΔF score</w:t>
            </w:r>
            <w:r w:rsidR="00290520" w:rsidRPr="009A6888">
              <w:rPr>
                <w:sz w:val="18"/>
                <w:szCs w:val="18"/>
              </w:rPr>
              <w:t>s</w:t>
            </w:r>
            <w:r w:rsidRPr="009A6888">
              <w:rPr>
                <w:sz w:val="18"/>
                <w:szCs w:val="18"/>
              </w:rPr>
              <w:t xml:space="preserve"> induced by HGMD SNVs. </w:t>
            </w:r>
            <w:r w:rsidRPr="009A6888">
              <w:rPr>
                <w:i/>
                <w:sz w:val="18"/>
                <w:szCs w:val="18"/>
              </w:rPr>
              <w:t>h(x)</w:t>
            </w:r>
            <w:r w:rsidRPr="009A6888">
              <w:rPr>
                <w:sz w:val="18"/>
                <w:szCs w:val="18"/>
              </w:rPr>
              <w:t xml:space="preserve"> is defined to be the </w:t>
            </w:r>
            <w:r w:rsidR="00F9561A" w:rsidRPr="009A6888">
              <w:rPr>
                <w:sz w:val="18"/>
                <w:szCs w:val="18"/>
              </w:rPr>
              <w:t xml:space="preserve">difference between the </w:t>
            </w:r>
            <w:r w:rsidRPr="009A6888">
              <w:rPr>
                <w:sz w:val="18"/>
                <w:szCs w:val="18"/>
              </w:rPr>
              <w:t>fraction of ΔF</w:t>
            </w:r>
            <w:r w:rsidRPr="009A6888">
              <w:rPr>
                <w:sz w:val="18"/>
                <w:szCs w:val="18"/>
                <w:vertAlign w:val="subscript"/>
              </w:rPr>
              <w:t>HGMD</w:t>
            </w:r>
            <w:r w:rsidRPr="009A6888">
              <w:rPr>
                <w:sz w:val="18"/>
                <w:szCs w:val="18"/>
              </w:rPr>
              <w:t xml:space="preserve"> scores less than </w:t>
            </w:r>
            <w:r w:rsidRPr="009A6888">
              <w:rPr>
                <w:i/>
                <w:sz w:val="18"/>
                <w:szCs w:val="18"/>
              </w:rPr>
              <w:t>x</w:t>
            </w:r>
            <w:r w:rsidRPr="009A6888">
              <w:rPr>
                <w:sz w:val="18"/>
                <w:szCs w:val="18"/>
              </w:rPr>
              <w:t xml:space="preserve"> </w:t>
            </w:r>
            <w:r w:rsidR="00F9561A" w:rsidRPr="009A6888">
              <w:rPr>
                <w:sz w:val="18"/>
                <w:szCs w:val="18"/>
              </w:rPr>
              <w:t>(</w:t>
            </w:r>
            <w:proofErr w:type="gramStart"/>
            <w:r w:rsidR="00F9561A" w:rsidRPr="009A6888">
              <w:rPr>
                <w:i/>
                <w:sz w:val="18"/>
                <w:szCs w:val="18"/>
              </w:rPr>
              <w:t>fract</w:t>
            </w:r>
            <w:r w:rsidR="00F9561A" w:rsidRPr="009A6888">
              <w:rPr>
                <w:sz w:val="18"/>
                <w:szCs w:val="18"/>
              </w:rPr>
              <w:t>[</w:t>
            </w:r>
            <w:proofErr w:type="gramEnd"/>
            <w:r w:rsidR="00F9561A" w:rsidRPr="009A6888">
              <w:rPr>
                <w:sz w:val="18"/>
                <w:szCs w:val="18"/>
              </w:rPr>
              <w:t>ΔF</w:t>
            </w:r>
            <w:r w:rsidR="00F9561A" w:rsidRPr="009A6888">
              <w:rPr>
                <w:sz w:val="18"/>
                <w:szCs w:val="18"/>
                <w:vertAlign w:val="subscript"/>
              </w:rPr>
              <w:t xml:space="preserve">HGMD </w:t>
            </w:r>
            <w:r w:rsidR="00F9561A" w:rsidRPr="009A6888">
              <w:rPr>
                <w:sz w:val="18"/>
                <w:szCs w:val="18"/>
              </w:rPr>
              <w:t xml:space="preserve">&lt; </w:t>
            </w:r>
            <w:r w:rsidR="00F9561A" w:rsidRPr="009A6888">
              <w:rPr>
                <w:i/>
                <w:sz w:val="18"/>
                <w:szCs w:val="18"/>
              </w:rPr>
              <w:t>x</w:t>
            </w:r>
            <w:r w:rsidR="00F9561A" w:rsidRPr="009A6888">
              <w:rPr>
                <w:sz w:val="18"/>
                <w:szCs w:val="18"/>
              </w:rPr>
              <w:t>]) and</w:t>
            </w:r>
            <w:r w:rsidRPr="009A6888">
              <w:rPr>
                <w:sz w:val="18"/>
                <w:szCs w:val="18"/>
              </w:rPr>
              <w:t xml:space="preserve"> the </w:t>
            </w:r>
            <w:r w:rsidR="00F9561A" w:rsidRPr="009A6888">
              <w:rPr>
                <w:sz w:val="18"/>
                <w:szCs w:val="18"/>
              </w:rPr>
              <w:t>fraction of ΔF</w:t>
            </w:r>
            <w:r w:rsidR="00F9561A" w:rsidRPr="009A6888">
              <w:rPr>
                <w:sz w:val="18"/>
                <w:szCs w:val="18"/>
                <w:vertAlign w:val="subscript"/>
              </w:rPr>
              <w:t>HGMD</w:t>
            </w:r>
            <w:r w:rsidR="00F9561A" w:rsidRPr="009A6888">
              <w:rPr>
                <w:sz w:val="18"/>
                <w:szCs w:val="18"/>
              </w:rPr>
              <w:t xml:space="preserve"> scores greater than </w:t>
            </w:r>
            <w:r w:rsidR="00F9561A" w:rsidRPr="009A6888">
              <w:rPr>
                <w:i/>
                <w:sz w:val="18"/>
                <w:szCs w:val="18"/>
              </w:rPr>
              <w:t>x</w:t>
            </w:r>
            <w:r w:rsidR="00F9561A" w:rsidRPr="009A6888">
              <w:rPr>
                <w:sz w:val="18"/>
                <w:szCs w:val="18"/>
              </w:rPr>
              <w:t xml:space="preserve"> (</w:t>
            </w:r>
            <w:r w:rsidR="00F9561A" w:rsidRPr="009A6888">
              <w:rPr>
                <w:i/>
                <w:sz w:val="18"/>
                <w:szCs w:val="18"/>
              </w:rPr>
              <w:t>fract</w:t>
            </w:r>
            <w:r w:rsidR="00F9561A" w:rsidRPr="009A6888">
              <w:rPr>
                <w:sz w:val="18"/>
                <w:szCs w:val="18"/>
              </w:rPr>
              <w:t>[ΔF</w:t>
            </w:r>
            <w:r w:rsidR="00F9561A" w:rsidRPr="009A6888">
              <w:rPr>
                <w:sz w:val="18"/>
                <w:szCs w:val="18"/>
                <w:vertAlign w:val="subscript"/>
              </w:rPr>
              <w:t xml:space="preserve">HGMD </w:t>
            </w:r>
            <w:r w:rsidR="00F9561A" w:rsidRPr="009A6888">
              <w:rPr>
                <w:sz w:val="18"/>
                <w:szCs w:val="18"/>
              </w:rPr>
              <w:t xml:space="preserve">&gt; </w:t>
            </w:r>
            <w:r w:rsidR="00F9561A" w:rsidRPr="009A6888">
              <w:rPr>
                <w:i/>
                <w:sz w:val="18"/>
                <w:szCs w:val="18"/>
              </w:rPr>
              <w:t>x</w:t>
            </w:r>
            <w:r w:rsidR="00F9561A" w:rsidRPr="009A6888">
              <w:rPr>
                <w:sz w:val="18"/>
                <w:szCs w:val="18"/>
              </w:rPr>
              <w:t>]):</w:t>
            </w:r>
          </w:p>
          <w:p w14:paraId="05FB8B00" w14:textId="77777777" w:rsidR="00F9561A" w:rsidRPr="009A6888" w:rsidRDefault="00F9561A" w:rsidP="0057052D">
            <w:pPr>
              <w:rPr>
                <w:sz w:val="18"/>
                <w:szCs w:val="18"/>
              </w:rPr>
            </w:pPr>
          </w:p>
          <w:p w14:paraId="3B03415E" w14:textId="622762ED" w:rsidR="00F9561A" w:rsidRPr="009A6888" w:rsidRDefault="00F9561A" w:rsidP="00F9561A">
            <w:pPr>
              <w:jc w:val="center"/>
              <w:rPr>
                <w:i/>
                <w:sz w:val="18"/>
                <w:szCs w:val="18"/>
              </w:rPr>
            </w:pPr>
            <w:r w:rsidRPr="009A6888">
              <w:rPr>
                <w:i/>
                <w:sz w:val="18"/>
                <w:szCs w:val="18"/>
              </w:rPr>
              <w:t>h(x</w:t>
            </w:r>
            <w:proofErr w:type="gramStart"/>
            <w:r w:rsidRPr="009A6888">
              <w:rPr>
                <w:i/>
                <w:sz w:val="18"/>
                <w:szCs w:val="18"/>
              </w:rPr>
              <w:t>)  =</w:t>
            </w:r>
            <w:proofErr w:type="gramEnd"/>
            <w:r w:rsidRPr="009A6888">
              <w:rPr>
                <w:i/>
                <w:sz w:val="18"/>
                <w:szCs w:val="18"/>
              </w:rPr>
              <w:t xml:space="preserve">  fract</w:t>
            </w:r>
            <w:r w:rsidRPr="009A6888">
              <w:rPr>
                <w:sz w:val="18"/>
                <w:szCs w:val="18"/>
              </w:rPr>
              <w:t>[ΔF</w:t>
            </w:r>
            <w:r w:rsidRPr="009A6888">
              <w:rPr>
                <w:sz w:val="18"/>
                <w:szCs w:val="18"/>
                <w:vertAlign w:val="subscript"/>
              </w:rPr>
              <w:t>HGMD</w:t>
            </w:r>
            <w:r w:rsidRPr="009A6888">
              <w:rPr>
                <w:i/>
                <w:sz w:val="18"/>
                <w:szCs w:val="18"/>
                <w:vertAlign w:val="subscript"/>
              </w:rPr>
              <w:t xml:space="preserve"> </w:t>
            </w:r>
            <w:r w:rsidRPr="009A6888">
              <w:rPr>
                <w:i/>
                <w:sz w:val="18"/>
                <w:szCs w:val="18"/>
              </w:rPr>
              <w:t xml:space="preserve">&lt; </w:t>
            </w:r>
            <w:r w:rsidRPr="009A6888">
              <w:rPr>
                <w:sz w:val="18"/>
                <w:szCs w:val="18"/>
              </w:rPr>
              <w:t xml:space="preserve">x])  -  </w:t>
            </w:r>
            <w:r w:rsidRPr="009A6888">
              <w:rPr>
                <w:i/>
                <w:sz w:val="18"/>
                <w:szCs w:val="18"/>
              </w:rPr>
              <w:t>fract</w:t>
            </w:r>
            <w:r w:rsidRPr="009A6888">
              <w:rPr>
                <w:sz w:val="18"/>
                <w:szCs w:val="18"/>
              </w:rPr>
              <w:t>[ΔF</w:t>
            </w:r>
            <w:r w:rsidRPr="009A6888">
              <w:rPr>
                <w:i/>
                <w:sz w:val="18"/>
                <w:szCs w:val="18"/>
                <w:vertAlign w:val="subscript"/>
              </w:rPr>
              <w:t xml:space="preserve">HGMD </w:t>
            </w:r>
            <w:r w:rsidRPr="009A6888">
              <w:rPr>
                <w:i/>
                <w:sz w:val="18"/>
                <w:szCs w:val="18"/>
              </w:rPr>
              <w:t>&gt; x</w:t>
            </w:r>
            <w:r w:rsidRPr="009A6888">
              <w:rPr>
                <w:sz w:val="18"/>
                <w:szCs w:val="18"/>
              </w:rPr>
              <w:t>])</w:t>
            </w:r>
          </w:p>
          <w:p w14:paraId="6D95ADB0" w14:textId="77777777" w:rsidR="00F9561A" w:rsidRPr="009A6888" w:rsidRDefault="00F9561A" w:rsidP="0057052D">
            <w:pPr>
              <w:rPr>
                <w:sz w:val="18"/>
                <w:szCs w:val="18"/>
              </w:rPr>
            </w:pPr>
          </w:p>
          <w:p w14:paraId="3D191305" w14:textId="24F5530E" w:rsidR="00F9561A" w:rsidRPr="009A6888" w:rsidRDefault="00F9561A" w:rsidP="0057052D">
            <w:pPr>
              <w:rPr>
                <w:sz w:val="18"/>
                <w:szCs w:val="18"/>
              </w:rPr>
            </w:pPr>
            <w:r w:rsidRPr="009A6888">
              <w:rPr>
                <w:sz w:val="18"/>
                <w:szCs w:val="18"/>
              </w:rPr>
              <w:t xml:space="preserve">With </w:t>
            </w:r>
            <w:proofErr w:type="spellStart"/>
            <w:r w:rsidRPr="009A6888">
              <w:rPr>
                <w:sz w:val="18"/>
                <w:szCs w:val="18"/>
              </w:rPr>
              <w:t>ΔF</w:t>
            </w:r>
            <w:r w:rsidRPr="009A6888">
              <w:rPr>
                <w:sz w:val="18"/>
                <w:szCs w:val="18"/>
                <w:vertAlign w:val="subscript"/>
              </w:rPr>
              <w:t>ExAC</w:t>
            </w:r>
            <w:proofErr w:type="spellEnd"/>
            <w:r w:rsidRPr="009A6888">
              <w:rPr>
                <w:sz w:val="18"/>
                <w:szCs w:val="18"/>
              </w:rPr>
              <w:t xml:space="preserve"> similarly defined for the distribution of ΔF v</w:t>
            </w:r>
            <w:r w:rsidR="00290520" w:rsidRPr="009A6888">
              <w:rPr>
                <w:sz w:val="18"/>
                <w:szCs w:val="18"/>
              </w:rPr>
              <w:t>alues associated with ExAC SNVs:</w:t>
            </w:r>
          </w:p>
          <w:p w14:paraId="2630A996" w14:textId="77777777" w:rsidR="00F9561A" w:rsidRPr="009A6888" w:rsidRDefault="00F9561A" w:rsidP="0057052D">
            <w:pPr>
              <w:rPr>
                <w:sz w:val="18"/>
                <w:szCs w:val="18"/>
              </w:rPr>
            </w:pPr>
          </w:p>
          <w:p w14:paraId="0E3DEBC6" w14:textId="1C0B1862" w:rsidR="00F9561A" w:rsidRPr="009A6888" w:rsidRDefault="00F9561A" w:rsidP="00F9561A">
            <w:pPr>
              <w:jc w:val="center"/>
              <w:rPr>
                <w:i/>
                <w:sz w:val="18"/>
                <w:szCs w:val="18"/>
              </w:rPr>
            </w:pPr>
            <w:r w:rsidRPr="009A6888">
              <w:rPr>
                <w:i/>
                <w:sz w:val="18"/>
                <w:szCs w:val="18"/>
              </w:rPr>
              <w:t>e(x</w:t>
            </w:r>
            <w:proofErr w:type="gramStart"/>
            <w:r w:rsidRPr="009A6888">
              <w:rPr>
                <w:i/>
                <w:sz w:val="18"/>
                <w:szCs w:val="18"/>
              </w:rPr>
              <w:t>)  =</w:t>
            </w:r>
            <w:proofErr w:type="gramEnd"/>
            <w:r w:rsidRPr="009A6888">
              <w:rPr>
                <w:i/>
                <w:sz w:val="18"/>
                <w:szCs w:val="18"/>
              </w:rPr>
              <w:t xml:space="preserve">  fract</w:t>
            </w:r>
            <w:r w:rsidRPr="009A6888">
              <w:rPr>
                <w:sz w:val="18"/>
                <w:szCs w:val="18"/>
              </w:rPr>
              <w:t>[</w:t>
            </w:r>
            <w:proofErr w:type="spellStart"/>
            <w:r w:rsidRPr="009A6888">
              <w:rPr>
                <w:sz w:val="18"/>
                <w:szCs w:val="18"/>
              </w:rPr>
              <w:t>ΔF</w:t>
            </w:r>
            <w:r w:rsidRPr="009A6888">
              <w:rPr>
                <w:sz w:val="18"/>
                <w:szCs w:val="18"/>
                <w:vertAlign w:val="subscript"/>
              </w:rPr>
              <w:t>ExAC</w:t>
            </w:r>
            <w:proofErr w:type="spellEnd"/>
            <w:r w:rsidRPr="009A6888">
              <w:rPr>
                <w:sz w:val="18"/>
                <w:szCs w:val="18"/>
              </w:rPr>
              <w:t xml:space="preserve"> &gt; </w:t>
            </w:r>
            <w:r w:rsidRPr="009A6888">
              <w:rPr>
                <w:i/>
                <w:sz w:val="18"/>
                <w:szCs w:val="18"/>
              </w:rPr>
              <w:t>x</w:t>
            </w:r>
            <w:r w:rsidRPr="009A6888">
              <w:rPr>
                <w:sz w:val="18"/>
                <w:szCs w:val="18"/>
              </w:rPr>
              <w:t xml:space="preserve">]) </w:t>
            </w:r>
            <w:r w:rsidRPr="009A6888">
              <w:rPr>
                <w:i/>
                <w:sz w:val="18"/>
                <w:szCs w:val="18"/>
              </w:rPr>
              <w:t xml:space="preserve"> -  fract</w:t>
            </w:r>
            <w:r w:rsidRPr="009A6888">
              <w:rPr>
                <w:sz w:val="18"/>
                <w:szCs w:val="18"/>
              </w:rPr>
              <w:t>[</w:t>
            </w:r>
            <w:proofErr w:type="spellStart"/>
            <w:r w:rsidRPr="009A6888">
              <w:rPr>
                <w:sz w:val="18"/>
                <w:szCs w:val="18"/>
              </w:rPr>
              <w:t>ΔF</w:t>
            </w:r>
            <w:r w:rsidRPr="009A6888">
              <w:rPr>
                <w:sz w:val="18"/>
                <w:szCs w:val="18"/>
                <w:vertAlign w:val="subscript"/>
              </w:rPr>
              <w:t>ExAC</w:t>
            </w:r>
            <w:proofErr w:type="spellEnd"/>
            <w:r w:rsidRPr="009A6888">
              <w:rPr>
                <w:sz w:val="18"/>
                <w:szCs w:val="18"/>
              </w:rPr>
              <w:t xml:space="preserve"> &lt; </w:t>
            </w:r>
            <w:r w:rsidRPr="009A6888">
              <w:rPr>
                <w:i/>
                <w:sz w:val="18"/>
                <w:szCs w:val="18"/>
              </w:rPr>
              <w:t>x</w:t>
            </w:r>
            <w:r w:rsidRPr="009A6888">
              <w:rPr>
                <w:sz w:val="18"/>
                <w:szCs w:val="18"/>
              </w:rPr>
              <w:t>])</w:t>
            </w:r>
          </w:p>
          <w:p w14:paraId="511ADA84" w14:textId="77777777" w:rsidR="00F9561A" w:rsidRPr="009A6888" w:rsidRDefault="00F9561A" w:rsidP="0057052D">
            <w:pPr>
              <w:rPr>
                <w:sz w:val="18"/>
                <w:szCs w:val="18"/>
              </w:rPr>
            </w:pPr>
          </w:p>
          <w:p w14:paraId="20271B35" w14:textId="104C3A30" w:rsidR="00F9561A" w:rsidRPr="00C01860" w:rsidRDefault="00F9561A" w:rsidP="00290520">
            <w:pPr>
              <w:rPr>
                <w:sz w:val="22"/>
                <w:szCs w:val="22"/>
              </w:rPr>
            </w:pPr>
            <w:r w:rsidRPr="009A6888">
              <w:rPr>
                <w:sz w:val="18"/>
                <w:szCs w:val="18"/>
              </w:rPr>
              <w:t xml:space="preserve">Note that, in building the distribution of </w:t>
            </w:r>
            <w:proofErr w:type="spellStart"/>
            <w:r w:rsidRPr="009A6888">
              <w:rPr>
                <w:sz w:val="18"/>
                <w:szCs w:val="18"/>
              </w:rPr>
              <w:t>ΔF</w:t>
            </w:r>
            <w:r w:rsidR="00FB1410">
              <w:rPr>
                <w:sz w:val="18"/>
                <w:szCs w:val="18"/>
                <w:vertAlign w:val="subscript"/>
              </w:rPr>
              <w:t>ExAC</w:t>
            </w:r>
            <w:proofErr w:type="spellEnd"/>
            <w:r w:rsidR="00FB1410">
              <w:rPr>
                <w:sz w:val="18"/>
                <w:szCs w:val="18"/>
              </w:rPr>
              <w:t xml:space="preserve"> values, a random sample of ExAC</w:t>
            </w:r>
            <w:r w:rsidRPr="009A6888">
              <w:rPr>
                <w:sz w:val="18"/>
                <w:szCs w:val="18"/>
              </w:rPr>
              <w:t xml:space="preserve"> SNVs was chosen in order to match the number of SNVs in the ΔF</w:t>
            </w:r>
            <w:r w:rsidR="00FB1410">
              <w:rPr>
                <w:sz w:val="18"/>
                <w:szCs w:val="18"/>
                <w:vertAlign w:val="subscript"/>
              </w:rPr>
              <w:t>HGMD</w:t>
            </w:r>
            <w:r w:rsidRPr="009A6888">
              <w:rPr>
                <w:sz w:val="18"/>
                <w:szCs w:val="18"/>
              </w:rPr>
              <w:t xml:space="preserve"> distribution.</w:t>
            </w:r>
            <w:r w:rsidR="00FA1B1C" w:rsidRPr="009A6888">
              <w:rPr>
                <w:sz w:val="18"/>
                <w:szCs w:val="18"/>
              </w:rPr>
              <w:t xml:space="preserve"> The </w:t>
            </w:r>
            <w:r w:rsidR="00FA1B1C" w:rsidRPr="009A6888">
              <w:rPr>
                <w:i/>
                <w:sz w:val="18"/>
                <w:szCs w:val="18"/>
              </w:rPr>
              <w:t>x</w:t>
            </w:r>
            <w:r w:rsidR="00FA1B1C" w:rsidRPr="009A6888">
              <w:rPr>
                <w:sz w:val="18"/>
                <w:szCs w:val="18"/>
              </w:rPr>
              <w:t xml:space="preserve"> that maximizes the function </w:t>
            </w:r>
            <w:r w:rsidR="00FA1B1C" w:rsidRPr="009A6888">
              <w:rPr>
                <w:i/>
                <w:sz w:val="18"/>
                <w:szCs w:val="18"/>
              </w:rPr>
              <w:t>f(x)</w:t>
            </w:r>
            <w:r w:rsidR="00FA1B1C" w:rsidRPr="009A6888">
              <w:rPr>
                <w:sz w:val="18"/>
                <w:szCs w:val="18"/>
              </w:rPr>
              <w:t xml:space="preserve"> is </w:t>
            </w:r>
            <w:r w:rsidR="00290520" w:rsidRPr="009A6888">
              <w:rPr>
                <w:sz w:val="18"/>
                <w:szCs w:val="18"/>
              </w:rPr>
              <w:t>taken</w:t>
            </w:r>
            <w:r w:rsidR="00FA1B1C" w:rsidRPr="009A6888">
              <w:rPr>
                <w:sz w:val="18"/>
                <w:szCs w:val="18"/>
              </w:rPr>
              <w:t xml:space="preserve"> as the ΔF threshold for predicting whether a newly</w:t>
            </w:r>
            <w:r w:rsidR="00290520" w:rsidRPr="009A6888">
              <w:rPr>
                <w:sz w:val="18"/>
                <w:szCs w:val="18"/>
              </w:rPr>
              <w:t xml:space="preserve"> </w:t>
            </w:r>
            <w:r w:rsidR="00FA1B1C" w:rsidRPr="009A6888">
              <w:rPr>
                <w:sz w:val="18"/>
                <w:szCs w:val="18"/>
              </w:rPr>
              <w:t>discovered SNV is deleterious or benign.</w:t>
            </w:r>
            <w:r w:rsidR="00BC1BC6" w:rsidRPr="009A6888">
              <w:rPr>
                <w:sz w:val="18"/>
                <w:szCs w:val="18"/>
              </w:rPr>
              <w:t xml:space="preserve"> Using this approach, we find that this ideal threshold take</w:t>
            </w:r>
            <w:r w:rsidR="00290520" w:rsidRPr="009A6888">
              <w:rPr>
                <w:sz w:val="18"/>
                <w:szCs w:val="18"/>
              </w:rPr>
              <w:t>s</w:t>
            </w:r>
            <w:r w:rsidR="00BC1BC6" w:rsidRPr="009A6888">
              <w:rPr>
                <w:sz w:val="18"/>
                <w:szCs w:val="18"/>
              </w:rPr>
              <w:t xml:space="preserve"> a value of ΔF = -1.221.</w:t>
            </w:r>
          </w:p>
        </w:tc>
      </w:tr>
    </w:tbl>
    <w:p w14:paraId="0D830F1B" w14:textId="407EFBB9" w:rsidR="00B548DD" w:rsidRDefault="00B548DD" w:rsidP="006C3C8A">
      <w:pPr>
        <w:rPr>
          <w:rFonts w:ascii="Arial" w:eastAsia="Times New Roman" w:hAnsi="Arial"/>
          <w:b/>
          <w:kern w:val="28"/>
          <w:sz w:val="28"/>
          <w:szCs w:val="20"/>
          <w:lang w:eastAsia="en-US"/>
        </w:rPr>
      </w:pPr>
    </w:p>
    <w:p w14:paraId="2350895A" w14:textId="0C466441" w:rsidR="00333FD6" w:rsidRPr="00C1590F" w:rsidRDefault="00333FD6" w:rsidP="00333FD6">
      <w:pPr>
        <w:pStyle w:val="Heading3"/>
      </w:pPr>
      <w:r w:rsidRPr="00C1590F">
        <w:t>-- Ref</w:t>
      </w:r>
      <w:r>
        <w:t xml:space="preserve"> 1</w:t>
      </w:r>
      <w:r w:rsidRPr="00C1590F">
        <w:t>.</w:t>
      </w:r>
      <w:r>
        <w:t>5</w:t>
      </w:r>
      <w:r w:rsidRPr="00C1590F">
        <w:t xml:space="preserve"> – </w:t>
      </w:r>
      <w:r w:rsidR="000D0C98">
        <w:t>Clarification regarding p-value</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3FC5995E" w14:textId="77777777" w:rsidTr="00FE3212">
        <w:tc>
          <w:tcPr>
            <w:tcW w:w="1728" w:type="dxa"/>
          </w:tcPr>
          <w:p w14:paraId="63B2085A" w14:textId="77777777" w:rsidR="00333FD6" w:rsidRPr="00C1590F" w:rsidRDefault="00333FD6" w:rsidP="00FE3212">
            <w:pPr>
              <w:pStyle w:val="reviewer"/>
              <w:jc w:val="both"/>
            </w:pPr>
            <w:r w:rsidRPr="00C1590F">
              <w:t>Reviewer</w:t>
            </w:r>
          </w:p>
          <w:p w14:paraId="3FF7498D" w14:textId="77777777" w:rsidR="00333FD6" w:rsidRPr="00C1590F" w:rsidRDefault="00333FD6" w:rsidP="00FE3212">
            <w:pPr>
              <w:pStyle w:val="reviewer"/>
              <w:jc w:val="both"/>
            </w:pPr>
            <w:r w:rsidRPr="00C1590F">
              <w:t>Comment</w:t>
            </w:r>
          </w:p>
        </w:tc>
        <w:tc>
          <w:tcPr>
            <w:tcW w:w="7200" w:type="dxa"/>
          </w:tcPr>
          <w:p w14:paraId="0CCD6C6F" w14:textId="3A910608" w:rsidR="00333FD6" w:rsidRPr="00C1590F" w:rsidRDefault="00333FD6" w:rsidP="00FE3212">
            <w:pPr>
              <w:autoSpaceDE w:val="0"/>
              <w:autoSpaceDN w:val="0"/>
              <w:adjustRightInd w:val="0"/>
              <w:rPr>
                <w:rFonts w:ascii="Courier New" w:hAnsi="Courier New" w:cs="Courier New"/>
                <w:sz w:val="20"/>
                <w:szCs w:val="20"/>
              </w:rPr>
            </w:pPr>
            <w:r w:rsidRPr="00333FD6">
              <w:rPr>
                <w:rFonts w:ascii="Courier New" w:hAnsi="Courier New" w:cs="Courier New"/>
                <w:sz w:val="20"/>
                <w:szCs w:val="20"/>
              </w:rPr>
              <w:t>In the last paragraph of Results: Differential effects of benign and disease-associated SNVs on ∆F profiles, you stated that “In addition, disease-associated SNVs (from HGMD) result in similar frustration changes between core and surface residues (p-value &lt; 2e-16 from two-sample Wilcoxon test) (Figure 2C).” The frustration changes are similar between core and surface residues, but the p-value looks so significant (2e-16). Please confirm.</w:t>
            </w:r>
          </w:p>
        </w:tc>
      </w:tr>
      <w:tr w:rsidR="00333FD6" w:rsidRPr="00C1590F" w14:paraId="23DECA55" w14:textId="77777777" w:rsidTr="00FE3212">
        <w:tc>
          <w:tcPr>
            <w:tcW w:w="1728" w:type="dxa"/>
          </w:tcPr>
          <w:p w14:paraId="1A998A16" w14:textId="77777777" w:rsidR="00333FD6" w:rsidRPr="00B9141D" w:rsidRDefault="00333FD6" w:rsidP="00FE3212">
            <w:pPr>
              <w:pStyle w:val="author"/>
              <w:jc w:val="both"/>
              <w:rPr>
                <w:sz w:val="22"/>
                <w:szCs w:val="22"/>
              </w:rPr>
            </w:pPr>
            <w:r w:rsidRPr="00B9141D">
              <w:rPr>
                <w:sz w:val="22"/>
                <w:szCs w:val="22"/>
              </w:rPr>
              <w:t>Author</w:t>
            </w:r>
          </w:p>
          <w:p w14:paraId="0F5326CB"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0403E116" w14:textId="3CF04C10" w:rsidR="00333FD6" w:rsidRPr="0010487B" w:rsidRDefault="00A1703C" w:rsidP="009A5F18">
            <w:pPr>
              <w:pStyle w:val="author"/>
              <w:jc w:val="both"/>
              <w:rPr>
                <w:rFonts w:cs="Arial"/>
                <w:sz w:val="22"/>
                <w:szCs w:val="22"/>
              </w:rPr>
            </w:pPr>
            <w:r>
              <w:rPr>
                <w:rFonts w:cs="Arial"/>
                <w:sz w:val="22"/>
                <w:szCs w:val="22"/>
              </w:rPr>
              <w:t xml:space="preserve">We agree with reviewer that </w:t>
            </w:r>
            <w:r w:rsidR="009A5F18" w:rsidRPr="009A5F18">
              <w:rPr>
                <w:rFonts w:cs="Arial"/>
                <w:sz w:val="22"/>
                <w:szCs w:val="22"/>
              </w:rPr>
              <w:t xml:space="preserve">∆F </w:t>
            </w:r>
            <w:r w:rsidR="009A5F18">
              <w:rPr>
                <w:rFonts w:cs="Arial"/>
                <w:sz w:val="22"/>
                <w:szCs w:val="22"/>
              </w:rPr>
              <w:t>values</w:t>
            </w:r>
            <w:r>
              <w:rPr>
                <w:rFonts w:cs="Arial"/>
                <w:sz w:val="22"/>
                <w:szCs w:val="22"/>
              </w:rPr>
              <w:t xml:space="preserve"> are similar for the above-mentioned comparison</w:t>
            </w:r>
            <w:r w:rsidR="009A5F18">
              <w:rPr>
                <w:rFonts w:cs="Arial"/>
                <w:sz w:val="22"/>
                <w:szCs w:val="22"/>
              </w:rPr>
              <w:t>s</w:t>
            </w:r>
            <w:r>
              <w:rPr>
                <w:rFonts w:cs="Arial"/>
                <w:sz w:val="22"/>
                <w:szCs w:val="22"/>
              </w:rPr>
              <w:t xml:space="preserve">. Unfortunately, the p-value statement was misplaced in the original text, which was intended for the next statement </w:t>
            </w:r>
            <w:r w:rsidR="009A5F18">
              <w:rPr>
                <w:rFonts w:cs="Arial"/>
                <w:sz w:val="22"/>
                <w:szCs w:val="22"/>
              </w:rPr>
              <w:t>(</w:t>
            </w:r>
            <w:r>
              <w:rPr>
                <w:rFonts w:cs="Arial"/>
                <w:sz w:val="22"/>
                <w:szCs w:val="22"/>
              </w:rPr>
              <w:t xml:space="preserve">describing </w:t>
            </w:r>
            <w:r w:rsidR="009A5F18">
              <w:rPr>
                <w:rFonts w:cs="Arial"/>
                <w:sz w:val="22"/>
                <w:szCs w:val="22"/>
              </w:rPr>
              <w:t xml:space="preserve">the </w:t>
            </w:r>
            <w:r>
              <w:rPr>
                <w:rFonts w:cs="Arial"/>
                <w:sz w:val="22"/>
                <w:szCs w:val="22"/>
              </w:rPr>
              <w:t>comparison between HGMD core and 1KG/EXAC core residues</w:t>
            </w:r>
            <w:r w:rsidR="00FB1410">
              <w:rPr>
                <w:rFonts w:cs="Arial"/>
                <w:sz w:val="22"/>
                <w:szCs w:val="22"/>
              </w:rPr>
              <w:t>). This has now</w:t>
            </w:r>
            <w:r w:rsidR="009A5F18">
              <w:rPr>
                <w:rFonts w:cs="Arial"/>
                <w:sz w:val="22"/>
                <w:szCs w:val="22"/>
              </w:rPr>
              <w:t xml:space="preserve"> been corrected.</w:t>
            </w:r>
          </w:p>
        </w:tc>
      </w:tr>
      <w:tr w:rsidR="00333FD6" w:rsidRPr="00C1590F" w14:paraId="220BCC8B" w14:textId="77777777" w:rsidTr="00FE3212">
        <w:tc>
          <w:tcPr>
            <w:tcW w:w="1728" w:type="dxa"/>
          </w:tcPr>
          <w:p w14:paraId="3504E157" w14:textId="77777777" w:rsidR="00333FD6" w:rsidRPr="00C1590F" w:rsidRDefault="00333FD6" w:rsidP="00FE3212">
            <w:pPr>
              <w:pStyle w:val="new-text"/>
              <w:jc w:val="both"/>
            </w:pPr>
            <w:r w:rsidRPr="00C1590F">
              <w:t>Excerpt From</w:t>
            </w:r>
          </w:p>
          <w:p w14:paraId="1745A4DE" w14:textId="77777777" w:rsidR="00333FD6" w:rsidRPr="00C1590F" w:rsidRDefault="00333FD6" w:rsidP="00FE3212">
            <w:pPr>
              <w:pStyle w:val="new-text"/>
              <w:jc w:val="both"/>
            </w:pPr>
            <w:r w:rsidRPr="00C1590F">
              <w:t>Revised Manuscript</w:t>
            </w:r>
          </w:p>
        </w:tc>
        <w:tc>
          <w:tcPr>
            <w:tcW w:w="7200" w:type="dxa"/>
          </w:tcPr>
          <w:p w14:paraId="086EE9CB" w14:textId="15F5EB24" w:rsidR="00333FD6" w:rsidRPr="009A6888" w:rsidRDefault="00A1703C" w:rsidP="00CD0239">
            <w:pPr>
              <w:rPr>
                <w:sz w:val="18"/>
                <w:szCs w:val="18"/>
              </w:rPr>
            </w:pPr>
            <w:r w:rsidRPr="009A6888">
              <w:rPr>
                <w:sz w:val="18"/>
                <w:szCs w:val="18"/>
              </w:rPr>
              <w:t>“</w:t>
            </w:r>
            <w:r w:rsidRPr="009A6888">
              <w:rPr>
                <w:rFonts w:eastAsia="Times New Roman"/>
                <w:sz w:val="18"/>
                <w:szCs w:val="18"/>
              </w:rPr>
              <w:t>However, SNVs from HGMD that impact minimally frustrated core residues induce stronger perturbations than benign SNVs influencing minimally frustrated core residues (</w:t>
            </w:r>
            <w:r w:rsidRPr="009A6888">
              <w:rPr>
                <w:rFonts w:eastAsia="Times New Roman"/>
                <w:i/>
                <w:sz w:val="18"/>
                <w:szCs w:val="18"/>
              </w:rPr>
              <w:t>p-value &lt; 2e-16 from two-sample Wilcoxon test</w:t>
            </w:r>
            <w:r w:rsidRPr="009A6888">
              <w:rPr>
                <w:rFonts w:eastAsia="Times New Roman"/>
                <w:sz w:val="18"/>
                <w:szCs w:val="18"/>
              </w:rPr>
              <w:t>)”</w:t>
            </w:r>
          </w:p>
        </w:tc>
      </w:tr>
    </w:tbl>
    <w:p w14:paraId="79DA5F33" w14:textId="77777777" w:rsidR="00B548DD" w:rsidRDefault="00B548DD" w:rsidP="006C3C8A">
      <w:pPr>
        <w:rPr>
          <w:rFonts w:ascii="Arial" w:eastAsia="Times New Roman" w:hAnsi="Arial"/>
          <w:b/>
          <w:kern w:val="28"/>
          <w:sz w:val="28"/>
          <w:szCs w:val="20"/>
          <w:lang w:eastAsia="en-US"/>
        </w:rPr>
      </w:pPr>
    </w:p>
    <w:p w14:paraId="06C65F39" w14:textId="67705B97" w:rsidR="00333FD6" w:rsidRPr="00C1590F" w:rsidRDefault="00333FD6" w:rsidP="00333FD6">
      <w:pPr>
        <w:pStyle w:val="Heading3"/>
      </w:pPr>
      <w:r w:rsidRPr="00C1590F">
        <w:t>-- Ref</w:t>
      </w:r>
      <w:r>
        <w:t xml:space="preserve"> 1</w:t>
      </w:r>
      <w:r w:rsidRPr="00C1590F">
        <w:t>.</w:t>
      </w:r>
      <w:r>
        <w:t>6</w:t>
      </w:r>
      <w:r w:rsidRPr="00C1590F">
        <w:t xml:space="preserve"> –</w:t>
      </w:r>
      <w:r w:rsidR="000D0C98" w:rsidRPr="000D0C98">
        <w:t xml:space="preserve"> </w:t>
      </w:r>
      <w:r w:rsidR="000D0C98">
        <w:t xml:space="preserve">Clarification regarding p-value </w:t>
      </w:r>
      <w:r w:rsidRPr="00C1590F">
        <w:t>--</w:t>
      </w:r>
      <w:bookmarkStart w:id="0" w:name="_GoBack"/>
      <w:bookmarkEnd w:id="0"/>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0FC0EE8D" w14:textId="77777777" w:rsidTr="00FE3212">
        <w:tc>
          <w:tcPr>
            <w:tcW w:w="1728" w:type="dxa"/>
          </w:tcPr>
          <w:p w14:paraId="033FD232" w14:textId="77777777" w:rsidR="00333FD6" w:rsidRPr="00C1590F" w:rsidRDefault="00333FD6" w:rsidP="00FE3212">
            <w:pPr>
              <w:pStyle w:val="reviewer"/>
              <w:jc w:val="both"/>
            </w:pPr>
            <w:r w:rsidRPr="00C1590F">
              <w:t>Reviewer</w:t>
            </w:r>
          </w:p>
          <w:p w14:paraId="426F7C64" w14:textId="77777777" w:rsidR="00333FD6" w:rsidRPr="00C1590F" w:rsidRDefault="00333FD6" w:rsidP="00FE3212">
            <w:pPr>
              <w:pStyle w:val="reviewer"/>
              <w:jc w:val="both"/>
            </w:pPr>
            <w:r w:rsidRPr="00C1590F">
              <w:t>Comment</w:t>
            </w:r>
          </w:p>
        </w:tc>
        <w:tc>
          <w:tcPr>
            <w:tcW w:w="7200" w:type="dxa"/>
          </w:tcPr>
          <w:p w14:paraId="4A03D2F5" w14:textId="4CD369B1" w:rsidR="00333FD6" w:rsidRPr="00C1590F" w:rsidRDefault="00333FD6" w:rsidP="00FE3212">
            <w:pPr>
              <w:autoSpaceDE w:val="0"/>
              <w:autoSpaceDN w:val="0"/>
              <w:adjustRightInd w:val="0"/>
              <w:rPr>
                <w:rFonts w:ascii="Courier New" w:hAnsi="Courier New" w:cs="Courier New"/>
                <w:sz w:val="20"/>
                <w:szCs w:val="20"/>
              </w:rPr>
            </w:pPr>
            <w:r w:rsidRPr="00333FD6">
              <w:rPr>
                <w:rFonts w:ascii="Courier New" w:hAnsi="Courier New" w:cs="Courier New"/>
                <w:sz w:val="20"/>
                <w:szCs w:val="20"/>
              </w:rPr>
              <w:t>In the last paragraph of Results: Differential effects of SNVs on oncogenes and tumor-suppressor genes, you stated that “We observed that SNVs affecting TSGs induce stronger perturbations in minimally frustrated core residues relative to surface residues (p-value = 8.15e-2 from two-sample Wilcoxon test) (Figure 6A).” It seems the difference was not significant (p = 0.08), so were you able to make this conclusion?</w:t>
            </w:r>
          </w:p>
        </w:tc>
      </w:tr>
      <w:tr w:rsidR="00333FD6" w:rsidRPr="00C1590F" w14:paraId="6B112316" w14:textId="77777777" w:rsidTr="00FE3212">
        <w:tc>
          <w:tcPr>
            <w:tcW w:w="1728" w:type="dxa"/>
          </w:tcPr>
          <w:p w14:paraId="778C6020" w14:textId="77777777" w:rsidR="00333FD6" w:rsidRPr="00B9141D" w:rsidRDefault="00333FD6" w:rsidP="00FE3212">
            <w:pPr>
              <w:pStyle w:val="author"/>
              <w:jc w:val="both"/>
              <w:rPr>
                <w:sz w:val="22"/>
                <w:szCs w:val="22"/>
              </w:rPr>
            </w:pPr>
            <w:r w:rsidRPr="00B9141D">
              <w:rPr>
                <w:sz w:val="22"/>
                <w:szCs w:val="22"/>
              </w:rPr>
              <w:t>Author</w:t>
            </w:r>
          </w:p>
          <w:p w14:paraId="5F50A1B6"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3358A726" w14:textId="464FA63C" w:rsidR="00333FD6" w:rsidRPr="0010487B" w:rsidRDefault="00015949" w:rsidP="001B6BD3">
            <w:pPr>
              <w:pStyle w:val="author"/>
              <w:jc w:val="both"/>
              <w:rPr>
                <w:rFonts w:cs="Arial"/>
                <w:sz w:val="22"/>
                <w:szCs w:val="22"/>
              </w:rPr>
            </w:pPr>
            <w:r>
              <w:rPr>
                <w:rFonts w:cs="Arial"/>
                <w:sz w:val="22"/>
                <w:szCs w:val="22"/>
              </w:rPr>
              <w:t xml:space="preserve">Reviewer correctly points out that two-sided Wilcoxon test </w:t>
            </w:r>
            <w:r w:rsidR="00075E2A">
              <w:rPr>
                <w:rFonts w:cs="Arial"/>
                <w:sz w:val="22"/>
                <w:szCs w:val="22"/>
              </w:rPr>
              <w:t>p-value is higher than 0.05.</w:t>
            </w:r>
            <w:r w:rsidR="004A67A9">
              <w:rPr>
                <w:rFonts w:cs="Arial"/>
                <w:sz w:val="22"/>
                <w:szCs w:val="22"/>
              </w:rPr>
              <w:t xml:space="preserve"> </w:t>
            </w:r>
            <w:r w:rsidR="00075E2A">
              <w:rPr>
                <w:rFonts w:cs="Arial"/>
                <w:sz w:val="22"/>
                <w:szCs w:val="22"/>
              </w:rPr>
              <w:t xml:space="preserve">However, </w:t>
            </w:r>
            <w:r w:rsidR="001B6BD3">
              <w:rPr>
                <w:rFonts w:cs="Arial"/>
                <w:sz w:val="22"/>
                <w:szCs w:val="22"/>
              </w:rPr>
              <w:t>due to smaller sample size for the TSG and oncogene datasets, we also performed KS test for this comparison. KS test is considered to be very sensitive test, as it examines shape, range and median value of distribution. The t</w:t>
            </w:r>
            <w:r w:rsidR="001B6BD3">
              <w:rPr>
                <w:rFonts w:cs="Arial"/>
                <w:sz w:val="22"/>
                <w:szCs w:val="22"/>
              </w:rPr>
              <w:t xml:space="preserve">wo-sided KS test (p-value = 0.004765) indicate statistically significant difference between TSG and Oncogene frustration change distribution. </w:t>
            </w:r>
            <w:r w:rsidR="001B6BD3">
              <w:rPr>
                <w:rFonts w:cs="Arial"/>
                <w:sz w:val="22"/>
                <w:szCs w:val="22"/>
              </w:rPr>
              <w:t>As our conclusion was based on KS test, we update the corresponding text to corroborate this point.</w:t>
            </w:r>
          </w:p>
        </w:tc>
      </w:tr>
      <w:tr w:rsidR="00333FD6" w:rsidRPr="00C1590F" w14:paraId="07195D6B" w14:textId="77777777" w:rsidTr="00FE3212">
        <w:tc>
          <w:tcPr>
            <w:tcW w:w="1728" w:type="dxa"/>
          </w:tcPr>
          <w:p w14:paraId="0B7BEB5F" w14:textId="77777777" w:rsidR="00333FD6" w:rsidRPr="00C1590F" w:rsidRDefault="00333FD6" w:rsidP="00FE3212">
            <w:pPr>
              <w:pStyle w:val="new-text"/>
              <w:jc w:val="both"/>
            </w:pPr>
            <w:r w:rsidRPr="00C1590F">
              <w:t>Excerpt From</w:t>
            </w:r>
          </w:p>
          <w:p w14:paraId="2C01500A" w14:textId="77777777" w:rsidR="00333FD6" w:rsidRPr="00C1590F" w:rsidRDefault="00333FD6" w:rsidP="00FE3212">
            <w:pPr>
              <w:pStyle w:val="new-text"/>
              <w:jc w:val="both"/>
            </w:pPr>
            <w:r w:rsidRPr="00C1590F">
              <w:lastRenderedPageBreak/>
              <w:t>Revised Manuscript</w:t>
            </w:r>
          </w:p>
        </w:tc>
        <w:tc>
          <w:tcPr>
            <w:tcW w:w="7200" w:type="dxa"/>
          </w:tcPr>
          <w:p w14:paraId="5C9CD161" w14:textId="23453212" w:rsidR="00333FD6" w:rsidRPr="001B6BD3" w:rsidRDefault="009A6888" w:rsidP="00CD0239">
            <w:pPr>
              <w:rPr>
                <w:sz w:val="18"/>
                <w:szCs w:val="18"/>
                <w:highlight w:val="cyan"/>
              </w:rPr>
            </w:pPr>
            <w:r w:rsidRPr="001B6BD3">
              <w:rPr>
                <w:rFonts w:eastAsia="ＭＳ 明朝"/>
                <w:color w:val="000000"/>
                <w:sz w:val="18"/>
                <w:szCs w:val="18"/>
              </w:rPr>
              <w:lastRenderedPageBreak/>
              <w:t>“</w:t>
            </w:r>
            <w:r w:rsidR="001B6BD3" w:rsidRPr="001B6BD3">
              <w:rPr>
                <w:rFonts w:eastAsia="ＭＳ 明朝"/>
                <w:color w:val="000000"/>
                <w:sz w:val="18"/>
                <w:szCs w:val="18"/>
              </w:rPr>
              <w:t xml:space="preserve">We observed that SNVs affecting TSGs induce stronger perturbations in </w:t>
            </w:r>
            <w:r w:rsidR="001B6BD3" w:rsidRPr="001B6BD3">
              <w:rPr>
                <w:rFonts w:eastAsia="ＭＳ 明朝"/>
                <w:sz w:val="18"/>
                <w:szCs w:val="18"/>
              </w:rPr>
              <w:t>minimally frustrated</w:t>
            </w:r>
            <w:r w:rsidR="001B6BD3" w:rsidRPr="001B6BD3">
              <w:rPr>
                <w:rFonts w:eastAsia="ＭＳ 明朝"/>
                <w:color w:val="000000"/>
                <w:sz w:val="18"/>
                <w:szCs w:val="18"/>
              </w:rPr>
              <w:t xml:space="preserve"> </w:t>
            </w:r>
            <w:r w:rsidR="001B6BD3" w:rsidRPr="001B6BD3">
              <w:rPr>
                <w:rFonts w:eastAsia="ＭＳ 明朝"/>
                <w:color w:val="000000"/>
                <w:sz w:val="18"/>
                <w:szCs w:val="18"/>
              </w:rPr>
              <w:lastRenderedPageBreak/>
              <w:t>core residues relative to surface residues (</w:t>
            </w:r>
            <w:r w:rsidR="001B6BD3" w:rsidRPr="001B6BD3">
              <w:rPr>
                <w:rFonts w:eastAsia="ＭＳ 明朝"/>
                <w:i/>
                <w:color w:val="000000"/>
                <w:sz w:val="18"/>
                <w:szCs w:val="18"/>
              </w:rPr>
              <w:t>p-value = 0.004765 from two-sample KS test</w:t>
            </w:r>
            <w:r w:rsidR="001B6BD3" w:rsidRPr="001B6BD3">
              <w:rPr>
                <w:rFonts w:eastAsia="ＭＳ 明朝"/>
                <w:color w:val="000000"/>
                <w:sz w:val="18"/>
                <w:szCs w:val="18"/>
              </w:rPr>
              <w:t xml:space="preserve">) </w:t>
            </w:r>
            <w:r w:rsidRPr="001B6BD3">
              <w:rPr>
                <w:rFonts w:eastAsia="ＭＳ 明朝"/>
                <w:color w:val="000000"/>
                <w:sz w:val="18"/>
                <w:szCs w:val="18"/>
              </w:rPr>
              <w:t xml:space="preserve"> (Figure 6A).”</w:t>
            </w:r>
          </w:p>
        </w:tc>
      </w:tr>
    </w:tbl>
    <w:p w14:paraId="49831F56" w14:textId="77777777" w:rsidR="00B548DD" w:rsidRDefault="00B548DD" w:rsidP="006C3C8A">
      <w:pPr>
        <w:rPr>
          <w:rFonts w:ascii="Arial" w:eastAsia="Times New Roman" w:hAnsi="Arial"/>
          <w:b/>
          <w:kern w:val="28"/>
          <w:sz w:val="28"/>
          <w:szCs w:val="20"/>
          <w:lang w:eastAsia="en-US"/>
        </w:rPr>
      </w:pPr>
    </w:p>
    <w:p w14:paraId="6723EC43" w14:textId="77777777" w:rsidR="0065241C" w:rsidRDefault="0065241C" w:rsidP="006C3C8A">
      <w:pPr>
        <w:rPr>
          <w:rFonts w:ascii="Arial" w:eastAsia="Times New Roman" w:hAnsi="Arial"/>
          <w:b/>
          <w:kern w:val="28"/>
          <w:sz w:val="28"/>
          <w:szCs w:val="20"/>
          <w:lang w:eastAsia="en-US"/>
        </w:rPr>
      </w:pPr>
    </w:p>
    <w:p w14:paraId="26D0DB63" w14:textId="5C95EB53" w:rsidR="00333FD6" w:rsidRPr="00C1590F" w:rsidRDefault="00333FD6" w:rsidP="00333FD6">
      <w:pPr>
        <w:pStyle w:val="Heading3"/>
      </w:pPr>
      <w:r w:rsidRPr="00C1590F">
        <w:t>-- Ref</w:t>
      </w:r>
      <w:r>
        <w:t xml:space="preserve"> 1</w:t>
      </w:r>
      <w:r w:rsidRPr="00C1590F">
        <w:t>.</w:t>
      </w:r>
      <w:r>
        <w:t>7</w:t>
      </w:r>
      <w:r w:rsidRPr="00C1590F">
        <w:t xml:space="preserve"> – </w:t>
      </w:r>
      <w:r w:rsidR="000D0C98">
        <w:t>Fixing typographical &amp; grammatical errors</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33FD6" w:rsidRPr="00C1590F" w14:paraId="185F2653" w14:textId="77777777" w:rsidTr="00FE3212">
        <w:tc>
          <w:tcPr>
            <w:tcW w:w="1728" w:type="dxa"/>
          </w:tcPr>
          <w:p w14:paraId="357D1B97" w14:textId="77777777" w:rsidR="00333FD6" w:rsidRPr="00C1590F" w:rsidRDefault="00333FD6" w:rsidP="00FE3212">
            <w:pPr>
              <w:pStyle w:val="reviewer"/>
              <w:jc w:val="both"/>
            </w:pPr>
            <w:r w:rsidRPr="00C1590F">
              <w:t>Reviewer</w:t>
            </w:r>
          </w:p>
          <w:p w14:paraId="1B98334B" w14:textId="77777777" w:rsidR="00333FD6" w:rsidRPr="00C1590F" w:rsidRDefault="00333FD6" w:rsidP="00FE3212">
            <w:pPr>
              <w:pStyle w:val="reviewer"/>
              <w:jc w:val="both"/>
            </w:pPr>
            <w:r w:rsidRPr="00C1590F">
              <w:t>Comment</w:t>
            </w:r>
          </w:p>
        </w:tc>
        <w:tc>
          <w:tcPr>
            <w:tcW w:w="7200" w:type="dxa"/>
          </w:tcPr>
          <w:p w14:paraId="38F48A01" w14:textId="338238BA" w:rsidR="00333FD6" w:rsidRPr="00C1590F" w:rsidRDefault="00333FD6" w:rsidP="00FE3212">
            <w:pPr>
              <w:autoSpaceDE w:val="0"/>
              <w:autoSpaceDN w:val="0"/>
              <w:adjustRightInd w:val="0"/>
              <w:rPr>
                <w:rFonts w:ascii="Courier New" w:hAnsi="Courier New" w:cs="Courier New"/>
                <w:sz w:val="20"/>
                <w:szCs w:val="20"/>
              </w:rPr>
            </w:pPr>
            <w:r w:rsidRPr="00333FD6">
              <w:rPr>
                <w:rFonts w:ascii="Courier New" w:hAnsi="Courier New" w:cs="Courier New"/>
                <w:sz w:val="20"/>
                <w:szCs w:val="20"/>
              </w:rPr>
              <w:t>There are minor misspellings or formatting errors: (a) in Methods: SNV Datasets, “Human Genome Mutational Database” should be “Human Gene Mutation Database”; (b) in Methods: Workflow to calculate frustration paragraph 2, please use the full name of “PDB” when it was first present; (c) in Discussion paragraph 1 first sentence and paragraph 4 first sentence, “…have/has lead to…” should be “…have/has led to…”; (d) in Discussion paragraph 3 third sentence, “…have grater impact…” should be “…have greater impact…”; (e) in Discussion last paragraph the next to the last sentence, “…the affects of…” should be “…the effects of…”.</w:t>
            </w:r>
          </w:p>
        </w:tc>
      </w:tr>
      <w:tr w:rsidR="00333FD6" w:rsidRPr="00C1590F" w14:paraId="79D06C84" w14:textId="77777777" w:rsidTr="00FE3212">
        <w:tc>
          <w:tcPr>
            <w:tcW w:w="1728" w:type="dxa"/>
          </w:tcPr>
          <w:p w14:paraId="154E0F74" w14:textId="77777777" w:rsidR="00333FD6" w:rsidRPr="00B9141D" w:rsidRDefault="00333FD6" w:rsidP="00FE3212">
            <w:pPr>
              <w:pStyle w:val="author"/>
              <w:jc w:val="both"/>
              <w:rPr>
                <w:sz w:val="22"/>
                <w:szCs w:val="22"/>
              </w:rPr>
            </w:pPr>
            <w:r w:rsidRPr="00B9141D">
              <w:rPr>
                <w:sz w:val="22"/>
                <w:szCs w:val="22"/>
              </w:rPr>
              <w:t>Author</w:t>
            </w:r>
          </w:p>
          <w:p w14:paraId="6EB38BB0" w14:textId="77777777" w:rsidR="00333FD6" w:rsidRPr="00B9141D" w:rsidRDefault="00333FD6" w:rsidP="00FE3212">
            <w:pPr>
              <w:pStyle w:val="author"/>
              <w:jc w:val="both"/>
              <w:rPr>
                <w:sz w:val="22"/>
                <w:szCs w:val="22"/>
              </w:rPr>
            </w:pPr>
            <w:r w:rsidRPr="00B9141D">
              <w:rPr>
                <w:sz w:val="22"/>
                <w:szCs w:val="22"/>
              </w:rPr>
              <w:t>Response</w:t>
            </w:r>
          </w:p>
        </w:tc>
        <w:tc>
          <w:tcPr>
            <w:tcW w:w="7200" w:type="dxa"/>
          </w:tcPr>
          <w:p w14:paraId="7902C1C4" w14:textId="506693D5" w:rsidR="00333FD6" w:rsidRPr="0010487B" w:rsidRDefault="00DF223F" w:rsidP="00AE538B">
            <w:pPr>
              <w:pStyle w:val="author"/>
              <w:jc w:val="both"/>
              <w:rPr>
                <w:rFonts w:cs="Arial"/>
                <w:sz w:val="22"/>
                <w:szCs w:val="22"/>
              </w:rPr>
            </w:pPr>
            <w:r>
              <w:rPr>
                <w:rFonts w:cs="Arial"/>
                <w:sz w:val="22"/>
                <w:szCs w:val="22"/>
              </w:rPr>
              <w:t xml:space="preserve">We thank the reviewer </w:t>
            </w:r>
            <w:r w:rsidR="00CE1E4B">
              <w:rPr>
                <w:rFonts w:cs="Arial"/>
                <w:sz w:val="22"/>
                <w:szCs w:val="22"/>
              </w:rPr>
              <w:t xml:space="preserve">for </w:t>
            </w:r>
            <w:r>
              <w:rPr>
                <w:rFonts w:cs="Arial"/>
                <w:sz w:val="22"/>
                <w:szCs w:val="22"/>
              </w:rPr>
              <w:t xml:space="preserve">pointing out </w:t>
            </w:r>
            <w:r w:rsidR="005709AF">
              <w:rPr>
                <w:rFonts w:cs="Arial"/>
                <w:sz w:val="22"/>
                <w:szCs w:val="22"/>
              </w:rPr>
              <w:t>these formatting errors</w:t>
            </w:r>
            <w:r w:rsidR="00AE538B">
              <w:rPr>
                <w:rFonts w:cs="Arial"/>
                <w:sz w:val="22"/>
                <w:szCs w:val="22"/>
              </w:rPr>
              <w:t>. They have now been corrected.</w:t>
            </w:r>
          </w:p>
        </w:tc>
      </w:tr>
      <w:tr w:rsidR="00333FD6" w:rsidRPr="00C1590F" w14:paraId="36B07BDD" w14:textId="77777777" w:rsidTr="00FE3212">
        <w:tc>
          <w:tcPr>
            <w:tcW w:w="1728" w:type="dxa"/>
          </w:tcPr>
          <w:p w14:paraId="4BE00EF2" w14:textId="77777777" w:rsidR="00333FD6" w:rsidRPr="00C1590F" w:rsidRDefault="00333FD6" w:rsidP="00FE3212">
            <w:pPr>
              <w:pStyle w:val="new-text"/>
              <w:jc w:val="both"/>
            </w:pPr>
            <w:r w:rsidRPr="00C1590F">
              <w:t>Excerpt From</w:t>
            </w:r>
          </w:p>
          <w:p w14:paraId="6DAA31A7" w14:textId="77777777" w:rsidR="00333FD6" w:rsidRPr="00C1590F" w:rsidRDefault="00333FD6" w:rsidP="00FE3212">
            <w:pPr>
              <w:pStyle w:val="new-text"/>
              <w:jc w:val="both"/>
            </w:pPr>
            <w:r w:rsidRPr="00C1590F">
              <w:t>Revised Manuscript</w:t>
            </w:r>
          </w:p>
        </w:tc>
        <w:tc>
          <w:tcPr>
            <w:tcW w:w="7200" w:type="dxa"/>
          </w:tcPr>
          <w:p w14:paraId="22F9B6F5" w14:textId="77777777" w:rsidR="00333FD6" w:rsidRPr="00DC38CE" w:rsidRDefault="0014458D" w:rsidP="00FE3212">
            <w:pPr>
              <w:rPr>
                <w:sz w:val="18"/>
                <w:szCs w:val="18"/>
              </w:rPr>
            </w:pPr>
            <w:r w:rsidRPr="00DC38CE">
              <w:rPr>
                <w:sz w:val="18"/>
                <w:szCs w:val="18"/>
              </w:rPr>
              <w:t>“</w:t>
            </w:r>
            <w:r w:rsidRPr="00DC38CE">
              <w:rPr>
                <w:rFonts w:eastAsia="Times New Roman"/>
                <w:color w:val="000000"/>
                <w:sz w:val="18"/>
                <w:szCs w:val="18"/>
              </w:rPr>
              <w:t xml:space="preserve">Disease-associated dataset included SNVs from the Human Gene Mutational Database (HGMD) </w:t>
            </w:r>
            <w:r w:rsidRPr="00DC38CE">
              <w:rPr>
                <w:rFonts w:eastAsia="Times New Roman"/>
                <w:color w:val="000000"/>
                <w:sz w:val="18"/>
                <w:szCs w:val="18"/>
              </w:rPr>
              <w:fldChar w:fldCharType="begin" w:fldLock="1"/>
            </w:r>
            <w:r w:rsidRPr="00DC38CE">
              <w:rPr>
                <w:rFonts w:eastAsia="Times New Roman"/>
                <w:color w:val="000000"/>
                <w:sz w:val="18"/>
                <w:szCs w:val="18"/>
              </w:rPr>
              <w:instrText>ADDIN CSL_CITATION { "citationItems" : [ { "id" : "ITEM-1", "itemData" : { "DOI" : "10.1007/s00439-013-1358-4", "ISBN" : "0340-6717", "ISSN" : "03406717", "PMID" : "24077912", "abstract" : "The Human Gene Mutation Database (HGMD\u00ae) is a comprehensive collection of germline mutations in nuclear genes that underlie, or are associated with, human inherited disease. By June 2013, the database contained over 141,000 different lesions detected in over 5,700 different genes, with new mutation entries currently accumulating at a rate exceeding 10,000 per annum. HGMD was originally established in 1996 for the scientific study of mutational mechanisms in human genes. However, it has since acquired a much broader utility as a central unified disease-oriented mutation repository utilized by human molecular geneticists, genome scientists, molecular biologists, clinicians and genetic counsellors as well as by those specializing in biopharmaceuticals, bioinformatics and personalized genomics. The public version of HGMD (http://www.hgmd.org) is freely available to registered users from academic institutions/non-profit organizations whilst the subscription version (HGMD Professional) is available to academic, clinical and commercial users under license via BIOBASE GmbH.", "author" : [ { "dropping-particle" : "", "family" : "Stenson", "given" : "Peter D.", "non-dropping-particle" : "", "parse-names" : false, "suffix" : "" }, { "dropping-particle" : "", "family" : "Mort", "given" : "Matthew", "non-dropping-particle" : "", "parse-names" : false, "suffix" : "" }, { "dropping-particle" : "V.", "family" : "Ball", "given" : "Edward", "non-dropping-particle" : "", "parse-names" : false, "suffix" : "" }, { "dropping-particle" : "", "family" : "Shaw", "given" : "Katy", "non-dropping-particle" : "", "parse-names" : false, "suffix" : "" }, { "dropping-particle" : "", "family" : "Phillips", "given" : "Andrew D.", "non-dropping-particle" : "", "parse-names" : false, "suffix" : "" }, { "dropping-particle" : "", "family" : "Cooper", "given" : "David N.", "non-dropping-particle" : "", "parse-names" : false, "suffix" : "" } ], "container-title" : "Human Genetics", "id" : "ITEM-1", "issue" : "1", "issued" : { "date-parts" : [ [ "2014" ] ] }, "page" : "1-9", "title" : "The Human Gene Mutation Database: Building a comprehensive mutation repository for clinical and molecular genetics, diagnostic testing and personalized genomic medicine", "type" : "article", "volume" : "133" }, "uris" : [ "http://www.mendeley.com/documents/?uuid=5d399307-d348-42c2-bb9f-1cf4c9fecf55" ] } ], "mendeley" : { "formattedCitation" : "(5)", "plainTextFormattedCitation" : "(5)", "previouslyFormattedCitation" : "(5)" }, "properties" : { "noteIndex" : 0 }, "schema" : "https://github.com/citation-style-language/schema/raw/master/csl-citation.json" }</w:instrText>
            </w:r>
            <w:r w:rsidRPr="00DC38CE">
              <w:rPr>
                <w:rFonts w:eastAsia="Times New Roman"/>
                <w:color w:val="000000"/>
                <w:sz w:val="18"/>
                <w:szCs w:val="18"/>
              </w:rPr>
              <w:fldChar w:fldCharType="separate"/>
            </w:r>
            <w:r w:rsidRPr="00DC38CE">
              <w:rPr>
                <w:rFonts w:eastAsia="Times New Roman"/>
                <w:noProof/>
                <w:color w:val="000000"/>
                <w:sz w:val="18"/>
                <w:szCs w:val="18"/>
              </w:rPr>
              <w:t>(5)</w:t>
            </w:r>
            <w:r w:rsidRPr="00DC38CE">
              <w:rPr>
                <w:rFonts w:eastAsia="Times New Roman"/>
                <w:color w:val="000000"/>
                <w:sz w:val="18"/>
                <w:szCs w:val="18"/>
              </w:rPr>
              <w:fldChar w:fldCharType="end"/>
            </w:r>
            <w:r w:rsidRPr="00DC38CE">
              <w:rPr>
                <w:rFonts w:eastAsia="Times New Roman"/>
                <w:color w:val="000000"/>
                <w:sz w:val="18"/>
                <w:szCs w:val="18"/>
              </w:rPr>
              <w:t xml:space="preserve"> and pan-cancer dataset </w:t>
            </w:r>
            <w:r w:rsidRPr="00DC38CE">
              <w:rPr>
                <w:rFonts w:eastAsia="Times New Roman"/>
                <w:color w:val="000000"/>
                <w:sz w:val="18"/>
                <w:szCs w:val="18"/>
              </w:rPr>
              <w:fldChar w:fldCharType="begin" w:fldLock="1"/>
            </w:r>
            <w:r w:rsidRPr="00DC38CE">
              <w:rPr>
                <w:rFonts w:eastAsia="Times New Roman"/>
                <w:color w:val="000000"/>
                <w:sz w:val="18"/>
                <w:szCs w:val="18"/>
              </w:rPr>
              <w:instrText>ADDIN CSL_CITATION { "citationItems" : [ { "id" : "ITEM-1", "itemData" : { "DOI" : "10.1016/j.cell.2013.10.011", "ISBN" : "0092-8674", "ISSN" : "00928674", "PMID" : "24183448", "abstract" : "Summary Aneuploidy has been recognized as a hallmark of cancer for more than 100 years, yet no general theory to explain the recurring patterns of aneuploidy in cancer has emerged. Here, we develop Tumor Suppressor and Oncogene (TUSON) Explorer, a computational method that analyzes the patterns of mutational signatures in tumors and predicts the likelihood that any individual gene functions as a tumor suppressor (TSG) or oncogene (OG). By analyzing &gt;8,200 tumor-normal pairs, we provide statistical evidence suggesting that many more genes possess cancer driver properties than anticipated, forming a continuum of oncogenic potential. Integrating our driver predictions with information on somatic copy number alterations, we find that the distribution and potency of TSGs (STOP genes), OGs, and essential genes (GO genes) on chromosomes can predict the complex patterns of aneuploidy and copy number variation characteristic of cancer genomes. We propose that the cancer genome is shaped through a process of cumulative haploinsufficiency and triplosensitivity. ?? 2013 Elsevier Inc.", "author" : [ { "dropping-particle" : "", "family" : "Davoli", "given" : "Teresa", "non-dropping-particle" : "", "parse-names" : false, "suffix" : "" }, { "dropping-particle" : "", "family" : "Xu", "given" : "Andrew Wei", "non-dropping-particle" : "", "parse-names" : false, "suffix" : "" }, { "dropping-particle" : "", "family" : "Mengwasser", "given" : "Kristen E.", "non-dropping-particle" : "", "parse-names" : false, "suffix" : "" }, { "dropping-particle" : "", "family" : "Sack", "given" : "Laura M.", "non-dropping-particle" : "", "parse-names" : false, "suffix" : "" }, { "dropping-particle" : "", "family" : "Yoon", "given" : "John C.", "non-dropping-particle" : "", "parse-names" : false, "suffix" : "" }, { "dropping-particle" : "", "family" : "Park", "given" : "Peter J.", "non-dropping-particle" : "", "parse-names" : false, "suffix" : "" }, { "dropping-particle" : "", "family" : "Elledge", "given" : "Stephen J.", "non-dropping-particle" : "", "parse-names" : false, "suffix" : "" } ], "container-title" : "Cell", "id" : "ITEM-1", "issue" : "4", "issued" : { "date-parts" : [ [ "2013" ] ] }, "title" : "XCumulative haploinsufficiency and triplosensitivity drive aneuploidy patterns and shape the cancer genome", "type" : "article-journal", "volume" : "155" }, "uris" : [ "http://www.mendeley.com/documents/?uuid=11e8596d-f879-4c97-b5bf-5125ecc091ba" ] } ], "mendeley" : { "formattedCitation" : "(45)", "plainTextFormattedCitation" : "(45)", "previouslyFormattedCitation" : "(46)" }, "properties" : { "noteIndex" : 0 }, "schema" : "https://github.com/citation-style-language/schema/raw/master/csl-citation.json" }</w:instrText>
            </w:r>
            <w:r w:rsidRPr="00DC38CE">
              <w:rPr>
                <w:rFonts w:eastAsia="Times New Roman"/>
                <w:color w:val="000000"/>
                <w:sz w:val="18"/>
                <w:szCs w:val="18"/>
              </w:rPr>
              <w:fldChar w:fldCharType="separate"/>
            </w:r>
            <w:r w:rsidRPr="00DC38CE">
              <w:rPr>
                <w:rFonts w:eastAsia="Times New Roman"/>
                <w:noProof/>
                <w:color w:val="000000"/>
                <w:sz w:val="18"/>
                <w:szCs w:val="18"/>
              </w:rPr>
              <w:t>(45)</w:t>
            </w:r>
            <w:r w:rsidRPr="00DC38CE">
              <w:rPr>
                <w:rFonts w:eastAsia="Times New Roman"/>
                <w:color w:val="000000"/>
                <w:sz w:val="18"/>
                <w:szCs w:val="18"/>
              </w:rPr>
              <w:fldChar w:fldCharType="end"/>
            </w:r>
            <w:r w:rsidRPr="00DC38CE">
              <w:rPr>
                <w:rFonts w:eastAsia="Times New Roman"/>
                <w:color w:val="000000"/>
                <w:sz w:val="18"/>
                <w:szCs w:val="18"/>
              </w:rPr>
              <w:t xml:space="preserve"> comprising of publicly available somatic SNVs from The Cancer Genome Atlas (TCGA)</w:t>
            </w:r>
            <w:r w:rsidRPr="00DC38CE">
              <w:rPr>
                <w:sz w:val="18"/>
                <w:szCs w:val="18"/>
              </w:rPr>
              <w:t>“</w:t>
            </w:r>
          </w:p>
          <w:p w14:paraId="05B6B8C2" w14:textId="77777777" w:rsidR="0014458D" w:rsidRPr="00DC38CE" w:rsidRDefault="0014458D" w:rsidP="00FE3212">
            <w:pPr>
              <w:rPr>
                <w:sz w:val="18"/>
                <w:szCs w:val="18"/>
              </w:rPr>
            </w:pPr>
          </w:p>
          <w:p w14:paraId="2AFE5445" w14:textId="77777777" w:rsidR="0014458D" w:rsidRPr="00DC38CE" w:rsidRDefault="0014458D" w:rsidP="00FE3212">
            <w:pPr>
              <w:rPr>
                <w:sz w:val="18"/>
                <w:szCs w:val="18"/>
              </w:rPr>
            </w:pPr>
            <w:r w:rsidRPr="00DC38CE">
              <w:rPr>
                <w:sz w:val="18"/>
                <w:szCs w:val="18"/>
              </w:rPr>
              <w:t>“</w:t>
            </w:r>
            <w:r w:rsidRPr="00DC38CE">
              <w:rPr>
                <w:rFonts w:eastAsia="ＭＳ 明朝"/>
                <w:sz w:val="18"/>
                <w:szCs w:val="18"/>
              </w:rPr>
              <w:t xml:space="preserve">We then integrated VAT annotation with the </w:t>
            </w:r>
            <w:proofErr w:type="spellStart"/>
            <w:r w:rsidRPr="00DC38CE">
              <w:rPr>
                <w:rFonts w:eastAsia="ＭＳ 明朝"/>
                <w:sz w:val="18"/>
                <w:szCs w:val="18"/>
              </w:rPr>
              <w:t>biomart</w:t>
            </w:r>
            <w:proofErr w:type="spellEnd"/>
            <w:r w:rsidRPr="00DC38CE">
              <w:rPr>
                <w:rFonts w:eastAsia="ＭＳ 明朝"/>
                <w:sz w:val="18"/>
                <w:szCs w:val="18"/>
              </w:rPr>
              <w:t xml:space="preserve"> </w:t>
            </w:r>
            <w:r w:rsidRPr="00DC38CE">
              <w:rPr>
                <w:rFonts w:eastAsia="ＭＳ 明朝"/>
                <w:sz w:val="18"/>
                <w:szCs w:val="18"/>
              </w:rPr>
              <w:fldChar w:fldCharType="begin" w:fldLock="1"/>
            </w:r>
            <w:r w:rsidRPr="00DC38CE">
              <w:rPr>
                <w:rFonts w:eastAsia="ＭＳ 明朝"/>
                <w:sz w:val="18"/>
                <w:szCs w:val="18"/>
              </w:rPr>
              <w:instrText>ADDIN CSL_CITATION { "citationItems" : [ { "id" : "ITEM-1", "itemData" : { "DOI" : "10.1093/nar/gkv350", "ISBN" : "1362-4962 (Electronic)\\r0305-1048 (Linking)", "ISSN" : "1362-4962", "PMID" : "25897122", "abstract" : "The BioMart Community Portal (www.biomart.org) is a community-driven effort to provide a unified interface to biomedical databases that are distributed worldwide. The portal provides access to numerous database projects supported by 30 scientific organizations. It includes over 800 different biological datasets spanning genomics, proteomics, model organisms, cancer data, ontology information and more. All resources available through the portal are independently administered and funded by their host organizations. The BioMart data federation technology provides a unified interface to all the available data. The latest version of the portal comes with many new databases that have been created by our ever-growing community. It also comes with better support and extensibility for data analysis and visualization tools. A new addition to our toolbox, the enrichment analysis tool is now accessible through graphical and web service interface. The BioMart community portal averages over one million requests per day. Building on this level of service and the wealth of information that has become available, the BioMart Community Portal has introduced a new, more scalable and cheaper alternative to the large data stores maintained by specialized organizations.", "author" : [ { "dropping-particle" : "", "family" : "Smedley", "given" : "Damian", "non-dropping-particle" : "", "parse-names" : false, "suffix" : "" }, { "dropping-particle" : "", "family" : "Haider", "given" : "Syed", "non-dropping-particle" : "", "parse-names" : false, "suffix" : "" }, { "dropping-particle" : "", "family" : "Durinck", "given" : "Steffen", "non-dropping-particle" : "", "parse-names" : false, "suffix" : "" }, { "dropping-particle" : "", "family" : "Pandini", "given" : "Luca", "non-dropping-particle" : "", "parse-names" : false, "suffix" : "" }, { "dropping-particle" : "", "family" : "Provero", "given" : "Paolo", "non-dropping-particle" : "", "parse-names" : false, "suffix" : "" }, { "dropping-particle" : "", "family" : "Allen", "given" : "James", "non-dropping-particle" : "", "parse-names" : false, "suffix" : "" }, { "dropping-particle" : "", "family" : "Arnaiz", "given" : "Olivier", "non-dropping-particle" : "", "parse-names" : false, "suffix" : "" }, { "dropping-particle" : "", "family" : "Awedh", "given" : "Mohammad Hamza", "non-dropping-particle" : "", "parse-names" : false, "suffix" : "" }, { "dropping-particle" : "", "family" : "Baldock", "given" : "Richard", "non-dropping-particle" : "", "parse-names" : false, "suffix" : "" }, { "dropping-particle" : "", "family" : "Barbiera", "given" : "Giulia", "non-dropping-particle" : "", "parse-names" : false, "suffix" : "" }, { "dropping-particle" : "", "family" : "Bardou", "given" : "Philippe", "non-dropping-particle" : "", "parse-names" : false, "suffix" : "" }, { "dropping-particle" : "", "family" : "Beck", "given" : "Tim", "non-dropping-particle" : "", "parse-names" : false, "suffix" : "" }, { "dropping-particle" : "", "family" : "Blake", "given" : "Andrew", "non-dropping-particle" : "", "parse-names" : false, "suffix" : "" }, { "dropping-particle" : "", "family" : "Bonierbale", "given" : "Merideth", "non-dropping-particle" : "", "parse-names" : false, "suffix" : "" }, { "dropping-particle" : "", "family" : "Brookes", "given" : "Anthony J", "non-dropping-particle" : "", "parse-names" : false, "suffix" : "" }, { "dropping-particle" : "", "family" : "Bucci", "given" : "Gabriele", "non-dropping-particle" : "", "parse-names" : false, "suffix" : "" }, { "dropping-particle" : "", "family" : "Buetti", "given" : "Iwan", "non-dropping-particle" : "", "parse-names" : false, "suffix" : "" }, { "dropping-particle" : "", "family" : "Burge", "given" : "Sarah", "non-dropping-particle" : "", "parse-names" : false, "suffix" : "" }, { "dropping-particle" : "", "family" : "Cabau", "given" : "C\u00e9dric", "non-dropping-particle" : "", "parse-names" : false, "suffix" : "" }, { "dropping-particle" : "", "family" : "Carlson", "given" : "Joseph W", "non-dropping-particle" : "", "parse-names" : false, "suffix" : "" }, { "dropping-particle" : "", "family" : "Chelala", "given" : "Claude", "non-dropping-particle" : "", "parse-names" : false, "suffix" : "" }, { "dropping-particle" : "", "family" : "Chrysostomou", "given" : "Charalambos", "non-dropping-particle" : "", "parse-names" : false, "suffix" : "" }, { "dropping-particle" : "", "family" : "Cittaro", "given" : "Davide", "non-dropping-particle" : "", "parse-names" : false, "suffix" : "" }, { "dropping-particle" : "", "family" : "Collin", "given" : "Olivier", "non-dropping-particle" : "", "parse-names" : false, "suffix" : "" }, { "dropping-particle" : "", "family" : "Cordova", "given" : "Raul", "non-dropping-particle" : "", "parse-names" : false, "suffix" : "" }, { "dropping-particle" : "", "family" : "Cutts", "given" : "Rosalind J", "non-dropping-particle" : "", "parse-names" : false, "suffix" : "" }, { "dropping-particle" : "", "family" : "Dassi", "given" : "Erik", "non-dropping-particle" : "", "parse-names" : false, "suffix" : "" }, { "dropping-particle" : "", "family" : "Genova", "given" : "Alex", "non-dropping-particle" : "Di", "parse-names" : false, "suffix" : "" }, { "dropping-particle" : "", "family" : "Djari", "given" : "Anis", "non-dropping-particle" : "", "parse-names" : false, "suffix" : "" }, { "dropping-particle" : "", "family" : "Esposito", "given" : "Anthony", "non-dropping-particle" : "", "parse-names" : false, "suffix" : "" }, { "dropping-particle" : "", "family" : "Estrella", "given" : "Heather", "non-dropping-particle" : "", "parse-names" : false, "suffix" : "" }, { "dropping-particle" : "", "family" : "Eyras", "given" : "Eduardo", "non-dropping-particle" : "", "parse-names" : false, "suffix" : "" }, { "dropping-particle" : "", "family" : "Fernandez-Banet", "given" : "Julio", "non-dropping-particle" : "", "parse-names" : false, "suffix" : "" }, { "dropping-particle" : "", "family" : "Forbes", "given" : "Simon", "non-dropping-particle" : "", "parse-names" : false, "suffix" : "" }, { "dropping-particle" : "", "family" : "Free", "given" : "Robert C", "non-dropping-particle" : "", "parse-names" : false, "suffix" : "" }, { "dropping-particle" : "", "family" : "Fujisawa", "given" : "Takatomo", "non-dropping-particle" : "", "parse-names" : false, "suffix" : "" }, { "dropping-particle" : "", "family" : "Gadaleta", "given" : "Emanuela", "non-dropping-particle" : "", "parse-names" : false, "suffix" : "" }, { "dropping-particle" : "", "family" : "Garcia-Manteiga", "given" : "Jose M", "non-dropping-particle" : "", "parse-names" : false, "suffix" : "" }, { "dropping-particle" : "", "family" : "Goodstein", "given" : "David", "non-dropping-particle" : "", "parse-names" : false, "suffix" : "" }, { "dropping-particle" : "", "family" : "Gray", "given" : "Kristian", "non-dropping-particle" : "", "parse-names" : false, "suffix" : "" }, { "dropping-particle" : "", "family" : "Guerra-Assun\u00e7\u00e3o", "given" : "Jos\u00e9 Afonso", "non-dropping-particle" : "", "parse-names" : false, "suffix" : "" }, { "dropping-particle" : "", "family" : "Haggarty", "given" : "Bernard", "non-dropping-particle" : "", "parse-names" : false, "suffix" : "" }, { "dropping-particle" : "", "family" : "Han", "given" : "Dong-Jin", "non-dropping-particle" : "", "parse-names" : false, "suffix" : "" }, { "dropping-particle" : "", "family" : "Han", "given" : "Byung Woo", "non-dropping-particle" : "", "parse-names" : false, "suffix" : "" }, { "dropping-particle" : "", "family" : "Harris", "given" : "Todd", "non-dropping-particle" : "", "parse-names" : false, "suffix" : "" }, { "dropping-particle" : "", "family" : "Harshbarger", "given" : "Jayson", "non-dropping-particle" : "", "parse-names" : false, "suffix" : "" }, { "dropping-particle" : "", "family" : "Hastings", "given" : "Robert K", "non-dropping-particle" : "", "parse-names" : false, "suffix" : "" }, { "dropping-particle" : "", "family" : "Hayes", "given" : "Richard D", "non-dropping-particle" : "", "parse-names" : false, "suffix" : "" }, { "dropping-particle" : "", "family" : "Hoede", "given" : "Claire", "non-dropping-particle" : "", "parse-names" : false, "suffix" : "" }, { "dropping-particle" : "", "family" : "Hu", "given" : "Shen", "non-dropping-particle" : "", "parse-names" : false, "suffix" : "" }, { "dropping-particle" : "", "family" : "Hu", "given" : "Zhi-Liang", "non-dropping-particle" : "", "parse-names" : false, "suffix" : "" }, { "dropping-particle" : "", "family" : "Hutchins", "given" : "Lucie", "non-dropping-particle" : "", "parse-names" : false, "suffix" : "" }, { "dropping-particle" : "", "family" : "Kan", "given" : "Zhengyan", "non-dropping-particle" : "", "parse-names" : false, "suffix" : "" }, { "dropping-particle" : "", "family" : "Kawaji", "given" : "Hideya", "non-dropping-particle" : "", "parse-names" : false, "suffix" : "" }, { "dropping-particle" : "", "family" : "Keliet", "given" : "Aminah", "non-dropping-particle" : "", "parse-names" : false, "suffix" : "" }, { "dropping-particle" : "", "family" : "Kerhornou", "given" : "Arnaud", "non-dropping-particle" : "", "parse-names" : false, "suffix" : "" }, { "dropping-particle" : "", "family" : "Kim", "given" : "Sunghoon", "non-dropping-particle" : "", "parse-names" : false, "suffix" : "" }, { "dropping-particle" : "", "family" : "Kinsella", "given" : "Rhoda", "non-dropping-particle" : "", "parse-names" : false, "suffix" : "" }, { "dropping-particle" : "", "family" : "Klopp", "given" : "Christophe", "non-dropping-particle" : "", "parse-names" : false, "suffix" : "" }, { "dropping-particle" : "", "family" : "Kong", "given" : "Lei", "non-dropping-particle" : "", "parse-names" : false, "suffix" : "" }, { "dropping-particle" : "", "family" : "Lawson", "given" : "Daniel", "non-dropping-particle" : "", "parse-names" : false, "suffix" : "" }, { "dropping-particle" : "", "family" : "Lazarevic", "given" : "Dejan", "non-dropping-particle" : "", "parse-names" : false, "suffix" : "" }, { "dropping-particle" : "", "family" : "Lee", "given" : "Ji-Hyun", "non-dropping-particle" : "", "parse-names" : false, "suffix" : "" }, { "dropping-particle" : "", "family" : "Letellier", "given" : "Thomas", "non-dropping-particle" : "", "parse-names" : false, "suffix" : "" }, { "dropping-particle" : "", "family" : "Li", "given" : "Chuan-Yun", "non-dropping-particle" : "", "parse-names" : false, "suffix" : "" }, { "dropping-particle" : "", "family" : "Lio", "given" : "Pietro", "non-dropping-particle" : "", "parse-names" : false, "suffix" : "" }, { "dropping-particle" : "", "family" : "Liu", "given" : "Chu-Jun", "non-dropping-particle" : "", "parse-names" : false, "suffix" : "" }, { "dropping-particle" : "", "family" : "Luo", "given" : "Jie", "non-dropping-particle" : "", "parse-names" : false, "suffix" : "" }, { "dropping-particle" : "", "family" : "Maass", "given" : "Alejandro", "non-dropping-particle" : "", "parse-names" : false, "suffix" : "" }, { "dropping-particle" : "", "family" : "Mariette", "given" : "Jerome", "non-dropping-particle" : "", "parse-names" : false, "suffix" : "" }, { "dropping-particle" : "", "family" : "Maurel", "given" : "Thomas", "non-dropping-particle" : "", "parse-names" : false, "suffix" : "" }, { "dropping-particle" : "", "family" : "Merella", "given" : "Stefania", "non-dropping-particle" : "", "parse-names" : false, "suffix" : "" }, { "dropping-particle" : "", "family" : "Mohamed", "given" : "Azza Mostafa", "non-dropping-particle" : "", "parse-names" : false, "suffix" : "" }, { "dropping-particle" : "", "family" : "Moreews", "given" : "Francois", "non-dropping-particle" : "", "parse-names" : false, "suffix" : "" }, { "dropping-particle" : "", "family" : "Nabihoudine", "given" : "Ibounyamine", "non-dropping-particle" : "", "parse-names" : false, "suffix" : "" }, { "dropping-particle" : "", "family" : "Ndegwa", "given" : "Nelson", "non-dropping-particle" : "", "parse-names" : false, "suffix" : "" }, { "dropping-particle" : "", "family" : "Noirot", "given" : "C\u00e9line", "non-dropping-particle" : "", "parse-names" : false, "suffix" : "" }, { "dropping-particle" : "", "family" : "Perez-Llamas", "given" : "Cristian", "non-dropping-particle" : "", "parse-names" : false, "suffix" : "" }, { "dropping-particle" : "", "family" : "Primig", "given" : "Michael", "non-dropping-particle" : "", "parse-names" : false, "suffix" : "" }, { "dropping-particle" : "", "family" : "Quattrone", "given" : "Alessandro", "non-dropping-particle" : "", "parse-names" : false, "suffix" : "" }, { "dropping-particle" : "", "family" : "Quesneville", "given" : "Hadi", "non-dropping-particle" : "", "parse-names" : false, "suffix" : "" }, { "dropping-particle" : "", "family" : "Rambaldi", "given" : "Davide", "non-dropping-particle" : "", "parse-names" : false, "suffix" : "" }, { "dropping-particle" : "", "family" : "Reecy", "given" : "James", "non-dropping-particle" : "", "parse-names" : false, "suffix" : "" }, { "dropping-particle" : "", "family" : "Riba", "given" : "Michela", "non-dropping-particle" : "", "parse-names" : false, "suffix" : "" }, { "dropping-particle" : "", "family" : "Rosanoff", "given" : "Steven", "non-dropping-particle" : "", "parse-names" : false, "suffix" : "" }, { "dropping-particle" : "", "family" : "Saddiq", "given" : "Amna Ali", "non-dropping-particle" : "", "parse-names" : false, "suffix" : "" }, { "dropping-particle" : "", "family" : "Salas", "given" : "Elisa", "non-dropping-particle" : "", "parse-names" : false, "suffix" : "" }, { "dropping-particle" : "", "family" : "Sallou", "given" : "Olivier", "non-dropping-particle" : "", "parse-names" : false, "suffix" : "" }, { "dropping-particle" : "", "family" : "Shepherd", "given" : "Rebecca", "non-dropping-particle" : "", "parse-names" : false, "suffix" : "" }, { "dropping-particle" : "", "family" : "Simon", "given" : "Reinhard", "non-dropping-particle" : "", "parse-names" : false, "suffix" : "" }, { "dropping-particle" : "", "family" : "Sperling", "given" : "Linda", "non-dropping-particle" : "", "parse-names" : false, "suffix" : "" }, { "dropping-particle" : "", "family" : "Spooner", "given" : "William", "non-dropping-particle" : "", "parse-names" : false, "suffix" : "" }, { "dropping-particle" : "", "family" : "Staines", "given" : "Daniel M", "non-dropping-particle" : "", "parse-names" : false, "suffix" : "" }, { "dropping-particle" : "", "family" : "Steinbach", "given" : "Delphine", "non-dropping-particle" : "", "parse-names" : false, "suffix" : "" }, { "dropping-particle" : "", "family" : "Stone", "given" : "Kevin", "non-dropping-particle" : "", "parse-names" : false, "suffix" : "" }, { "dropping-particle" : "", "family" : "Stupka", "given" : "Elia", "non-dropping-particle" : "", "parse-names" : false, "suffix" : "" }, { "dropping-particle" : "", "family" : "Teague", "given" : "Jon W", "non-dropping-particle" : "", "parse-names" : false, "suffix" : "" }, { "dropping-particle" : "", "family" : "Dayem Ullah", "given" : "Abu Z", "non-dropping-particle" : "", "parse-names" : false, "suffix" : "" }, { "dropping-particle" : "", "family" : "Wang", "given" : "Jun", "non-dropping-particle" : "", "parse-names" : false, "suffix" : "" }, { "dropping-particle" : "", "family" : "Ware", "given" : "Doreen", "non-dropping-particle" : "", "parse-names" : false, "suffix" : "" }, { "dropping-particle" : "", "family" : "Wong-Erasmus", "given" : "Marie", "non-dropping-particle" : "", "parse-names" : false, "suffix" : "" }, { "dropping-particle" : "", "family" : "Youens-Clark", "given" : "Ken", "non-dropping-particle" : "", "parse-names" : false, "suffix" : "" }, { "dropping-particle" : "", "family" : "Zadissa", "given" : "Amonida", "non-dropping-particle" : "", "parse-names" : false, "suffix" : "" }, { "dropping-particle" : "", "family" : "Zhang", "given" : "Shi-Jian", "non-dropping-particle" : "", "parse-names" : false, "suffix" : "" }, { "dropping-particle" : "", "family" : "Kasprzyk", "given" : "Arek", "non-dropping-particle" : "", "parse-names" : false, "suffix" : "" } ], "container-title" : "Nucleic acids research", "id" : "ITEM-1", "issue" : "W1", "issued" : { "date-parts" : [ [ "2015" ] ] }, "page" : "W589-98", "title" : "The BioMart community portal: an innovative alternative to large, centralized data repositories.", "type" : "article-journal", "volume" : "43" }, "uris" : [ "http://www.mendeley.com/documents/?uuid=b74ef480-ae11-464b-9079-f899640028ce" ] } ], "mendeley" : { "formattedCitation" : "(53)", "plainTextFormattedCitation" : "(53)", "previouslyFormattedCitation" : "(54)" }, "properties" : { "noteIndex" : 0 }, "schema" : "https://github.com/citation-style-language/schema/raw/master/csl-citation.json" }</w:instrText>
            </w:r>
            <w:r w:rsidRPr="00DC38CE">
              <w:rPr>
                <w:rFonts w:eastAsia="ＭＳ 明朝"/>
                <w:sz w:val="18"/>
                <w:szCs w:val="18"/>
              </w:rPr>
              <w:fldChar w:fldCharType="separate"/>
            </w:r>
            <w:r w:rsidRPr="00DC38CE">
              <w:rPr>
                <w:rFonts w:eastAsia="ＭＳ 明朝"/>
                <w:noProof/>
                <w:sz w:val="18"/>
                <w:szCs w:val="18"/>
              </w:rPr>
              <w:t>(53)</w:t>
            </w:r>
            <w:r w:rsidRPr="00DC38CE">
              <w:rPr>
                <w:rFonts w:eastAsia="ＭＳ 明朝"/>
                <w:sz w:val="18"/>
                <w:szCs w:val="18"/>
              </w:rPr>
              <w:fldChar w:fldCharType="end"/>
            </w:r>
            <w:r w:rsidRPr="00DC38CE">
              <w:rPr>
                <w:rFonts w:eastAsia="ＭＳ 明朝"/>
                <w:sz w:val="18"/>
                <w:szCs w:val="18"/>
              </w:rPr>
              <w:t xml:space="preserve"> derived human gene and transcript IDs to map the SNV on to specific protein databank (PDB) structures</w:t>
            </w:r>
            <w:r w:rsidRPr="00DC38CE">
              <w:rPr>
                <w:sz w:val="18"/>
                <w:szCs w:val="18"/>
              </w:rPr>
              <w:t>“</w:t>
            </w:r>
          </w:p>
          <w:p w14:paraId="04B322EB" w14:textId="77777777" w:rsidR="0014458D" w:rsidRPr="00DC38CE" w:rsidRDefault="0014458D" w:rsidP="00FE3212">
            <w:pPr>
              <w:rPr>
                <w:sz w:val="18"/>
                <w:szCs w:val="18"/>
              </w:rPr>
            </w:pPr>
          </w:p>
          <w:p w14:paraId="258FA5B2" w14:textId="77777777" w:rsidR="0014458D" w:rsidRPr="00DC38CE" w:rsidRDefault="0014458D" w:rsidP="00FE3212">
            <w:pPr>
              <w:rPr>
                <w:sz w:val="18"/>
                <w:szCs w:val="18"/>
              </w:rPr>
            </w:pPr>
            <w:r w:rsidRPr="00DC38CE">
              <w:rPr>
                <w:sz w:val="18"/>
                <w:szCs w:val="18"/>
              </w:rPr>
              <w:t>“</w:t>
            </w:r>
            <w:r w:rsidRPr="00DC38CE">
              <w:rPr>
                <w:rFonts w:eastAsia="ＭＳ 明朝"/>
                <w:sz w:val="18"/>
                <w:szCs w:val="18"/>
              </w:rPr>
              <w:t>In the last decade, tremendous improvements in sequencing and structural biology techniques have led to growth in genomic variation and three-dimensional structural data for various proteins.</w:t>
            </w:r>
            <w:r w:rsidRPr="00DC38CE">
              <w:rPr>
                <w:sz w:val="18"/>
                <w:szCs w:val="18"/>
              </w:rPr>
              <w:t>“</w:t>
            </w:r>
          </w:p>
          <w:p w14:paraId="2F741B82" w14:textId="77777777" w:rsidR="00080B56" w:rsidRPr="00DC38CE" w:rsidRDefault="00080B56" w:rsidP="00FE3212">
            <w:pPr>
              <w:rPr>
                <w:sz w:val="18"/>
                <w:szCs w:val="18"/>
              </w:rPr>
            </w:pPr>
          </w:p>
          <w:p w14:paraId="45AE4578" w14:textId="77777777" w:rsidR="00080B56" w:rsidRPr="00DC38CE" w:rsidRDefault="00080B56" w:rsidP="00FE3212">
            <w:pPr>
              <w:rPr>
                <w:sz w:val="18"/>
                <w:szCs w:val="18"/>
              </w:rPr>
            </w:pPr>
            <w:r w:rsidRPr="00DC38CE">
              <w:rPr>
                <w:sz w:val="18"/>
                <w:szCs w:val="18"/>
              </w:rPr>
              <w:t>“</w:t>
            </w:r>
            <w:r w:rsidRPr="00DC38CE">
              <w:rPr>
                <w:rFonts w:eastAsia="ＭＳ 明朝"/>
                <w:sz w:val="18"/>
                <w:szCs w:val="18"/>
              </w:rPr>
              <w:t>This observation is intuitively consistent as one would expect rare SNVs to have greater impact on protein stability.</w:t>
            </w:r>
            <w:r w:rsidRPr="00DC38CE">
              <w:rPr>
                <w:sz w:val="18"/>
                <w:szCs w:val="18"/>
              </w:rPr>
              <w:t>“</w:t>
            </w:r>
          </w:p>
          <w:p w14:paraId="4FCD40C1" w14:textId="77777777" w:rsidR="00080B56" w:rsidRPr="00DC38CE" w:rsidRDefault="00080B56" w:rsidP="00FE3212">
            <w:pPr>
              <w:rPr>
                <w:sz w:val="18"/>
                <w:szCs w:val="18"/>
              </w:rPr>
            </w:pPr>
          </w:p>
          <w:p w14:paraId="4AAF006F" w14:textId="45DC2EA9" w:rsidR="00080B56" w:rsidRPr="00C01860" w:rsidRDefault="00080B56" w:rsidP="00FE3212">
            <w:pPr>
              <w:rPr>
                <w:sz w:val="22"/>
                <w:szCs w:val="22"/>
              </w:rPr>
            </w:pPr>
            <w:r w:rsidRPr="00DC38CE">
              <w:rPr>
                <w:sz w:val="18"/>
                <w:szCs w:val="18"/>
              </w:rPr>
              <w:t>“</w:t>
            </w:r>
            <w:r w:rsidRPr="00DC38CE">
              <w:rPr>
                <w:rFonts w:eastAsia="ＭＳ 明朝"/>
                <w:sz w:val="18"/>
                <w:szCs w:val="18"/>
              </w:rPr>
              <w:t>The proposed framework is a logical extension to some of the earlier studies, which primarily employed global metrics such as folding free energy changes to quantify the effects of genomic variants.</w:t>
            </w:r>
            <w:r w:rsidRPr="00DC38CE">
              <w:rPr>
                <w:sz w:val="18"/>
                <w:szCs w:val="18"/>
              </w:rPr>
              <w:t>“</w:t>
            </w:r>
          </w:p>
        </w:tc>
      </w:tr>
    </w:tbl>
    <w:p w14:paraId="7EA8A50D" w14:textId="77777777" w:rsidR="00333FD6" w:rsidRDefault="00333FD6" w:rsidP="006C3C8A">
      <w:pPr>
        <w:rPr>
          <w:rFonts w:ascii="Arial" w:eastAsia="Times New Roman" w:hAnsi="Arial"/>
          <w:b/>
          <w:kern w:val="28"/>
          <w:sz w:val="28"/>
          <w:szCs w:val="20"/>
          <w:lang w:eastAsia="en-US"/>
        </w:rPr>
      </w:pPr>
    </w:p>
    <w:p w14:paraId="0A42210F" w14:textId="77777777" w:rsidR="00AE538B" w:rsidRDefault="00AE538B" w:rsidP="006C3C8A">
      <w:pPr>
        <w:rPr>
          <w:rFonts w:ascii="Arial" w:eastAsia="Times New Roman" w:hAnsi="Arial"/>
          <w:b/>
          <w:kern w:val="28"/>
          <w:sz w:val="28"/>
          <w:szCs w:val="20"/>
          <w:lang w:eastAsia="en-US"/>
        </w:rPr>
      </w:pPr>
    </w:p>
    <w:p w14:paraId="62C12A7B" w14:textId="77777777" w:rsidR="00AE538B" w:rsidRDefault="00AE538B" w:rsidP="006C3C8A">
      <w:pPr>
        <w:rPr>
          <w:rFonts w:ascii="Arial" w:eastAsia="Times New Roman" w:hAnsi="Arial"/>
          <w:b/>
          <w:kern w:val="28"/>
          <w:sz w:val="28"/>
          <w:szCs w:val="20"/>
          <w:lang w:eastAsia="en-US"/>
        </w:rPr>
      </w:pPr>
    </w:p>
    <w:p w14:paraId="6335D08B" w14:textId="6735F4AB" w:rsidR="00B9141D" w:rsidRPr="0065241C" w:rsidRDefault="0065241C" w:rsidP="0065241C">
      <w:pPr>
        <w:pStyle w:val="Heading3"/>
        <w:spacing w:before="0" w:after="0"/>
      </w:pPr>
      <w:r w:rsidRPr="00C1590F">
        <w:t>Reviewer #</w:t>
      </w:r>
      <w:r>
        <w:t>2</w:t>
      </w:r>
    </w:p>
    <w:p w14:paraId="4B04E0D9" w14:textId="72007E1F" w:rsidR="00B9141D" w:rsidRPr="00C1590F" w:rsidRDefault="00B9141D" w:rsidP="00B9141D">
      <w:pPr>
        <w:pStyle w:val="Heading3"/>
      </w:pPr>
      <w:r w:rsidRPr="00C1590F">
        <w:t>-- Ref</w:t>
      </w:r>
      <w:r>
        <w:t xml:space="preserve"> 2</w:t>
      </w:r>
      <w:r w:rsidRPr="00C1590F">
        <w:t>.</w:t>
      </w:r>
      <w:r w:rsidR="0065241C">
        <w:t>0</w:t>
      </w:r>
      <w:r w:rsidRPr="00C1590F">
        <w:t xml:space="preserve"> – </w:t>
      </w:r>
      <w:r w:rsidR="000D0C98">
        <w:t>Accessibility of the method</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B9141D" w:rsidRPr="00C1590F" w14:paraId="00A22B9E" w14:textId="77777777" w:rsidTr="003F5025">
        <w:trPr>
          <w:trHeight w:val="710"/>
        </w:trPr>
        <w:tc>
          <w:tcPr>
            <w:tcW w:w="1728" w:type="dxa"/>
          </w:tcPr>
          <w:p w14:paraId="1532B54F" w14:textId="77777777" w:rsidR="00B9141D" w:rsidRPr="00C1590F" w:rsidRDefault="00B9141D" w:rsidP="00885845">
            <w:pPr>
              <w:pStyle w:val="reviewer"/>
              <w:jc w:val="both"/>
            </w:pPr>
            <w:r w:rsidRPr="00C1590F">
              <w:t>Reviewer</w:t>
            </w:r>
          </w:p>
          <w:p w14:paraId="55624E52" w14:textId="77777777" w:rsidR="00B9141D" w:rsidRPr="00C1590F" w:rsidRDefault="00B9141D" w:rsidP="00885845">
            <w:pPr>
              <w:pStyle w:val="reviewer"/>
              <w:jc w:val="both"/>
            </w:pPr>
            <w:r w:rsidRPr="00C1590F">
              <w:t>Comment</w:t>
            </w:r>
          </w:p>
        </w:tc>
        <w:tc>
          <w:tcPr>
            <w:tcW w:w="7200" w:type="dxa"/>
          </w:tcPr>
          <w:p w14:paraId="37638997" w14:textId="7C6086FF" w:rsidR="00B9141D" w:rsidRPr="00C1590F" w:rsidRDefault="00333FD6" w:rsidP="00885845">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How can your method be accessed / used by other scientists who want to </w:t>
            </w:r>
            <w:proofErr w:type="spellStart"/>
            <w:r w:rsidRPr="00333FD6">
              <w:rPr>
                <w:rFonts w:ascii="Courier New" w:hAnsi="Courier New" w:cs="Courier New"/>
                <w:sz w:val="20"/>
                <w:szCs w:val="20"/>
              </w:rPr>
              <w:t>analyse</w:t>
            </w:r>
            <w:proofErr w:type="spellEnd"/>
            <w:r w:rsidRPr="00333FD6">
              <w:rPr>
                <w:rFonts w:ascii="Courier New" w:hAnsi="Courier New" w:cs="Courier New"/>
                <w:sz w:val="20"/>
                <w:szCs w:val="20"/>
              </w:rPr>
              <w:t xml:space="preserve"> their data? I don't find a link to a website / download archive or similar.</w:t>
            </w:r>
          </w:p>
        </w:tc>
      </w:tr>
      <w:tr w:rsidR="00B9141D" w:rsidRPr="00C1590F" w14:paraId="7D014256" w14:textId="77777777" w:rsidTr="00885845">
        <w:tc>
          <w:tcPr>
            <w:tcW w:w="1728" w:type="dxa"/>
          </w:tcPr>
          <w:p w14:paraId="687003FE" w14:textId="77777777" w:rsidR="00B9141D" w:rsidRPr="00C1590F" w:rsidRDefault="00B9141D" w:rsidP="00885845">
            <w:pPr>
              <w:pStyle w:val="author"/>
              <w:jc w:val="both"/>
            </w:pPr>
            <w:r w:rsidRPr="00C1590F">
              <w:t>Author</w:t>
            </w:r>
          </w:p>
          <w:p w14:paraId="2C561EF0" w14:textId="77777777" w:rsidR="00B9141D" w:rsidRPr="00C1590F" w:rsidRDefault="00B9141D" w:rsidP="00885845">
            <w:pPr>
              <w:pStyle w:val="author"/>
              <w:jc w:val="both"/>
            </w:pPr>
            <w:r w:rsidRPr="00C1590F">
              <w:t>Response</w:t>
            </w:r>
          </w:p>
        </w:tc>
        <w:tc>
          <w:tcPr>
            <w:tcW w:w="7200" w:type="dxa"/>
          </w:tcPr>
          <w:p w14:paraId="03488573" w14:textId="5C53534F" w:rsidR="003F5025" w:rsidRPr="002E3537" w:rsidRDefault="003F5025" w:rsidP="003F5025">
            <w:pPr>
              <w:pStyle w:val="author"/>
              <w:jc w:val="both"/>
              <w:rPr>
                <w:rFonts w:cs="Arial"/>
                <w:color w:val="222222"/>
                <w:sz w:val="22"/>
                <w:szCs w:val="22"/>
              </w:rPr>
            </w:pPr>
            <w:r w:rsidRPr="002E3537">
              <w:rPr>
                <w:rFonts w:cs="Arial"/>
                <w:color w:val="222222"/>
                <w:sz w:val="22"/>
                <w:szCs w:val="22"/>
              </w:rPr>
              <w:t xml:space="preserve">We would first like to thank the reviewer for taking to time to carefully read through our study, </w:t>
            </w:r>
            <w:r w:rsidR="003A00E3">
              <w:rPr>
                <w:rFonts w:cs="Arial"/>
                <w:color w:val="222222"/>
                <w:sz w:val="22"/>
                <w:szCs w:val="22"/>
              </w:rPr>
              <w:t xml:space="preserve">as well as </w:t>
            </w:r>
            <w:r w:rsidR="00CB5158">
              <w:rPr>
                <w:rFonts w:cs="Arial"/>
                <w:color w:val="222222"/>
                <w:sz w:val="22"/>
                <w:szCs w:val="22"/>
              </w:rPr>
              <w:t xml:space="preserve">providing </w:t>
            </w:r>
            <w:r w:rsidRPr="002E3537">
              <w:rPr>
                <w:rFonts w:cs="Arial"/>
                <w:color w:val="222222"/>
                <w:sz w:val="22"/>
                <w:szCs w:val="22"/>
              </w:rPr>
              <w:t>valuable suggestions o</w:t>
            </w:r>
            <w:r>
              <w:rPr>
                <w:rFonts w:cs="Arial"/>
                <w:color w:val="222222"/>
                <w:sz w:val="22"/>
                <w:szCs w:val="22"/>
              </w:rPr>
              <w:t>n how we may improve this work.</w:t>
            </w:r>
          </w:p>
          <w:p w14:paraId="056809B1" w14:textId="77777777" w:rsidR="003F5025" w:rsidRDefault="003F5025" w:rsidP="000A08FB">
            <w:pPr>
              <w:shd w:val="clear" w:color="auto" w:fill="FFFFFF"/>
              <w:rPr>
                <w:rFonts w:eastAsia="Times New Roman"/>
                <w:color w:val="222222"/>
              </w:rPr>
            </w:pPr>
          </w:p>
          <w:p w14:paraId="6504877C" w14:textId="2E286AE5" w:rsidR="00B9141D" w:rsidRDefault="003A00E3" w:rsidP="003A00E3">
            <w:pPr>
              <w:shd w:val="clear" w:color="auto" w:fill="FFFFFF"/>
              <w:rPr>
                <w:rFonts w:eastAsia="Times New Roman"/>
                <w:color w:val="222222"/>
              </w:rPr>
            </w:pPr>
            <w:r>
              <w:rPr>
                <w:rFonts w:eastAsia="Times New Roman"/>
                <w:color w:val="222222"/>
              </w:rPr>
              <w:t xml:space="preserve">With respect to source code, we have now </w:t>
            </w:r>
            <w:r w:rsidR="009D7CBB" w:rsidRPr="000A08FB">
              <w:rPr>
                <w:rFonts w:eastAsia="Times New Roman"/>
                <w:color w:val="222222"/>
              </w:rPr>
              <w:t>provide</w:t>
            </w:r>
            <w:r>
              <w:rPr>
                <w:rFonts w:eastAsia="Times New Roman"/>
                <w:color w:val="222222"/>
              </w:rPr>
              <w:t>d</w:t>
            </w:r>
            <w:r w:rsidR="009D7CBB" w:rsidRPr="000A08FB">
              <w:rPr>
                <w:rFonts w:eastAsia="Times New Roman"/>
                <w:color w:val="222222"/>
              </w:rPr>
              <w:t xml:space="preserve"> </w:t>
            </w:r>
            <w:r>
              <w:rPr>
                <w:rFonts w:eastAsia="Times New Roman"/>
                <w:color w:val="222222"/>
              </w:rPr>
              <w:t xml:space="preserve">this content as a public resource on </w:t>
            </w:r>
            <w:proofErr w:type="spellStart"/>
            <w:r>
              <w:rPr>
                <w:rFonts w:eastAsia="Times New Roman"/>
                <w:color w:val="222222"/>
              </w:rPr>
              <w:t>github</w:t>
            </w:r>
            <w:proofErr w:type="spellEnd"/>
            <w:r w:rsidR="0000256C">
              <w:rPr>
                <w:rFonts w:eastAsia="Times New Roman"/>
                <w:color w:val="222222"/>
              </w:rPr>
              <w:t xml:space="preserve">: </w:t>
            </w:r>
            <w:hyperlink r:id="rId7" w:history="1">
              <w:r w:rsidR="0000256C" w:rsidRPr="0000256C">
                <w:rPr>
                  <w:rStyle w:val="Hyperlink"/>
                  <w:rFonts w:eastAsia="Times New Roman"/>
                </w:rPr>
                <w:t>https://github.com/gersteinlab/Frustration</w:t>
              </w:r>
            </w:hyperlink>
          </w:p>
          <w:p w14:paraId="7EED9F32" w14:textId="1E776258" w:rsidR="003A00E3" w:rsidRPr="000A08FB" w:rsidRDefault="003A00E3" w:rsidP="003A00E3">
            <w:pPr>
              <w:shd w:val="clear" w:color="auto" w:fill="FFFFFF"/>
              <w:rPr>
                <w:rFonts w:eastAsia="Times New Roman"/>
                <w:color w:val="222222"/>
              </w:rPr>
            </w:pPr>
          </w:p>
        </w:tc>
      </w:tr>
    </w:tbl>
    <w:p w14:paraId="72CD5A88" w14:textId="77777777" w:rsidR="00105E44" w:rsidRDefault="00105E44" w:rsidP="00105E44">
      <w:pPr>
        <w:rPr>
          <w:rFonts w:ascii="Arial" w:eastAsia="Times New Roman" w:hAnsi="Arial"/>
          <w:b/>
          <w:kern w:val="28"/>
          <w:sz w:val="28"/>
          <w:szCs w:val="20"/>
          <w:lang w:eastAsia="en-US"/>
        </w:rPr>
      </w:pPr>
    </w:p>
    <w:p w14:paraId="4B170A04" w14:textId="4F299BA0" w:rsidR="00105E44" w:rsidRPr="00C1590F" w:rsidRDefault="00105E44" w:rsidP="00105E44">
      <w:pPr>
        <w:pStyle w:val="Heading3"/>
      </w:pPr>
      <w:r w:rsidRPr="00C1590F">
        <w:t>-- Ref</w:t>
      </w:r>
      <w:r>
        <w:t xml:space="preserve"> 2</w:t>
      </w:r>
      <w:r w:rsidRPr="00C1590F">
        <w:t>.</w:t>
      </w:r>
      <w:r>
        <w:t>1</w:t>
      </w:r>
      <w:r w:rsidRPr="00C1590F">
        <w:t xml:space="preserve"> – </w:t>
      </w:r>
      <w:r w:rsidR="00F370A4">
        <w:t>Filtering datasets for comparisons</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05E44" w:rsidRPr="00C1590F" w14:paraId="4B6FB607" w14:textId="77777777" w:rsidTr="00885845">
        <w:tc>
          <w:tcPr>
            <w:tcW w:w="1728" w:type="dxa"/>
          </w:tcPr>
          <w:p w14:paraId="4DE829F9" w14:textId="77777777" w:rsidR="00105E44" w:rsidRPr="00C1590F" w:rsidRDefault="00105E44" w:rsidP="00885845">
            <w:pPr>
              <w:pStyle w:val="reviewer"/>
              <w:jc w:val="both"/>
            </w:pPr>
            <w:r w:rsidRPr="00C1590F">
              <w:t>Reviewer</w:t>
            </w:r>
          </w:p>
          <w:p w14:paraId="5E9F0C39" w14:textId="77777777" w:rsidR="00105E44" w:rsidRPr="00C1590F" w:rsidRDefault="00105E44" w:rsidP="00885845">
            <w:pPr>
              <w:pStyle w:val="reviewer"/>
              <w:jc w:val="both"/>
            </w:pPr>
            <w:r w:rsidRPr="00C1590F">
              <w:t>Comment</w:t>
            </w:r>
          </w:p>
        </w:tc>
        <w:tc>
          <w:tcPr>
            <w:tcW w:w="7200" w:type="dxa"/>
          </w:tcPr>
          <w:p w14:paraId="16A4CD96" w14:textId="544A9428" w:rsidR="00105E44" w:rsidRPr="00C1590F" w:rsidRDefault="00333FD6" w:rsidP="00885845">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Concerning the datasets used for </w:t>
            </w:r>
            <w:r w:rsidR="00CB5158">
              <w:rPr>
                <w:rFonts w:ascii="Courier New" w:hAnsi="Courier New" w:cs="Courier New"/>
                <w:sz w:val="20"/>
                <w:szCs w:val="20"/>
              </w:rPr>
              <w:t xml:space="preserve">benign and disease-causing SNVs. </w:t>
            </w:r>
            <w:r w:rsidRPr="00333FD6">
              <w:rPr>
                <w:rFonts w:ascii="Courier New" w:hAnsi="Courier New" w:cs="Courier New"/>
                <w:sz w:val="20"/>
                <w:szCs w:val="20"/>
              </w:rPr>
              <w:t>Which variants from HGMD were included? As far as I know, there are different categories of variants in HGMD: DM=Disease causing (pathological) mutation, DM? = Likely disease causing (likely pathological) mutation, DP=Disease associated polymorphism, DFP=Disease associated polymorphism with additional supporting functional evidence, FTV=</w:t>
            </w:r>
            <w:proofErr w:type="spellStart"/>
            <w:r w:rsidRPr="00333FD6">
              <w:rPr>
                <w:rFonts w:ascii="Courier New" w:hAnsi="Courier New" w:cs="Courier New"/>
                <w:sz w:val="20"/>
                <w:szCs w:val="20"/>
              </w:rPr>
              <w:t>Frameshift</w:t>
            </w:r>
            <w:proofErr w:type="spellEnd"/>
            <w:r w:rsidRPr="00333FD6">
              <w:rPr>
                <w:rFonts w:ascii="Courier New" w:hAnsi="Courier New" w:cs="Courier New"/>
                <w:sz w:val="20"/>
                <w:szCs w:val="20"/>
              </w:rPr>
              <w:t xml:space="preserve"> or truncating variant with no disease association reported yet, FP=Polymorphism affecting the structure, function or expression of a gene but with no disease association reported yet. In order to create a </w:t>
            </w:r>
            <w:proofErr w:type="spellStart"/>
            <w:r w:rsidRPr="00333FD6">
              <w:rPr>
                <w:rFonts w:ascii="Courier New" w:hAnsi="Courier New" w:cs="Courier New"/>
                <w:sz w:val="20"/>
                <w:szCs w:val="20"/>
              </w:rPr>
              <w:t>testset</w:t>
            </w:r>
            <w:proofErr w:type="spellEnd"/>
            <w:r w:rsidRPr="00333FD6">
              <w:rPr>
                <w:rFonts w:ascii="Courier New" w:hAnsi="Courier New" w:cs="Courier New"/>
                <w:sz w:val="20"/>
                <w:szCs w:val="20"/>
              </w:rPr>
              <w:t xml:space="preserve"> of "disease mutations", all categories except for DM should be avoided in order to make sure that the test data ha</w:t>
            </w:r>
            <w:r>
              <w:rPr>
                <w:rFonts w:ascii="Courier New" w:hAnsi="Courier New" w:cs="Courier New"/>
                <w:sz w:val="20"/>
                <w:szCs w:val="20"/>
              </w:rPr>
              <w:t xml:space="preserve">s the highest possible quality. </w:t>
            </w:r>
            <w:r w:rsidRPr="00333FD6">
              <w:rPr>
                <w:rFonts w:ascii="Courier New" w:hAnsi="Courier New" w:cs="Courier New"/>
                <w:sz w:val="20"/>
                <w:szCs w:val="20"/>
              </w:rPr>
              <w:t>Variants which were found in association studies are not suitable to go into a test set of disease mutations, since there is only an association between the variant and the disease and not a proven functional link.</w:t>
            </w:r>
            <w:r w:rsidRPr="00333FD6">
              <w:rPr>
                <w:rFonts w:ascii="Courier New" w:hAnsi="Courier New" w:cs="Courier New"/>
                <w:sz w:val="20"/>
                <w:szCs w:val="20"/>
              </w:rPr>
              <w:br/>
              <w:t>The same applies for the data taken from 1000G and ExAC: Although these are generally denoted "common", there are significant differences in the genotype frequencies and MAFs of the variants. Especially in the ExAC data, variants which are associated with a specific clinical phenotype might be included. Moreover, there are also variants from TCGA (which went into your disease</w:t>
            </w:r>
            <w:r w:rsidR="00CB5158">
              <w:rPr>
                <w:rFonts w:ascii="Courier New" w:hAnsi="Courier New" w:cs="Courier New"/>
                <w:sz w:val="20"/>
                <w:szCs w:val="20"/>
              </w:rPr>
              <w:t xml:space="preserve">-variant set) included in </w:t>
            </w:r>
            <w:proofErr w:type="spellStart"/>
            <w:r w:rsidR="00CB5158">
              <w:rPr>
                <w:rFonts w:ascii="Courier New" w:hAnsi="Courier New" w:cs="Courier New"/>
                <w:sz w:val="20"/>
                <w:szCs w:val="20"/>
              </w:rPr>
              <w:t>ExAC.</w:t>
            </w:r>
            <w:r w:rsidRPr="00333FD6">
              <w:rPr>
                <w:rFonts w:ascii="Courier New" w:hAnsi="Courier New" w:cs="Courier New"/>
                <w:sz w:val="20"/>
                <w:szCs w:val="20"/>
              </w:rPr>
              <w:t>Did</w:t>
            </w:r>
            <w:proofErr w:type="spellEnd"/>
            <w:r w:rsidRPr="00333FD6">
              <w:rPr>
                <w:rFonts w:ascii="Courier New" w:hAnsi="Courier New" w:cs="Courier New"/>
                <w:sz w:val="20"/>
                <w:szCs w:val="20"/>
              </w:rPr>
              <w:t xml:space="preserve"> you chose a certain threshold for genotype frequency or MAF, above which you considered a 1000G / ExAC variant as common enough to be harmless/benign? If yes, this should go to the paper/supplement, if no, you should restrict the dataset to a somewhat smaller subset of variants, according to a sensible threshold. Moreover, did you cross-check if there are HGMD variants, which are also present in the 1000G/ExAC data? This also happened in the past.</w:t>
            </w:r>
          </w:p>
        </w:tc>
      </w:tr>
      <w:tr w:rsidR="00105E44" w:rsidRPr="00C1590F" w14:paraId="71F28068" w14:textId="77777777" w:rsidTr="00885845">
        <w:tc>
          <w:tcPr>
            <w:tcW w:w="1728" w:type="dxa"/>
          </w:tcPr>
          <w:p w14:paraId="17A70FC6" w14:textId="77777777" w:rsidR="00105E44" w:rsidRPr="00B9141D" w:rsidRDefault="00105E44" w:rsidP="00885845">
            <w:pPr>
              <w:pStyle w:val="author"/>
              <w:jc w:val="both"/>
              <w:rPr>
                <w:sz w:val="22"/>
                <w:szCs w:val="22"/>
              </w:rPr>
            </w:pPr>
            <w:r w:rsidRPr="00B9141D">
              <w:rPr>
                <w:sz w:val="22"/>
                <w:szCs w:val="22"/>
              </w:rPr>
              <w:t>Author</w:t>
            </w:r>
          </w:p>
          <w:p w14:paraId="7F14E19D" w14:textId="77777777" w:rsidR="00105E44" w:rsidRPr="00B9141D" w:rsidRDefault="00105E44" w:rsidP="00885845">
            <w:pPr>
              <w:pStyle w:val="author"/>
              <w:jc w:val="both"/>
              <w:rPr>
                <w:sz w:val="22"/>
                <w:szCs w:val="22"/>
              </w:rPr>
            </w:pPr>
            <w:r w:rsidRPr="00B9141D">
              <w:rPr>
                <w:sz w:val="22"/>
                <w:szCs w:val="22"/>
              </w:rPr>
              <w:t>Response</w:t>
            </w:r>
          </w:p>
        </w:tc>
        <w:tc>
          <w:tcPr>
            <w:tcW w:w="7200" w:type="dxa"/>
          </w:tcPr>
          <w:p w14:paraId="2277F3FE" w14:textId="214A11E0" w:rsidR="00EB58A2" w:rsidRDefault="00CE1E4B" w:rsidP="00CE1E4B">
            <w:pPr>
              <w:pStyle w:val="author"/>
              <w:jc w:val="both"/>
              <w:rPr>
                <w:rFonts w:cs="Arial"/>
              </w:rPr>
            </w:pPr>
            <w:r>
              <w:rPr>
                <w:rFonts w:cs="Arial"/>
              </w:rPr>
              <w:t>We thank the reviewer for these valuable suggestions.</w:t>
            </w:r>
            <w:r w:rsidR="00DF1D07">
              <w:rPr>
                <w:rFonts w:cs="Arial"/>
              </w:rPr>
              <w:t xml:space="preserve"> </w:t>
            </w:r>
            <w:r>
              <w:rPr>
                <w:rFonts w:cs="Arial"/>
              </w:rPr>
              <w:t xml:space="preserve">We </w:t>
            </w:r>
            <w:r w:rsidR="0028647F">
              <w:rPr>
                <w:rFonts w:cs="Arial"/>
              </w:rPr>
              <w:t xml:space="preserve">have </w:t>
            </w:r>
            <w:r w:rsidR="00EB58A2">
              <w:rPr>
                <w:rFonts w:cs="Arial"/>
              </w:rPr>
              <w:t>updated our datasets such that:</w:t>
            </w:r>
          </w:p>
          <w:p w14:paraId="61922E8F" w14:textId="23E766C5" w:rsidR="00EB58A2" w:rsidRDefault="00CE1E4B" w:rsidP="00CE1E4B">
            <w:pPr>
              <w:pStyle w:val="author"/>
              <w:jc w:val="both"/>
              <w:rPr>
                <w:rFonts w:cs="Arial"/>
              </w:rPr>
            </w:pPr>
            <w:r>
              <w:rPr>
                <w:rFonts w:cs="Arial"/>
              </w:rPr>
              <w:t xml:space="preserve"> </w:t>
            </w:r>
            <w:r w:rsidR="00EB58A2">
              <w:rPr>
                <w:rFonts w:cs="Arial"/>
              </w:rPr>
              <w:t xml:space="preserve">    </w:t>
            </w:r>
            <w:r>
              <w:rPr>
                <w:rFonts w:cs="Arial"/>
              </w:rPr>
              <w:t xml:space="preserve">1) </w:t>
            </w:r>
            <w:r w:rsidR="00F53C69">
              <w:rPr>
                <w:rFonts w:cs="Arial"/>
              </w:rPr>
              <w:t xml:space="preserve">we only keep </w:t>
            </w:r>
            <w:r>
              <w:rPr>
                <w:rFonts w:cs="Arial"/>
              </w:rPr>
              <w:t xml:space="preserve">HGMD variants with </w:t>
            </w:r>
            <w:r w:rsidR="00EB58A2">
              <w:rPr>
                <w:rFonts w:cs="Arial"/>
              </w:rPr>
              <w:t>the status label “</w:t>
            </w:r>
            <w:r>
              <w:rPr>
                <w:rFonts w:cs="Arial"/>
              </w:rPr>
              <w:t>DM</w:t>
            </w:r>
            <w:r w:rsidR="00EB58A2">
              <w:rPr>
                <w:rFonts w:cs="Arial"/>
              </w:rPr>
              <w:t>”</w:t>
            </w:r>
            <w:r w:rsidR="00F53C69">
              <w:rPr>
                <w:rFonts w:cs="Arial"/>
              </w:rPr>
              <w:t>;</w:t>
            </w:r>
          </w:p>
          <w:p w14:paraId="6C35F440" w14:textId="77777777" w:rsidR="00F53C69" w:rsidRDefault="00EB58A2" w:rsidP="00CE1E4B">
            <w:pPr>
              <w:pStyle w:val="author"/>
              <w:jc w:val="both"/>
              <w:rPr>
                <w:rFonts w:cs="Arial"/>
              </w:rPr>
            </w:pPr>
            <w:r>
              <w:rPr>
                <w:rFonts w:cs="Arial"/>
              </w:rPr>
              <w:t xml:space="preserve">     </w:t>
            </w:r>
            <w:r w:rsidR="00CE1E4B">
              <w:rPr>
                <w:rFonts w:cs="Arial"/>
              </w:rPr>
              <w:t xml:space="preserve">2) </w:t>
            </w:r>
            <w:r w:rsidR="00F53C69">
              <w:rPr>
                <w:rFonts w:cs="Arial"/>
              </w:rPr>
              <w:t xml:space="preserve">we have </w:t>
            </w:r>
            <w:r w:rsidR="00CE1E4B">
              <w:rPr>
                <w:rFonts w:cs="Arial"/>
              </w:rPr>
              <w:t>removed HGMD and TCGA variants present in ExAC</w:t>
            </w:r>
            <w:r w:rsidR="00F53C69">
              <w:rPr>
                <w:rFonts w:cs="Arial"/>
              </w:rPr>
              <w:t>; and</w:t>
            </w:r>
          </w:p>
          <w:p w14:paraId="40943D59" w14:textId="77777777" w:rsidR="00F53C69" w:rsidRDefault="00F53C69" w:rsidP="00CE1E4B">
            <w:pPr>
              <w:pStyle w:val="author"/>
              <w:jc w:val="both"/>
              <w:rPr>
                <w:rFonts w:cs="Arial"/>
              </w:rPr>
            </w:pPr>
            <w:r>
              <w:rPr>
                <w:rFonts w:cs="Arial"/>
              </w:rPr>
              <w:t xml:space="preserve">     </w:t>
            </w:r>
            <w:r w:rsidR="00CE1E4B">
              <w:rPr>
                <w:rFonts w:cs="Arial"/>
              </w:rPr>
              <w:t>3)</w:t>
            </w:r>
            <w:r>
              <w:rPr>
                <w:rFonts w:cs="Arial"/>
              </w:rPr>
              <w:t xml:space="preserve"> we have </w:t>
            </w:r>
            <w:r w:rsidR="00CE1E4B">
              <w:rPr>
                <w:rFonts w:cs="Arial"/>
              </w:rPr>
              <w:t xml:space="preserve">removed HGMD variants in </w:t>
            </w:r>
            <w:r>
              <w:rPr>
                <w:rFonts w:cs="Arial"/>
              </w:rPr>
              <w:t>the 1000 Genomes dataset</w:t>
            </w:r>
            <w:r w:rsidR="00CE1E4B">
              <w:rPr>
                <w:rFonts w:cs="Arial"/>
              </w:rPr>
              <w:t>.</w:t>
            </w:r>
          </w:p>
          <w:p w14:paraId="7D9CD03E" w14:textId="77777777" w:rsidR="00F53C69" w:rsidRDefault="00F53C69" w:rsidP="00CE1E4B">
            <w:pPr>
              <w:pStyle w:val="author"/>
              <w:jc w:val="both"/>
              <w:rPr>
                <w:rFonts w:cs="Arial"/>
              </w:rPr>
            </w:pPr>
          </w:p>
          <w:p w14:paraId="59E1768C" w14:textId="581FC83A" w:rsidR="00105E44" w:rsidRDefault="00F53C69" w:rsidP="00F53C69">
            <w:pPr>
              <w:pStyle w:val="author"/>
              <w:jc w:val="both"/>
              <w:rPr>
                <w:rFonts w:cs="Arial"/>
              </w:rPr>
            </w:pPr>
            <w:r>
              <w:rPr>
                <w:rFonts w:cs="Arial"/>
              </w:rPr>
              <w:t>When this filtering is performed, a very small fraction of SNVs were removed from our analysis, and we note that this filtering did not heavily affect our main results. However, w</w:t>
            </w:r>
            <w:r w:rsidR="003C2575">
              <w:rPr>
                <w:rFonts w:cs="Arial"/>
              </w:rPr>
              <w:t>e have upda</w:t>
            </w:r>
            <w:r>
              <w:rPr>
                <w:rFonts w:cs="Arial"/>
              </w:rPr>
              <w:t>ted our figures and p-values to reflect this pre-processing</w:t>
            </w:r>
            <w:r w:rsidR="003C2575">
              <w:rPr>
                <w:rFonts w:cs="Arial"/>
              </w:rPr>
              <w:t>.</w:t>
            </w:r>
            <w:r w:rsidR="001E268D">
              <w:rPr>
                <w:rFonts w:cs="Arial"/>
              </w:rPr>
              <w:t xml:space="preserve"> We describe this</w:t>
            </w:r>
            <w:r w:rsidR="00DD1EDF">
              <w:rPr>
                <w:rFonts w:cs="Arial"/>
              </w:rPr>
              <w:t xml:space="preserve"> pre-processing scheme</w:t>
            </w:r>
            <w:r w:rsidR="001E268D">
              <w:rPr>
                <w:rFonts w:cs="Arial"/>
              </w:rPr>
              <w:t xml:space="preserve"> in the method section of the paper.</w:t>
            </w:r>
          </w:p>
          <w:p w14:paraId="398DAE0E" w14:textId="77777777" w:rsidR="00CE1E4B" w:rsidRDefault="00CE1E4B" w:rsidP="00CE1E4B">
            <w:pPr>
              <w:pStyle w:val="author"/>
              <w:jc w:val="both"/>
              <w:rPr>
                <w:rFonts w:cs="Arial"/>
              </w:rPr>
            </w:pPr>
          </w:p>
          <w:p w14:paraId="5F203733" w14:textId="0F7517C6" w:rsidR="00CE1E4B" w:rsidRPr="00816E84" w:rsidRDefault="00CE1E4B" w:rsidP="00F53C69">
            <w:pPr>
              <w:pStyle w:val="author"/>
              <w:jc w:val="both"/>
              <w:rPr>
                <w:rFonts w:cs="Arial"/>
              </w:rPr>
            </w:pPr>
            <w:r>
              <w:rPr>
                <w:rFonts w:cs="Arial"/>
              </w:rPr>
              <w:lastRenderedPageBreak/>
              <w:t xml:space="preserve">We applied </w:t>
            </w:r>
            <w:r w:rsidR="00F53C69">
              <w:rPr>
                <w:rFonts w:cs="Arial"/>
              </w:rPr>
              <w:t>a MAF</w:t>
            </w:r>
            <w:r>
              <w:rPr>
                <w:rFonts w:cs="Arial"/>
              </w:rPr>
              <w:t xml:space="preserve"> threshold</w:t>
            </w:r>
            <w:r w:rsidR="00AA4A1D">
              <w:rPr>
                <w:rFonts w:cs="Arial"/>
              </w:rPr>
              <w:t xml:space="preserve"> of 0.</w:t>
            </w:r>
            <w:r>
              <w:rPr>
                <w:rFonts w:cs="Arial"/>
              </w:rPr>
              <w:t xml:space="preserve">5% </w:t>
            </w:r>
            <w:r w:rsidR="00AA4A1D">
              <w:rPr>
                <w:rFonts w:cs="Arial"/>
              </w:rPr>
              <w:t xml:space="preserve">to distinguish between rare and common variants. </w:t>
            </w:r>
            <w:r w:rsidR="00F53C69">
              <w:rPr>
                <w:rFonts w:cs="Arial"/>
              </w:rPr>
              <w:t>This information is now provided in our updated Methods section</w:t>
            </w:r>
            <w:r w:rsidR="00AA4A1D">
              <w:rPr>
                <w:rFonts w:cs="Arial"/>
              </w:rPr>
              <w:t>.</w:t>
            </w:r>
          </w:p>
        </w:tc>
      </w:tr>
      <w:tr w:rsidR="00105E44" w:rsidRPr="00C1590F" w14:paraId="4BAE5420" w14:textId="77777777" w:rsidTr="00885845">
        <w:tc>
          <w:tcPr>
            <w:tcW w:w="1728" w:type="dxa"/>
          </w:tcPr>
          <w:p w14:paraId="7F3510A9" w14:textId="6CE83934" w:rsidR="00105E44" w:rsidRPr="00C1590F" w:rsidRDefault="00105E44" w:rsidP="00885845">
            <w:pPr>
              <w:pStyle w:val="new-text"/>
              <w:jc w:val="both"/>
            </w:pPr>
            <w:r w:rsidRPr="00C1590F">
              <w:lastRenderedPageBreak/>
              <w:t>Excerpt From</w:t>
            </w:r>
          </w:p>
          <w:p w14:paraId="31CD1F67" w14:textId="77777777" w:rsidR="00105E44" w:rsidRPr="00C1590F" w:rsidRDefault="00105E44" w:rsidP="00885845">
            <w:pPr>
              <w:pStyle w:val="new-text"/>
              <w:jc w:val="both"/>
            </w:pPr>
            <w:r w:rsidRPr="00C1590F">
              <w:t>Revised Manuscript</w:t>
            </w:r>
          </w:p>
        </w:tc>
        <w:tc>
          <w:tcPr>
            <w:tcW w:w="7200" w:type="dxa"/>
          </w:tcPr>
          <w:p w14:paraId="41D44FDD" w14:textId="77777777" w:rsidR="0000256C" w:rsidRDefault="0000256C" w:rsidP="0000256C">
            <w:pPr>
              <w:pStyle w:val="BodyText3"/>
              <w:rPr>
                <w:rFonts w:ascii="Courier New" w:hAnsi="Courier New" w:cs="Courier New"/>
                <w:sz w:val="20"/>
                <w:szCs w:val="20"/>
              </w:rPr>
            </w:pPr>
            <w:r w:rsidRPr="00333FD6">
              <w:rPr>
                <w:rFonts w:ascii="Courier New" w:hAnsi="Courier New" w:cs="Courier New"/>
                <w:sz w:val="20"/>
                <w:szCs w:val="20"/>
              </w:rPr>
              <w:t>"</w:t>
            </w:r>
            <w:r>
              <w:rPr>
                <w:color w:val="000000"/>
              </w:rPr>
              <w:t>In order to avoid redundancy and false positive call sets, we only consider HGMD SNVs annotated as pathological (labeled as “DM”) in our HGMD dataset. Furthermore, we removed HGMD variants present in the 1000 Genomes and ExAC datasets. Similarly, we also removed known TCGA variants present in the original ExAC SNV datasets.</w:t>
            </w:r>
            <w:r w:rsidRPr="00333FD6">
              <w:rPr>
                <w:rFonts w:ascii="Courier New" w:hAnsi="Courier New" w:cs="Courier New"/>
                <w:sz w:val="20"/>
                <w:szCs w:val="20"/>
              </w:rPr>
              <w:t>"</w:t>
            </w:r>
          </w:p>
          <w:p w14:paraId="7E8A9C2E" w14:textId="77777777" w:rsidR="00845D49" w:rsidRDefault="00845D49" w:rsidP="00885845">
            <w:pPr>
              <w:pStyle w:val="BodyText3"/>
              <w:rPr>
                <w:rFonts w:ascii="Courier New" w:hAnsi="Courier New" w:cs="Courier New"/>
                <w:sz w:val="20"/>
                <w:szCs w:val="20"/>
              </w:rPr>
            </w:pPr>
          </w:p>
          <w:p w14:paraId="4FF02AFF" w14:textId="1186AC08" w:rsidR="00845D49" w:rsidRPr="00467CE3" w:rsidRDefault="00845D49" w:rsidP="00885845">
            <w:pPr>
              <w:pStyle w:val="BodyText3"/>
              <w:rPr>
                <w:szCs w:val="18"/>
              </w:rPr>
            </w:pPr>
            <w:r w:rsidRPr="00333FD6">
              <w:rPr>
                <w:rFonts w:ascii="Courier New" w:hAnsi="Courier New" w:cs="Courier New"/>
                <w:sz w:val="20"/>
                <w:szCs w:val="20"/>
              </w:rPr>
              <w:t>"</w:t>
            </w:r>
            <w:r w:rsidRPr="007C3032">
              <w:rPr>
                <w:rFonts w:eastAsia="ＭＳ 明朝"/>
              </w:rPr>
              <w:t>Furthermore, we investigated the differential influence of common and rare mutations, where SNVs with minor allele frequency (MAF) less than or equal to 0.5% were considered to be rare mutations. SNVs were otherwise classified as common.</w:t>
            </w:r>
            <w:r w:rsidRPr="00333FD6">
              <w:rPr>
                <w:rFonts w:ascii="Courier New" w:hAnsi="Courier New" w:cs="Courier New"/>
                <w:sz w:val="20"/>
                <w:szCs w:val="20"/>
              </w:rPr>
              <w:t>"</w:t>
            </w:r>
          </w:p>
        </w:tc>
      </w:tr>
    </w:tbl>
    <w:p w14:paraId="59AA7A42" w14:textId="77777777" w:rsidR="00105E44" w:rsidRDefault="00105E44" w:rsidP="00105E44">
      <w:pPr>
        <w:rPr>
          <w:rFonts w:ascii="Arial" w:eastAsia="Times New Roman" w:hAnsi="Arial"/>
          <w:b/>
          <w:kern w:val="28"/>
          <w:sz w:val="28"/>
          <w:szCs w:val="20"/>
          <w:lang w:eastAsia="en-US"/>
        </w:rPr>
      </w:pPr>
    </w:p>
    <w:p w14:paraId="3964B11F" w14:textId="71A53EEB" w:rsidR="00AC1909" w:rsidRPr="00C1590F" w:rsidRDefault="00AC1909" w:rsidP="00AC1909">
      <w:pPr>
        <w:pStyle w:val="Heading3"/>
      </w:pPr>
      <w:r w:rsidRPr="00C1590F">
        <w:t>-- Ref</w:t>
      </w:r>
      <w:r>
        <w:t xml:space="preserve"> 2</w:t>
      </w:r>
      <w:r w:rsidRPr="00C1590F">
        <w:t>.</w:t>
      </w:r>
      <w:r w:rsidR="00333FD6">
        <w:t>2</w:t>
      </w:r>
      <w:r w:rsidRPr="00C1590F">
        <w:t xml:space="preserve"> – </w:t>
      </w:r>
      <w:r w:rsidR="00F370A4">
        <w:t>Usefulness of the method</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C1909" w:rsidRPr="00C1590F" w14:paraId="0275F8D5" w14:textId="77777777" w:rsidTr="00256FC6">
        <w:tc>
          <w:tcPr>
            <w:tcW w:w="1728" w:type="dxa"/>
          </w:tcPr>
          <w:p w14:paraId="66EBC07C" w14:textId="77777777" w:rsidR="00AC1909" w:rsidRPr="00C1590F" w:rsidRDefault="00AC1909" w:rsidP="00256FC6">
            <w:pPr>
              <w:pStyle w:val="reviewer"/>
              <w:jc w:val="both"/>
            </w:pPr>
            <w:r w:rsidRPr="00C1590F">
              <w:t>Reviewer</w:t>
            </w:r>
          </w:p>
          <w:p w14:paraId="7D444729" w14:textId="77777777" w:rsidR="00AC1909" w:rsidRPr="00C1590F" w:rsidRDefault="00AC1909" w:rsidP="00256FC6">
            <w:pPr>
              <w:pStyle w:val="reviewer"/>
              <w:jc w:val="both"/>
            </w:pPr>
            <w:r w:rsidRPr="00C1590F">
              <w:t>Comment</w:t>
            </w:r>
          </w:p>
        </w:tc>
        <w:tc>
          <w:tcPr>
            <w:tcW w:w="7200" w:type="dxa"/>
          </w:tcPr>
          <w:p w14:paraId="3F6AE23C" w14:textId="47201BDE" w:rsidR="00AC1909" w:rsidRPr="00C1590F" w:rsidRDefault="00333FD6" w:rsidP="00256FC6">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To underline the usefulness of your method, which is, as said in your manuscript, to meet a "growing and urgent need to evaluate the potential effects of low-allele-frequency variants in unbiased ways using high-throughput methodologies", I miss some extra calculations / benchmarking. There are methods existing in order to evaluate potential effects of low-allele-frequency variants in unbiased ways (SIFT, PolyPhen2, </w:t>
            </w:r>
            <w:proofErr w:type="spellStart"/>
            <w:r w:rsidRPr="00333FD6">
              <w:rPr>
                <w:rFonts w:ascii="Courier New" w:hAnsi="Courier New" w:cs="Courier New"/>
                <w:sz w:val="20"/>
                <w:szCs w:val="20"/>
              </w:rPr>
              <w:t>MutationTaster</w:t>
            </w:r>
            <w:proofErr w:type="spellEnd"/>
            <w:r w:rsidRPr="00333FD6">
              <w:rPr>
                <w:rFonts w:ascii="Courier New" w:hAnsi="Courier New" w:cs="Courier New"/>
                <w:sz w:val="20"/>
                <w:szCs w:val="20"/>
              </w:rPr>
              <w:t xml:space="preserve">, and many others). I would like to see how exactly your method adds up to this. Is the additional information gained from structural analysis really an advantage over existing methods? If you could show this, this would surely be an argument for people to use and cite your method. If they don't know if your method is really helpful, they will maybe not even try it, since analysis of high-throughput data is (already) time-intensive. One could for example create a small set of variants and </w:t>
            </w:r>
            <w:proofErr w:type="spellStart"/>
            <w:r w:rsidRPr="00333FD6">
              <w:rPr>
                <w:rFonts w:ascii="Courier New" w:hAnsi="Courier New" w:cs="Courier New"/>
                <w:sz w:val="20"/>
                <w:szCs w:val="20"/>
              </w:rPr>
              <w:t>analyse</w:t>
            </w:r>
            <w:proofErr w:type="spellEnd"/>
            <w:r w:rsidRPr="00333FD6">
              <w:rPr>
                <w:rFonts w:ascii="Courier New" w:hAnsi="Courier New" w:cs="Courier New"/>
                <w:sz w:val="20"/>
                <w:szCs w:val="20"/>
              </w:rPr>
              <w:t xml:space="preserve"> these with one or two of the "common" tools to predict the deleteriousness of SNVs (e.g. PolyPhen2 and MutationTaster2, since these are generally considered the most accurate ones) and then check if there are disease variants predicted as "harmless" by these tools (i.e. false negative) which are then correctly seen as locally maximal frustrated by your method. Or any other way how it can be shown that the method is indeed useful for the analysis of high-throughput data (e.g. compare with other existing "structural prediction" tools, if those exist).</w:t>
            </w:r>
          </w:p>
        </w:tc>
      </w:tr>
      <w:tr w:rsidR="00AC1909" w:rsidRPr="00C1590F" w14:paraId="647A377C" w14:textId="77777777" w:rsidTr="00256FC6">
        <w:tc>
          <w:tcPr>
            <w:tcW w:w="1728" w:type="dxa"/>
          </w:tcPr>
          <w:p w14:paraId="02D7BF7A" w14:textId="77777777" w:rsidR="00AC1909" w:rsidRPr="00B9141D" w:rsidRDefault="00AC1909" w:rsidP="00256FC6">
            <w:pPr>
              <w:pStyle w:val="author"/>
              <w:jc w:val="both"/>
              <w:rPr>
                <w:sz w:val="22"/>
                <w:szCs w:val="22"/>
              </w:rPr>
            </w:pPr>
            <w:r w:rsidRPr="00B9141D">
              <w:rPr>
                <w:sz w:val="22"/>
                <w:szCs w:val="22"/>
              </w:rPr>
              <w:t>Author</w:t>
            </w:r>
          </w:p>
          <w:p w14:paraId="29D9525D" w14:textId="77777777" w:rsidR="00AC1909" w:rsidRPr="00B9141D" w:rsidRDefault="00AC1909" w:rsidP="00256FC6">
            <w:pPr>
              <w:pStyle w:val="author"/>
              <w:jc w:val="both"/>
              <w:rPr>
                <w:sz w:val="22"/>
                <w:szCs w:val="22"/>
              </w:rPr>
            </w:pPr>
            <w:r w:rsidRPr="00B9141D">
              <w:rPr>
                <w:sz w:val="22"/>
                <w:szCs w:val="22"/>
              </w:rPr>
              <w:t>Response</w:t>
            </w:r>
          </w:p>
        </w:tc>
        <w:tc>
          <w:tcPr>
            <w:tcW w:w="7200" w:type="dxa"/>
          </w:tcPr>
          <w:p w14:paraId="11397640" w14:textId="6BAA3F87" w:rsidR="00AC1909" w:rsidRPr="00394493" w:rsidRDefault="00D02C8C" w:rsidP="00B40D06">
            <w:pPr>
              <w:pStyle w:val="author"/>
              <w:jc w:val="both"/>
              <w:rPr>
                <w:rFonts w:cs="Arial"/>
                <w:highlight w:val="cyan"/>
              </w:rPr>
            </w:pPr>
            <w:r w:rsidRPr="009A6888">
              <w:rPr>
                <w:rFonts w:cs="Arial"/>
              </w:rPr>
              <w:t>We are thankful to the reviewer for proposing this interesting analysis. Following the reviewer’s suggestion, we ran SIFT and Polyphen2 on a smaller set of HGMD variants. These smaller set of variants were selected on the criterion that they map to PDB structure, which h</w:t>
            </w:r>
            <w:r w:rsidR="0028647F" w:rsidRPr="009A6888">
              <w:rPr>
                <w:rFonts w:cs="Arial"/>
              </w:rPr>
              <w:t xml:space="preserve">as at least one HGMD and at least one </w:t>
            </w:r>
            <w:r w:rsidRPr="009A6888">
              <w:rPr>
                <w:rFonts w:cs="Arial"/>
              </w:rPr>
              <w:t xml:space="preserve">ExAC </w:t>
            </w:r>
            <w:r w:rsidR="007A0989" w:rsidRPr="009A6888">
              <w:rPr>
                <w:rFonts w:cs="Arial"/>
              </w:rPr>
              <w:t>non-synonymous SNVs. Subsequently</w:t>
            </w:r>
            <w:r w:rsidRPr="009A6888">
              <w:rPr>
                <w:rFonts w:cs="Arial"/>
              </w:rPr>
              <w:t xml:space="preserve">, we identified instances where HGMD variants were predicted </w:t>
            </w:r>
            <w:r w:rsidR="002D1D63" w:rsidRPr="009A6888">
              <w:rPr>
                <w:rFonts w:cs="Arial"/>
              </w:rPr>
              <w:t xml:space="preserve">to be </w:t>
            </w:r>
            <w:r w:rsidRPr="009A6888">
              <w:rPr>
                <w:rFonts w:cs="Arial"/>
              </w:rPr>
              <w:t>benign by polyphen</w:t>
            </w:r>
            <w:r w:rsidR="00C041A7" w:rsidRPr="009A6888">
              <w:rPr>
                <w:rFonts w:cs="Arial"/>
              </w:rPr>
              <w:t>2</w:t>
            </w:r>
            <w:r w:rsidRPr="009A6888">
              <w:rPr>
                <w:rFonts w:cs="Arial"/>
              </w:rPr>
              <w:t xml:space="preserve"> or SIFT </w:t>
            </w:r>
            <w:r w:rsidR="002D1D63" w:rsidRPr="009A6888">
              <w:rPr>
                <w:rFonts w:cs="Arial"/>
              </w:rPr>
              <w:t xml:space="preserve">(False negative cases) </w:t>
            </w:r>
            <w:r w:rsidRPr="009A6888">
              <w:rPr>
                <w:rFonts w:cs="Arial"/>
              </w:rPr>
              <w:t xml:space="preserve">but delta frustration metric </w:t>
            </w:r>
            <w:r w:rsidR="007A0989" w:rsidRPr="009A6888">
              <w:rPr>
                <w:rFonts w:cs="Arial"/>
              </w:rPr>
              <w:t>indicates</w:t>
            </w:r>
            <w:r w:rsidRPr="009A6888">
              <w:rPr>
                <w:rFonts w:cs="Arial"/>
              </w:rPr>
              <w:t xml:space="preserve"> </w:t>
            </w:r>
            <w:r w:rsidR="007A0989" w:rsidRPr="009A6888">
              <w:rPr>
                <w:rFonts w:cs="Arial"/>
              </w:rPr>
              <w:t xml:space="preserve">significant </w:t>
            </w:r>
            <w:r w:rsidRPr="009A6888">
              <w:rPr>
                <w:rFonts w:cs="Arial"/>
              </w:rPr>
              <w:t>increase in f</w:t>
            </w:r>
            <w:r w:rsidR="00E75E30">
              <w:rPr>
                <w:rFonts w:cs="Arial"/>
              </w:rPr>
              <w:t xml:space="preserve">rustration level upon mutation. Frustration metric was </w:t>
            </w:r>
            <w:r w:rsidR="007A0989" w:rsidRPr="009A6888">
              <w:rPr>
                <w:rFonts w:cs="Arial"/>
              </w:rPr>
              <w:t>able to rescue ~38% and ~46% of polyphen2 &amp; SIFT annotated false negative variants</w:t>
            </w:r>
            <w:r w:rsidR="009A6888">
              <w:rPr>
                <w:rFonts w:cs="Arial"/>
              </w:rPr>
              <w:t xml:space="preserve">, as </w:t>
            </w:r>
            <w:r w:rsidR="009A6888">
              <w:rPr>
                <w:rFonts w:cs="Arial"/>
              </w:rPr>
              <w:lastRenderedPageBreak/>
              <w:t>described in the result and supplementary information</w:t>
            </w:r>
            <w:r w:rsidR="007A0989" w:rsidRPr="009A6888">
              <w:rPr>
                <w:rFonts w:cs="Arial"/>
              </w:rPr>
              <w:t xml:space="preserve">. </w:t>
            </w:r>
            <w:r w:rsidRPr="009A6888">
              <w:rPr>
                <w:rFonts w:cs="Arial"/>
              </w:rPr>
              <w:t xml:space="preserve">We </w:t>
            </w:r>
            <w:r w:rsidR="007A0989" w:rsidRPr="009A6888">
              <w:rPr>
                <w:rFonts w:cs="Arial"/>
              </w:rPr>
              <w:t xml:space="preserve">also </w:t>
            </w:r>
            <w:r w:rsidRPr="009A6888">
              <w:rPr>
                <w:rFonts w:cs="Arial"/>
              </w:rPr>
              <w:t>highlight fe</w:t>
            </w:r>
            <w:r w:rsidR="00A913B6" w:rsidRPr="009A6888">
              <w:rPr>
                <w:rFonts w:cs="Arial"/>
              </w:rPr>
              <w:t xml:space="preserve">w examples by plotting linear </w:t>
            </w:r>
            <w:r w:rsidRPr="009A6888">
              <w:rPr>
                <w:rFonts w:cs="Arial"/>
              </w:rPr>
              <w:t>diagram</w:t>
            </w:r>
            <w:r w:rsidR="000854BA" w:rsidRPr="009A6888">
              <w:rPr>
                <w:rFonts w:cs="Arial"/>
              </w:rPr>
              <w:t xml:space="preserve"> for such cases</w:t>
            </w:r>
            <w:r w:rsidR="007A0989" w:rsidRPr="009A6888">
              <w:rPr>
                <w:rFonts w:cs="Arial"/>
              </w:rPr>
              <w:t xml:space="preserve"> in the supplementary information.</w:t>
            </w:r>
          </w:p>
        </w:tc>
      </w:tr>
      <w:tr w:rsidR="00AC1909" w:rsidRPr="00C1590F" w14:paraId="1F622793" w14:textId="77777777" w:rsidTr="00256FC6">
        <w:tc>
          <w:tcPr>
            <w:tcW w:w="1728" w:type="dxa"/>
          </w:tcPr>
          <w:p w14:paraId="3FAF7FC4" w14:textId="77777777" w:rsidR="00AC1909" w:rsidRPr="00C1590F" w:rsidRDefault="00AC1909" w:rsidP="00256FC6">
            <w:pPr>
              <w:pStyle w:val="new-text"/>
              <w:jc w:val="both"/>
            </w:pPr>
            <w:r w:rsidRPr="00C1590F">
              <w:lastRenderedPageBreak/>
              <w:t>Excerpt From</w:t>
            </w:r>
          </w:p>
          <w:p w14:paraId="4AC55560" w14:textId="77777777" w:rsidR="00AC1909" w:rsidRPr="00C1590F" w:rsidRDefault="00AC1909" w:rsidP="00256FC6">
            <w:pPr>
              <w:pStyle w:val="new-text"/>
              <w:jc w:val="both"/>
            </w:pPr>
            <w:r w:rsidRPr="00C1590F">
              <w:t>Revised Manuscript</w:t>
            </w:r>
          </w:p>
        </w:tc>
        <w:tc>
          <w:tcPr>
            <w:tcW w:w="7200" w:type="dxa"/>
          </w:tcPr>
          <w:p w14:paraId="60531B78" w14:textId="2B9713F1" w:rsidR="009A6888" w:rsidRDefault="0000256C" w:rsidP="009A6888">
            <w:pPr>
              <w:rPr>
                <w:i/>
                <w:sz w:val="18"/>
                <w:szCs w:val="18"/>
              </w:rPr>
            </w:pPr>
            <w:r w:rsidRPr="009A6888">
              <w:rPr>
                <w:i/>
                <w:sz w:val="18"/>
                <w:szCs w:val="18"/>
              </w:rPr>
              <w:t xml:space="preserve">Excerpt from </w:t>
            </w:r>
            <w:r>
              <w:rPr>
                <w:i/>
                <w:sz w:val="18"/>
                <w:szCs w:val="18"/>
              </w:rPr>
              <w:t>R</w:t>
            </w:r>
            <w:r w:rsidRPr="009A6888">
              <w:rPr>
                <w:i/>
                <w:sz w:val="18"/>
                <w:szCs w:val="18"/>
              </w:rPr>
              <w:t>esult</w:t>
            </w:r>
            <w:r>
              <w:rPr>
                <w:i/>
                <w:sz w:val="18"/>
                <w:szCs w:val="18"/>
              </w:rPr>
              <w:t>s section of main text:</w:t>
            </w:r>
          </w:p>
          <w:p w14:paraId="5DE4C211" w14:textId="77777777" w:rsidR="0000256C" w:rsidRPr="009A6888" w:rsidRDefault="0000256C" w:rsidP="009A6888">
            <w:pPr>
              <w:rPr>
                <w:i/>
                <w:sz w:val="18"/>
                <w:szCs w:val="18"/>
              </w:rPr>
            </w:pPr>
          </w:p>
          <w:p w14:paraId="3496FC84" w14:textId="55655B3F" w:rsidR="009A6888" w:rsidRPr="003E46AC" w:rsidRDefault="00CE7CA0" w:rsidP="00E75E30">
            <w:pPr>
              <w:spacing w:line="360" w:lineRule="auto"/>
              <w:rPr>
                <w:rFonts w:eastAsia="ＭＳ 明朝"/>
                <w:color w:val="000000"/>
                <w:sz w:val="18"/>
                <w:szCs w:val="18"/>
              </w:rPr>
            </w:pPr>
            <w:r w:rsidRPr="00CE7CA0">
              <w:rPr>
                <w:rFonts w:eastAsia="ＭＳ 明朝"/>
                <w:color w:val="000000"/>
                <w:sz w:val="18"/>
                <w:szCs w:val="18"/>
              </w:rPr>
              <w:t xml:space="preserve">As discussed, existing structure-based methods for predicting SNV deleteriousness rely on global metrics of protein stability. These approaches may incorrectly predict known disease-associated SNVs to be benign (thereby producing false negatives). We address the extent to which ΔF rescues such false negatives by correctly predicting their deleterious effects. We first identified 626 HGMD SNVs within the semi-balanced set (see Method section), and predicted the impacts of these SNVs using SIFT, PolyPhen2, and ΔF values. SIFT produces false negatives for 13.7% of these HGMD SNVs. We find that ΔF rescues 46% of these SIFT false negatives (i.e., by correctly predicting deleterious impacts). Similarly, PolyPhen2 produces false negatives for 10% of the HGMD SNVs. Applying ΔF enables us to rescue 38% of these PolyPhen2 false negatives. Glucokinase is used as an example to demonstrate specific cases of rescued variants (SI Figure S7). Finally, a list of all false negatives rescued by ΔF analysis is provided in SI data file. </w:t>
            </w:r>
          </w:p>
        </w:tc>
      </w:tr>
    </w:tbl>
    <w:p w14:paraId="565A0B56" w14:textId="6FD1B970" w:rsidR="00AC1909" w:rsidRDefault="00AC1909" w:rsidP="00AC1909">
      <w:pPr>
        <w:rPr>
          <w:rFonts w:ascii="Arial" w:eastAsia="Times New Roman" w:hAnsi="Arial"/>
          <w:b/>
          <w:kern w:val="28"/>
          <w:sz w:val="28"/>
          <w:szCs w:val="20"/>
          <w:lang w:eastAsia="en-US"/>
        </w:rPr>
      </w:pPr>
    </w:p>
    <w:p w14:paraId="439A8843" w14:textId="77777777" w:rsidR="00DB6306" w:rsidRPr="00C1590F" w:rsidRDefault="00DB6306" w:rsidP="00DB6306"/>
    <w:p w14:paraId="1A6A45F7" w14:textId="1EA24A2B" w:rsidR="00DB6306" w:rsidRPr="00C1590F" w:rsidRDefault="00DB6306" w:rsidP="00DB6306">
      <w:pPr>
        <w:pStyle w:val="Heading3"/>
      </w:pPr>
      <w:r w:rsidRPr="00C1590F">
        <w:t>-- Ref</w:t>
      </w:r>
      <w:r>
        <w:t xml:space="preserve"> 2</w:t>
      </w:r>
      <w:r w:rsidRPr="00C1590F">
        <w:t>.</w:t>
      </w:r>
      <w:r w:rsidR="00333FD6">
        <w:t>3</w:t>
      </w:r>
      <w:r w:rsidRPr="00C1590F">
        <w:t xml:space="preserve"> – </w:t>
      </w:r>
      <w:r w:rsidR="00F370A4">
        <w:t>Method run time scale</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DB6306" w:rsidRPr="00C1590F" w14:paraId="30E43CBF" w14:textId="77777777" w:rsidTr="00256FC6">
        <w:tc>
          <w:tcPr>
            <w:tcW w:w="1728" w:type="dxa"/>
          </w:tcPr>
          <w:p w14:paraId="7A0AD41E" w14:textId="77777777" w:rsidR="00DB6306" w:rsidRPr="00C1590F" w:rsidRDefault="00DB6306" w:rsidP="00256FC6">
            <w:pPr>
              <w:pStyle w:val="reviewer"/>
              <w:jc w:val="both"/>
            </w:pPr>
            <w:r w:rsidRPr="00C1590F">
              <w:t>Reviewer</w:t>
            </w:r>
          </w:p>
          <w:p w14:paraId="0C78765E" w14:textId="77777777" w:rsidR="00DB6306" w:rsidRPr="00C1590F" w:rsidRDefault="00DB6306" w:rsidP="00256FC6">
            <w:pPr>
              <w:pStyle w:val="reviewer"/>
              <w:jc w:val="both"/>
            </w:pPr>
            <w:r w:rsidRPr="00C1590F">
              <w:t>Comment</w:t>
            </w:r>
          </w:p>
        </w:tc>
        <w:tc>
          <w:tcPr>
            <w:tcW w:w="7200" w:type="dxa"/>
          </w:tcPr>
          <w:p w14:paraId="0461A42E" w14:textId="12C004D9" w:rsidR="00DB6306" w:rsidRPr="00C1590F" w:rsidRDefault="00333FD6" w:rsidP="00333FD6">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How long would </w:t>
            </w:r>
            <w:r w:rsidR="00975B56">
              <w:rPr>
                <w:rFonts w:ascii="Courier New" w:hAnsi="Courier New" w:cs="Courier New"/>
                <w:sz w:val="20"/>
                <w:szCs w:val="20"/>
              </w:rPr>
              <w:t xml:space="preserve">it take to </w:t>
            </w:r>
            <w:proofErr w:type="spellStart"/>
            <w:r w:rsidR="00975B56">
              <w:rPr>
                <w:rFonts w:ascii="Courier New" w:hAnsi="Courier New" w:cs="Courier New"/>
                <w:sz w:val="20"/>
                <w:szCs w:val="20"/>
              </w:rPr>
              <w:t>analyse</w:t>
            </w:r>
            <w:proofErr w:type="spellEnd"/>
            <w:r w:rsidR="00975B56">
              <w:rPr>
                <w:rFonts w:ascii="Courier New" w:hAnsi="Courier New" w:cs="Courier New"/>
                <w:sz w:val="20"/>
                <w:szCs w:val="20"/>
              </w:rPr>
              <w:t xml:space="preserve"> let's say 10,</w:t>
            </w:r>
            <w:r w:rsidRPr="00333FD6">
              <w:rPr>
                <w:rFonts w:ascii="Courier New" w:hAnsi="Courier New" w:cs="Courier New"/>
                <w:sz w:val="20"/>
                <w:szCs w:val="20"/>
              </w:rPr>
              <w:t>000 SNVs? As this is more or less the dimension which goes along with HT-sequencing.</w:t>
            </w:r>
          </w:p>
        </w:tc>
      </w:tr>
      <w:tr w:rsidR="00DB6306" w:rsidRPr="00C1590F" w14:paraId="2F3D9E6F" w14:textId="77777777" w:rsidTr="00256FC6">
        <w:tc>
          <w:tcPr>
            <w:tcW w:w="1728" w:type="dxa"/>
          </w:tcPr>
          <w:p w14:paraId="3EFB4287" w14:textId="77777777" w:rsidR="00DB6306" w:rsidRPr="00B9141D" w:rsidRDefault="00DB6306" w:rsidP="00256FC6">
            <w:pPr>
              <w:pStyle w:val="author"/>
              <w:jc w:val="both"/>
              <w:rPr>
                <w:sz w:val="22"/>
                <w:szCs w:val="22"/>
              </w:rPr>
            </w:pPr>
            <w:r w:rsidRPr="00B9141D">
              <w:rPr>
                <w:sz w:val="22"/>
                <w:szCs w:val="22"/>
              </w:rPr>
              <w:t>Author</w:t>
            </w:r>
          </w:p>
          <w:p w14:paraId="48341866" w14:textId="77777777" w:rsidR="00DB6306" w:rsidRPr="00B9141D" w:rsidRDefault="00DB6306" w:rsidP="00256FC6">
            <w:pPr>
              <w:pStyle w:val="author"/>
              <w:jc w:val="both"/>
              <w:rPr>
                <w:sz w:val="22"/>
                <w:szCs w:val="22"/>
              </w:rPr>
            </w:pPr>
            <w:r w:rsidRPr="00B9141D">
              <w:rPr>
                <w:sz w:val="22"/>
                <w:szCs w:val="22"/>
              </w:rPr>
              <w:t>Response</w:t>
            </w:r>
          </w:p>
        </w:tc>
        <w:tc>
          <w:tcPr>
            <w:tcW w:w="7200" w:type="dxa"/>
          </w:tcPr>
          <w:p w14:paraId="1198D55A" w14:textId="2786F5DB" w:rsidR="00DB6306" w:rsidRPr="00816E84" w:rsidRDefault="00C81F89" w:rsidP="009A6888">
            <w:pPr>
              <w:pStyle w:val="author"/>
              <w:jc w:val="both"/>
              <w:rPr>
                <w:rFonts w:cs="Arial"/>
              </w:rPr>
            </w:pPr>
            <w:r>
              <w:rPr>
                <w:rFonts w:cs="Arial"/>
              </w:rPr>
              <w:t>The reviewer has raised a good question of practical interest. W</w:t>
            </w:r>
            <w:r w:rsidR="00146627">
              <w:rPr>
                <w:rFonts w:cs="Arial"/>
              </w:rPr>
              <w:t>e ran our pipeline on 10</w:t>
            </w:r>
            <w:r>
              <w:rPr>
                <w:rFonts w:cs="Arial"/>
              </w:rPr>
              <w:t xml:space="preserve">,000 SNVs, and it </w:t>
            </w:r>
            <w:r w:rsidR="00146627">
              <w:rPr>
                <w:rFonts w:cs="Arial"/>
              </w:rPr>
              <w:t>took ~2.5 hours to map the</w:t>
            </w:r>
            <w:r>
              <w:rPr>
                <w:rFonts w:cs="Arial"/>
              </w:rPr>
              <w:t>se</w:t>
            </w:r>
            <w:r w:rsidR="00146627">
              <w:rPr>
                <w:rFonts w:cs="Arial"/>
              </w:rPr>
              <w:t xml:space="preserve"> variants to PDB structure</w:t>
            </w:r>
            <w:r w:rsidR="009A6888">
              <w:rPr>
                <w:rFonts w:cs="Arial"/>
              </w:rPr>
              <w:t xml:space="preserve">s. </w:t>
            </w:r>
            <w:r w:rsidR="00E24DFB">
              <w:rPr>
                <w:rFonts w:cs="Arial"/>
              </w:rPr>
              <w:t>In total, we mapped 20% of these</w:t>
            </w:r>
            <w:r w:rsidR="00146627">
              <w:rPr>
                <w:rFonts w:cs="Arial"/>
              </w:rPr>
              <w:t xml:space="preserve"> SNVs onto three-dimensional structure</w:t>
            </w:r>
            <w:r w:rsidR="00E24DFB">
              <w:rPr>
                <w:rFonts w:cs="Arial"/>
              </w:rPr>
              <w:t>s</w:t>
            </w:r>
            <w:r w:rsidR="008B53C9">
              <w:rPr>
                <w:rFonts w:cs="Arial"/>
              </w:rPr>
              <w:t xml:space="preserve">. Further, </w:t>
            </w:r>
            <w:r w:rsidR="00146627">
              <w:rPr>
                <w:rFonts w:cs="Arial"/>
              </w:rPr>
              <w:t xml:space="preserve">generating the mutated protein model and frustration </w:t>
            </w:r>
            <w:r w:rsidR="00042191">
              <w:rPr>
                <w:rFonts w:cs="Arial"/>
              </w:rPr>
              <w:t xml:space="preserve">calculations for the structurally </w:t>
            </w:r>
            <w:r w:rsidR="008B53C9">
              <w:rPr>
                <w:rFonts w:cs="Arial"/>
              </w:rPr>
              <w:t xml:space="preserve">mapped variants took </w:t>
            </w:r>
            <w:r w:rsidR="00042191">
              <w:rPr>
                <w:rFonts w:cs="Arial"/>
              </w:rPr>
              <w:t>~26 hours.</w:t>
            </w:r>
            <w:r w:rsidR="00146627">
              <w:rPr>
                <w:rFonts w:cs="Arial"/>
              </w:rPr>
              <w:t xml:space="preserve"> </w:t>
            </w:r>
          </w:p>
        </w:tc>
      </w:tr>
      <w:tr w:rsidR="00DB6306" w:rsidRPr="00C1590F" w14:paraId="67B56FEE" w14:textId="77777777" w:rsidTr="00256FC6">
        <w:tc>
          <w:tcPr>
            <w:tcW w:w="1728" w:type="dxa"/>
          </w:tcPr>
          <w:p w14:paraId="69F3DFC3" w14:textId="77777777" w:rsidR="00DB6306" w:rsidRPr="00C1590F" w:rsidRDefault="00DB6306" w:rsidP="00256FC6">
            <w:pPr>
              <w:pStyle w:val="new-text"/>
              <w:jc w:val="both"/>
            </w:pPr>
            <w:r w:rsidRPr="00C1590F">
              <w:t>Excerpt From</w:t>
            </w:r>
          </w:p>
          <w:p w14:paraId="4BDC3B11" w14:textId="77777777" w:rsidR="00DB6306" w:rsidRPr="00C1590F" w:rsidRDefault="00DB6306" w:rsidP="00256FC6">
            <w:pPr>
              <w:pStyle w:val="new-text"/>
              <w:jc w:val="both"/>
            </w:pPr>
            <w:r w:rsidRPr="00C1590F">
              <w:t>Revised Manuscript</w:t>
            </w:r>
          </w:p>
        </w:tc>
        <w:tc>
          <w:tcPr>
            <w:tcW w:w="7200" w:type="dxa"/>
          </w:tcPr>
          <w:p w14:paraId="5AD2E559" w14:textId="382E29F5" w:rsidR="00DB6306" w:rsidRPr="0059410B" w:rsidRDefault="0037191C" w:rsidP="0059410B">
            <w:pPr>
              <w:rPr>
                <w:rFonts w:eastAsia="Times New Roman"/>
                <w:sz w:val="18"/>
                <w:szCs w:val="18"/>
              </w:rPr>
            </w:pPr>
            <w:r w:rsidRPr="0059410B">
              <w:rPr>
                <w:rFonts w:eastAsia="ＭＳ 明朝"/>
                <w:sz w:val="18"/>
                <w:szCs w:val="18"/>
              </w:rPr>
              <w:t>“</w:t>
            </w:r>
            <w:r w:rsidR="0059410B" w:rsidRPr="0059410B">
              <w:rPr>
                <w:rFonts w:eastAsia="Times New Roman"/>
                <w:sz w:val="18"/>
                <w:szCs w:val="18"/>
              </w:rPr>
              <w:t>This workflow is computationally tractable when evaluating ΔF</w:t>
            </w:r>
            <w:r w:rsidR="0059410B" w:rsidRPr="0059410B" w:rsidDel="00A5115A">
              <w:rPr>
                <w:rFonts w:eastAsia="Times New Roman"/>
                <w:sz w:val="18"/>
                <w:szCs w:val="18"/>
              </w:rPr>
              <w:t xml:space="preserve"> </w:t>
            </w:r>
            <w:r w:rsidR="0059410B" w:rsidRPr="0059410B">
              <w:rPr>
                <w:rFonts w:eastAsia="Times New Roman"/>
                <w:sz w:val="18"/>
                <w:szCs w:val="18"/>
              </w:rPr>
              <w:t>for large numbers of variants. Our benchmark calculations on 10,000 non-synonymous SNVs indicates that we can map, build mutated models, and calculate ΔF</w:t>
            </w:r>
            <w:r w:rsidR="0059410B" w:rsidRPr="0059410B" w:rsidDel="00A5115A">
              <w:rPr>
                <w:rFonts w:eastAsia="Times New Roman"/>
                <w:sz w:val="18"/>
                <w:szCs w:val="18"/>
              </w:rPr>
              <w:t xml:space="preserve"> </w:t>
            </w:r>
            <w:r w:rsidR="0059410B" w:rsidRPr="0059410B">
              <w:rPr>
                <w:rFonts w:eastAsia="Times New Roman"/>
                <w:sz w:val="18"/>
                <w:szCs w:val="18"/>
              </w:rPr>
              <w:t>values in ~29 hours on an E5-2660 v3 (2.60GHz) core.</w:t>
            </w:r>
            <w:r w:rsidRPr="0059410B">
              <w:rPr>
                <w:rFonts w:eastAsia="ＭＳ 明朝"/>
                <w:sz w:val="18"/>
                <w:szCs w:val="18"/>
              </w:rPr>
              <w:t>”</w:t>
            </w:r>
          </w:p>
        </w:tc>
      </w:tr>
    </w:tbl>
    <w:p w14:paraId="37EFABA3" w14:textId="77777777" w:rsidR="0018482D" w:rsidRPr="00C1590F" w:rsidRDefault="0018482D" w:rsidP="0018482D"/>
    <w:p w14:paraId="00986C5A" w14:textId="6159A4A9" w:rsidR="0018482D" w:rsidRPr="00C1590F" w:rsidRDefault="0018482D" w:rsidP="0018482D">
      <w:pPr>
        <w:pStyle w:val="Heading3"/>
      </w:pPr>
      <w:r w:rsidRPr="00C1590F">
        <w:t>-- Ref</w:t>
      </w:r>
      <w:r>
        <w:t xml:space="preserve"> 2</w:t>
      </w:r>
      <w:r w:rsidRPr="00C1590F">
        <w:t>.</w:t>
      </w:r>
      <w:r>
        <w:t>4</w:t>
      </w:r>
      <w:r w:rsidRPr="00C1590F">
        <w:t xml:space="preserve"> –</w:t>
      </w:r>
      <w:r w:rsidR="00F370A4">
        <w:t xml:space="preserve">Typographical error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8482D" w:rsidRPr="00C1590F" w14:paraId="35137914" w14:textId="77777777" w:rsidTr="00256FC6">
        <w:tc>
          <w:tcPr>
            <w:tcW w:w="1728" w:type="dxa"/>
          </w:tcPr>
          <w:p w14:paraId="72816DE4" w14:textId="77777777" w:rsidR="0018482D" w:rsidRPr="00C1590F" w:rsidRDefault="0018482D" w:rsidP="00256FC6">
            <w:pPr>
              <w:pStyle w:val="reviewer"/>
              <w:jc w:val="both"/>
            </w:pPr>
            <w:r w:rsidRPr="00C1590F">
              <w:t>Reviewer</w:t>
            </w:r>
          </w:p>
          <w:p w14:paraId="6A61C2AE" w14:textId="77777777" w:rsidR="0018482D" w:rsidRPr="00C1590F" w:rsidRDefault="0018482D" w:rsidP="00256FC6">
            <w:pPr>
              <w:pStyle w:val="reviewer"/>
              <w:jc w:val="both"/>
            </w:pPr>
            <w:r w:rsidRPr="00C1590F">
              <w:t>Comment</w:t>
            </w:r>
          </w:p>
        </w:tc>
        <w:tc>
          <w:tcPr>
            <w:tcW w:w="7200" w:type="dxa"/>
          </w:tcPr>
          <w:p w14:paraId="43768685" w14:textId="2683FF89" w:rsidR="0018482D" w:rsidRPr="00C1590F" w:rsidRDefault="00333FD6" w:rsidP="0018482D">
            <w:pPr>
              <w:autoSpaceDE w:val="0"/>
              <w:autoSpaceDN w:val="0"/>
              <w:adjustRightInd w:val="0"/>
              <w:rPr>
                <w:rFonts w:ascii="Courier New" w:hAnsi="Courier New" w:cs="Courier New"/>
                <w:sz w:val="20"/>
                <w:szCs w:val="20"/>
              </w:rPr>
            </w:pPr>
            <w:r w:rsidRPr="00333FD6">
              <w:rPr>
                <w:rFonts w:ascii="Courier New" w:hAnsi="Courier New" w:cs="Courier New"/>
                <w:sz w:val="20"/>
                <w:szCs w:val="20"/>
              </w:rPr>
              <w:t>Concerning Fig. 1: Residues are not numbered. In the text, you talk about ILE in pos. 31 which is exchanged to TYR. In the figure legend, you say that TRP is changed to TYR. In the picture, there is TRP highlighted as well as TYR, but the native and mutated structure (at least the part shown) differ in more than just this one residue. This confuses me and should be clarified.</w:t>
            </w:r>
          </w:p>
        </w:tc>
      </w:tr>
      <w:tr w:rsidR="0018482D" w:rsidRPr="00C1590F" w14:paraId="6542ACBE" w14:textId="77777777" w:rsidTr="00256FC6">
        <w:tc>
          <w:tcPr>
            <w:tcW w:w="1728" w:type="dxa"/>
          </w:tcPr>
          <w:p w14:paraId="4718C929" w14:textId="77777777" w:rsidR="0018482D" w:rsidRPr="00B9141D" w:rsidRDefault="0018482D" w:rsidP="00256FC6">
            <w:pPr>
              <w:pStyle w:val="author"/>
              <w:jc w:val="both"/>
              <w:rPr>
                <w:sz w:val="22"/>
                <w:szCs w:val="22"/>
              </w:rPr>
            </w:pPr>
            <w:r w:rsidRPr="00B9141D">
              <w:rPr>
                <w:sz w:val="22"/>
                <w:szCs w:val="22"/>
              </w:rPr>
              <w:t>Author</w:t>
            </w:r>
          </w:p>
          <w:p w14:paraId="1CE9FC05" w14:textId="77777777" w:rsidR="0018482D" w:rsidRPr="00B9141D" w:rsidRDefault="0018482D" w:rsidP="00256FC6">
            <w:pPr>
              <w:pStyle w:val="author"/>
              <w:jc w:val="both"/>
              <w:rPr>
                <w:sz w:val="22"/>
                <w:szCs w:val="22"/>
              </w:rPr>
            </w:pPr>
            <w:r w:rsidRPr="00B9141D">
              <w:rPr>
                <w:sz w:val="22"/>
                <w:szCs w:val="22"/>
              </w:rPr>
              <w:t>Response</w:t>
            </w:r>
          </w:p>
        </w:tc>
        <w:tc>
          <w:tcPr>
            <w:tcW w:w="7200" w:type="dxa"/>
          </w:tcPr>
          <w:p w14:paraId="5776024A" w14:textId="120F8D00" w:rsidR="004D1D83" w:rsidRPr="008B53C9" w:rsidRDefault="00495169" w:rsidP="008B53C9">
            <w:pPr>
              <w:shd w:val="clear" w:color="auto" w:fill="FFFFFF"/>
              <w:rPr>
                <w:rFonts w:ascii="Arial" w:eastAsia="Times New Roman" w:hAnsi="Arial" w:cs="Arial"/>
                <w:color w:val="222222"/>
              </w:rPr>
            </w:pPr>
            <w:r>
              <w:rPr>
                <w:rFonts w:ascii="Arial" w:eastAsia="Times New Roman" w:hAnsi="Arial" w:cs="Arial"/>
                <w:color w:val="222222"/>
              </w:rPr>
              <w:t xml:space="preserve">We thank the reviewer for pointing </w:t>
            </w:r>
            <w:r w:rsidR="00A27BCD">
              <w:rPr>
                <w:rFonts w:ascii="Arial" w:eastAsia="Times New Roman" w:hAnsi="Arial" w:cs="Arial"/>
                <w:color w:val="222222"/>
              </w:rPr>
              <w:t xml:space="preserve">out </w:t>
            </w:r>
            <w:r>
              <w:rPr>
                <w:rFonts w:ascii="Arial" w:eastAsia="Times New Roman" w:hAnsi="Arial" w:cs="Arial"/>
                <w:color w:val="222222"/>
              </w:rPr>
              <w:t>this inconsistency. We have fixed the text in our method</w:t>
            </w:r>
            <w:r w:rsidR="00A27BCD">
              <w:rPr>
                <w:rFonts w:ascii="Arial" w:eastAsia="Times New Roman" w:hAnsi="Arial" w:cs="Arial"/>
                <w:color w:val="222222"/>
              </w:rPr>
              <w:t>s</w:t>
            </w:r>
            <w:r>
              <w:rPr>
                <w:rFonts w:ascii="Arial" w:eastAsia="Times New Roman" w:hAnsi="Arial" w:cs="Arial"/>
                <w:color w:val="222222"/>
              </w:rPr>
              <w:t xml:space="preserve"> section to remove this ambiguity.</w:t>
            </w:r>
          </w:p>
        </w:tc>
      </w:tr>
      <w:tr w:rsidR="0018482D" w:rsidRPr="00C1590F" w14:paraId="39BF42AE" w14:textId="77777777" w:rsidTr="00256FC6">
        <w:tc>
          <w:tcPr>
            <w:tcW w:w="1728" w:type="dxa"/>
          </w:tcPr>
          <w:p w14:paraId="49E9E963" w14:textId="77777777" w:rsidR="0018482D" w:rsidRPr="00C1590F" w:rsidRDefault="0018482D" w:rsidP="00256FC6">
            <w:pPr>
              <w:pStyle w:val="new-text"/>
              <w:jc w:val="both"/>
            </w:pPr>
            <w:r w:rsidRPr="00C1590F">
              <w:t>Excerpt From</w:t>
            </w:r>
          </w:p>
          <w:p w14:paraId="2DAB582D" w14:textId="77777777" w:rsidR="0018482D" w:rsidRPr="00C1590F" w:rsidRDefault="0018482D" w:rsidP="00256FC6">
            <w:pPr>
              <w:pStyle w:val="new-text"/>
              <w:jc w:val="both"/>
            </w:pPr>
            <w:r w:rsidRPr="00C1590F">
              <w:t>Revised Manuscript</w:t>
            </w:r>
          </w:p>
        </w:tc>
        <w:tc>
          <w:tcPr>
            <w:tcW w:w="7200" w:type="dxa"/>
          </w:tcPr>
          <w:p w14:paraId="201DFEA8" w14:textId="52D77861" w:rsidR="0018482D" w:rsidRPr="009A6888" w:rsidRDefault="006163C8" w:rsidP="00256FC6">
            <w:pPr>
              <w:rPr>
                <w:sz w:val="18"/>
                <w:szCs w:val="18"/>
              </w:rPr>
            </w:pPr>
            <w:r w:rsidRPr="009A6888">
              <w:rPr>
                <w:sz w:val="18"/>
                <w:szCs w:val="18"/>
              </w:rPr>
              <w:t>"</w:t>
            </w:r>
            <w:r w:rsidRPr="009A6888">
              <w:rPr>
                <w:rFonts w:eastAsia="ＭＳ 明朝"/>
                <w:sz w:val="18"/>
                <w:szCs w:val="18"/>
              </w:rPr>
              <w:t>In Figure 1, we demonstrate an example case in which replacing tryptophan at a particular locus within ubiquitin (PDB ID 1UBQ) with a tyrosine.</w:t>
            </w:r>
            <w:r w:rsidRPr="009A6888">
              <w:rPr>
                <w:sz w:val="18"/>
                <w:szCs w:val="18"/>
              </w:rPr>
              <w:t>"</w:t>
            </w:r>
          </w:p>
        </w:tc>
      </w:tr>
    </w:tbl>
    <w:p w14:paraId="64EEA553" w14:textId="77777777" w:rsidR="0028647F" w:rsidRDefault="0028647F" w:rsidP="0049348B">
      <w:pPr>
        <w:pStyle w:val="Heading3"/>
      </w:pPr>
    </w:p>
    <w:p w14:paraId="01566BD8" w14:textId="7980CB7C" w:rsidR="0049348B" w:rsidRDefault="0049348B" w:rsidP="0049348B">
      <w:pPr>
        <w:pStyle w:val="Heading3"/>
      </w:pPr>
      <w:r w:rsidRPr="00C1590F">
        <w:t>-- Ref</w:t>
      </w:r>
      <w:r>
        <w:t xml:space="preserve"> 2</w:t>
      </w:r>
      <w:r w:rsidRPr="00C1590F">
        <w:t>.</w:t>
      </w:r>
      <w:r>
        <w:t>5</w:t>
      </w:r>
      <w:r w:rsidRPr="00C1590F">
        <w:t xml:space="preserve"> –</w:t>
      </w:r>
      <w:r w:rsidR="00F370A4">
        <w:t xml:space="preserve"> Violin plot description in figure legends </w:t>
      </w:r>
      <w:r w:rsidRPr="00C1590F">
        <w:t>--</w:t>
      </w:r>
    </w:p>
    <w:p w14:paraId="78E40822" w14:textId="77777777" w:rsidR="0028647F" w:rsidRDefault="0028647F" w:rsidP="0028647F">
      <w:pPr>
        <w:pStyle w:val="Heading4"/>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28647F" w:rsidRPr="00C1590F" w14:paraId="6403CF9A" w14:textId="77777777" w:rsidTr="00623D6F">
        <w:tc>
          <w:tcPr>
            <w:tcW w:w="1728" w:type="dxa"/>
          </w:tcPr>
          <w:p w14:paraId="5913AD8C" w14:textId="77777777" w:rsidR="0028647F" w:rsidRPr="00C1590F" w:rsidRDefault="0028647F" w:rsidP="00623D6F">
            <w:pPr>
              <w:pStyle w:val="reviewer"/>
              <w:jc w:val="both"/>
            </w:pPr>
            <w:r w:rsidRPr="00C1590F">
              <w:t>Reviewer</w:t>
            </w:r>
          </w:p>
          <w:p w14:paraId="62F5AC33" w14:textId="77777777" w:rsidR="0028647F" w:rsidRPr="00C1590F" w:rsidRDefault="0028647F" w:rsidP="00623D6F">
            <w:pPr>
              <w:pStyle w:val="reviewer"/>
              <w:jc w:val="both"/>
            </w:pPr>
            <w:r w:rsidRPr="00C1590F">
              <w:t>Comment</w:t>
            </w:r>
          </w:p>
        </w:tc>
        <w:tc>
          <w:tcPr>
            <w:tcW w:w="7200" w:type="dxa"/>
          </w:tcPr>
          <w:p w14:paraId="05DC004A" w14:textId="5814F0B3" w:rsidR="0028647F" w:rsidRPr="00C1590F" w:rsidRDefault="0028647F" w:rsidP="00623D6F">
            <w:pPr>
              <w:autoSpaceDE w:val="0"/>
              <w:autoSpaceDN w:val="0"/>
              <w:adjustRightInd w:val="0"/>
              <w:rPr>
                <w:rFonts w:ascii="Courier New" w:hAnsi="Courier New" w:cs="Courier New"/>
                <w:sz w:val="20"/>
                <w:szCs w:val="20"/>
              </w:rPr>
            </w:pPr>
            <w:r w:rsidRPr="00333FD6">
              <w:rPr>
                <w:rFonts w:ascii="Courier New" w:hAnsi="Courier New" w:cs="Courier New"/>
                <w:sz w:val="20"/>
                <w:szCs w:val="20"/>
              </w:rPr>
              <w:t xml:space="preserve">Concerning the Fig. 2-6 (violin plots): The figure legends do not say what the white dots and the vertical lines stand for. Mean? Median? Standard </w:t>
            </w:r>
            <w:r w:rsidR="00BE5B5E" w:rsidRPr="00333FD6">
              <w:rPr>
                <w:rFonts w:ascii="Courier New" w:hAnsi="Courier New" w:cs="Courier New"/>
                <w:sz w:val="20"/>
                <w:szCs w:val="20"/>
              </w:rPr>
              <w:t>deviation</w:t>
            </w:r>
            <w:r w:rsidRPr="00333FD6">
              <w:rPr>
                <w:rFonts w:ascii="Courier New" w:hAnsi="Courier New" w:cs="Courier New"/>
                <w:sz w:val="20"/>
                <w:szCs w:val="20"/>
              </w:rPr>
              <w:t xml:space="preserve">? Range? This should be explained. Which difference between delta F is regarded significant (concerning differences in delta F "core" between </w:t>
            </w:r>
            <w:proofErr w:type="spellStart"/>
            <w:r w:rsidRPr="00333FD6">
              <w:rPr>
                <w:rFonts w:ascii="Courier New" w:hAnsi="Courier New" w:cs="Courier New"/>
                <w:sz w:val="20"/>
                <w:szCs w:val="20"/>
              </w:rPr>
              <w:t>bening</w:t>
            </w:r>
            <w:proofErr w:type="spellEnd"/>
            <w:r w:rsidRPr="00333FD6">
              <w:rPr>
                <w:rFonts w:ascii="Courier New" w:hAnsi="Courier New" w:cs="Courier New"/>
                <w:sz w:val="20"/>
                <w:szCs w:val="20"/>
              </w:rPr>
              <w:t xml:space="preserve"> SNVs and disease-causing SNVs)?</w:t>
            </w:r>
          </w:p>
        </w:tc>
      </w:tr>
      <w:tr w:rsidR="0028647F" w:rsidRPr="00C1590F" w14:paraId="37527724" w14:textId="77777777" w:rsidTr="00623D6F">
        <w:tc>
          <w:tcPr>
            <w:tcW w:w="1728" w:type="dxa"/>
          </w:tcPr>
          <w:p w14:paraId="0140340C" w14:textId="77777777" w:rsidR="0028647F" w:rsidRPr="00B9141D" w:rsidRDefault="0028647F" w:rsidP="00623D6F">
            <w:pPr>
              <w:pStyle w:val="author"/>
              <w:jc w:val="both"/>
              <w:rPr>
                <w:sz w:val="22"/>
                <w:szCs w:val="22"/>
              </w:rPr>
            </w:pPr>
            <w:r w:rsidRPr="00B9141D">
              <w:rPr>
                <w:sz w:val="22"/>
                <w:szCs w:val="22"/>
              </w:rPr>
              <w:t>Author</w:t>
            </w:r>
          </w:p>
          <w:p w14:paraId="17194F75" w14:textId="77777777" w:rsidR="0028647F" w:rsidRPr="00B9141D" w:rsidRDefault="0028647F" w:rsidP="00623D6F">
            <w:pPr>
              <w:pStyle w:val="author"/>
              <w:jc w:val="both"/>
              <w:rPr>
                <w:sz w:val="22"/>
                <w:szCs w:val="22"/>
              </w:rPr>
            </w:pPr>
            <w:r w:rsidRPr="00B9141D">
              <w:rPr>
                <w:sz w:val="22"/>
                <w:szCs w:val="22"/>
              </w:rPr>
              <w:t>Response</w:t>
            </w:r>
          </w:p>
        </w:tc>
        <w:tc>
          <w:tcPr>
            <w:tcW w:w="7200" w:type="dxa"/>
          </w:tcPr>
          <w:p w14:paraId="4109FD98" w14:textId="217C4225" w:rsidR="0028647F" w:rsidRPr="008B53C9" w:rsidRDefault="00A27BCD" w:rsidP="00327732">
            <w:pPr>
              <w:shd w:val="clear" w:color="auto" w:fill="FFFFFF"/>
              <w:rPr>
                <w:rFonts w:ascii="Arial" w:eastAsia="Times New Roman" w:hAnsi="Arial" w:cs="Arial"/>
                <w:color w:val="222222"/>
              </w:rPr>
            </w:pPr>
            <w:r w:rsidRPr="00327732">
              <w:rPr>
                <w:rFonts w:cs="Arial"/>
                <w:sz w:val="22"/>
                <w:szCs w:val="22"/>
              </w:rPr>
              <w:t>We agree that some clarifications were needed here. In the revised manuscript, we e</w:t>
            </w:r>
            <w:r w:rsidR="0028647F" w:rsidRPr="00327732">
              <w:rPr>
                <w:rFonts w:cs="Arial"/>
                <w:sz w:val="22"/>
                <w:szCs w:val="22"/>
              </w:rPr>
              <w:t>xplain the meaning</w:t>
            </w:r>
            <w:r w:rsidRPr="00327732">
              <w:rPr>
                <w:rFonts w:cs="Arial"/>
                <w:sz w:val="22"/>
                <w:szCs w:val="22"/>
              </w:rPr>
              <w:t>s</w:t>
            </w:r>
            <w:r w:rsidR="0028647F" w:rsidRPr="00327732">
              <w:rPr>
                <w:rFonts w:cs="Arial"/>
                <w:sz w:val="22"/>
                <w:szCs w:val="22"/>
              </w:rPr>
              <w:t xml:space="preserve"> of white dot</w:t>
            </w:r>
            <w:r w:rsidRPr="00327732">
              <w:rPr>
                <w:rFonts w:cs="Arial"/>
                <w:sz w:val="22"/>
                <w:szCs w:val="22"/>
              </w:rPr>
              <w:t>s</w:t>
            </w:r>
            <w:r w:rsidR="0028647F" w:rsidRPr="00327732">
              <w:rPr>
                <w:rFonts w:cs="Arial"/>
                <w:sz w:val="22"/>
                <w:szCs w:val="22"/>
              </w:rPr>
              <w:t xml:space="preserve"> and vertical lines </w:t>
            </w:r>
            <w:r w:rsidRPr="00327732">
              <w:rPr>
                <w:rFonts w:cs="Arial"/>
                <w:sz w:val="22"/>
                <w:szCs w:val="22"/>
              </w:rPr>
              <w:t xml:space="preserve">within the updated figure </w:t>
            </w:r>
            <w:r w:rsidR="0028647F" w:rsidRPr="00327732">
              <w:rPr>
                <w:rFonts w:cs="Arial"/>
                <w:sz w:val="22"/>
                <w:szCs w:val="22"/>
              </w:rPr>
              <w:t>legend</w:t>
            </w:r>
            <w:r w:rsidRPr="00327732">
              <w:rPr>
                <w:rFonts w:cs="Arial"/>
                <w:sz w:val="22"/>
                <w:szCs w:val="22"/>
              </w:rPr>
              <w:t>s</w:t>
            </w:r>
            <w:r w:rsidR="0028647F" w:rsidRPr="00327732">
              <w:rPr>
                <w:rFonts w:cs="Arial"/>
                <w:sz w:val="22"/>
                <w:szCs w:val="22"/>
              </w:rPr>
              <w:t>. Comparison</w:t>
            </w:r>
            <w:r w:rsidR="0028647F">
              <w:rPr>
                <w:rFonts w:cs="Arial"/>
                <w:sz w:val="22"/>
                <w:szCs w:val="22"/>
              </w:rPr>
              <w:t xml:space="preserve"> of </w:t>
            </w:r>
            <w:r w:rsidR="00327732" w:rsidRPr="00327732">
              <w:rPr>
                <w:rFonts w:cs="Arial"/>
                <w:sz w:val="22"/>
                <w:szCs w:val="22"/>
              </w:rPr>
              <w:t>ΔF</w:t>
            </w:r>
            <w:r w:rsidR="0028647F">
              <w:rPr>
                <w:rFonts w:cs="Arial"/>
                <w:sz w:val="22"/>
                <w:szCs w:val="22"/>
              </w:rPr>
              <w:t xml:space="preserve"> distribution</w:t>
            </w:r>
            <w:r w:rsidR="00327732">
              <w:rPr>
                <w:rFonts w:cs="Arial"/>
                <w:sz w:val="22"/>
                <w:szCs w:val="22"/>
              </w:rPr>
              <w:t>s</w:t>
            </w:r>
            <w:r w:rsidR="0028647F">
              <w:rPr>
                <w:rFonts w:cs="Arial"/>
                <w:sz w:val="22"/>
                <w:szCs w:val="22"/>
              </w:rPr>
              <w:t xml:space="preserve"> for the ExAC core </w:t>
            </w:r>
            <w:r w:rsidR="00327732">
              <w:rPr>
                <w:rFonts w:cs="Arial"/>
                <w:sz w:val="22"/>
                <w:szCs w:val="22"/>
              </w:rPr>
              <w:t>SNVs</w:t>
            </w:r>
            <w:r w:rsidR="0028647F">
              <w:rPr>
                <w:rFonts w:cs="Arial"/>
                <w:sz w:val="22"/>
                <w:szCs w:val="22"/>
              </w:rPr>
              <w:t xml:space="preserve"> and HGMD core </w:t>
            </w:r>
            <w:r w:rsidR="00327732">
              <w:rPr>
                <w:rFonts w:cs="Arial"/>
                <w:sz w:val="22"/>
                <w:szCs w:val="22"/>
              </w:rPr>
              <w:t>SNVs</w:t>
            </w:r>
            <w:r w:rsidR="0028647F">
              <w:rPr>
                <w:rFonts w:cs="Arial"/>
                <w:sz w:val="22"/>
                <w:szCs w:val="22"/>
              </w:rPr>
              <w:t xml:space="preserve"> </w:t>
            </w:r>
            <w:r w:rsidR="00327732">
              <w:rPr>
                <w:rFonts w:cs="Arial"/>
                <w:sz w:val="22"/>
                <w:szCs w:val="22"/>
              </w:rPr>
              <w:t>point to</w:t>
            </w:r>
            <w:r w:rsidR="0028647F">
              <w:rPr>
                <w:rFonts w:cs="Arial"/>
                <w:sz w:val="22"/>
                <w:szCs w:val="22"/>
              </w:rPr>
              <w:t xml:space="preserve"> statistically significant differences </w:t>
            </w:r>
            <w:r w:rsidR="00327732">
              <w:rPr>
                <w:rFonts w:cs="Arial"/>
                <w:sz w:val="22"/>
                <w:szCs w:val="22"/>
              </w:rPr>
              <w:t xml:space="preserve">(p-value &lt; 2e-16 using a </w:t>
            </w:r>
            <w:r w:rsidR="0028647F">
              <w:rPr>
                <w:rFonts w:cs="Arial"/>
                <w:sz w:val="22"/>
                <w:szCs w:val="22"/>
              </w:rPr>
              <w:t>two-sided Wilcoxon test</w:t>
            </w:r>
            <w:r w:rsidR="00327732">
              <w:rPr>
                <w:rFonts w:cs="Arial"/>
                <w:sz w:val="22"/>
                <w:szCs w:val="22"/>
              </w:rPr>
              <w:t>)</w:t>
            </w:r>
            <w:r w:rsidR="0028647F">
              <w:rPr>
                <w:rFonts w:cs="Arial"/>
                <w:sz w:val="22"/>
                <w:szCs w:val="22"/>
              </w:rPr>
              <w:t>. Furthermore, this observation was also true for comparison</w:t>
            </w:r>
            <w:r w:rsidR="00327732">
              <w:rPr>
                <w:rFonts w:cs="Arial"/>
                <w:sz w:val="22"/>
                <w:szCs w:val="22"/>
              </w:rPr>
              <w:t>s</w:t>
            </w:r>
            <w:r w:rsidR="0028647F">
              <w:rPr>
                <w:rFonts w:cs="Arial"/>
                <w:sz w:val="22"/>
                <w:szCs w:val="22"/>
              </w:rPr>
              <w:t xml:space="preserve"> involving </w:t>
            </w:r>
            <w:r w:rsidR="00327732">
              <w:rPr>
                <w:rFonts w:cs="Arial"/>
                <w:sz w:val="22"/>
                <w:szCs w:val="22"/>
              </w:rPr>
              <w:t>1000 Genomes</w:t>
            </w:r>
            <w:r w:rsidR="0028647F">
              <w:rPr>
                <w:rFonts w:cs="Arial"/>
                <w:sz w:val="22"/>
                <w:szCs w:val="22"/>
              </w:rPr>
              <w:t xml:space="preserve"> core </w:t>
            </w:r>
            <w:r w:rsidR="00327732">
              <w:rPr>
                <w:rFonts w:cs="Arial"/>
                <w:sz w:val="22"/>
                <w:szCs w:val="22"/>
              </w:rPr>
              <w:t xml:space="preserve">SNVs </w:t>
            </w:r>
            <w:r w:rsidR="0028647F">
              <w:rPr>
                <w:rFonts w:cs="Arial"/>
                <w:sz w:val="22"/>
                <w:szCs w:val="22"/>
              </w:rPr>
              <w:t xml:space="preserve">and HGMD core </w:t>
            </w:r>
            <w:r w:rsidR="00327732">
              <w:rPr>
                <w:rFonts w:cs="Arial"/>
                <w:sz w:val="22"/>
                <w:szCs w:val="22"/>
              </w:rPr>
              <w:t>SNVs</w:t>
            </w:r>
            <w:r w:rsidR="0028647F">
              <w:rPr>
                <w:rFonts w:cs="Arial"/>
                <w:sz w:val="22"/>
                <w:szCs w:val="22"/>
              </w:rPr>
              <w:t>.</w:t>
            </w:r>
          </w:p>
        </w:tc>
      </w:tr>
      <w:tr w:rsidR="0028647F" w:rsidRPr="00C1590F" w14:paraId="69A7A93E" w14:textId="77777777" w:rsidTr="00623D6F">
        <w:tc>
          <w:tcPr>
            <w:tcW w:w="1728" w:type="dxa"/>
          </w:tcPr>
          <w:p w14:paraId="71B163D0" w14:textId="62ACC13D" w:rsidR="0028647F" w:rsidRPr="00C1590F" w:rsidRDefault="0028647F" w:rsidP="00623D6F">
            <w:pPr>
              <w:pStyle w:val="new-text"/>
              <w:jc w:val="both"/>
            </w:pPr>
            <w:r w:rsidRPr="00C1590F">
              <w:t>Excerpt From</w:t>
            </w:r>
          </w:p>
          <w:p w14:paraId="3D4F0432" w14:textId="77777777" w:rsidR="0028647F" w:rsidRPr="00C1590F" w:rsidRDefault="0028647F" w:rsidP="00623D6F">
            <w:pPr>
              <w:pStyle w:val="new-text"/>
              <w:jc w:val="both"/>
            </w:pPr>
            <w:r w:rsidRPr="00C1590F">
              <w:t>Revised Manuscript</w:t>
            </w:r>
          </w:p>
        </w:tc>
        <w:tc>
          <w:tcPr>
            <w:tcW w:w="7200" w:type="dxa"/>
          </w:tcPr>
          <w:p w14:paraId="1B60BFB8" w14:textId="7150949D" w:rsidR="0028647F" w:rsidRPr="009A6888" w:rsidRDefault="00F8534A" w:rsidP="009A6888">
            <w:pPr>
              <w:rPr>
                <w:rFonts w:eastAsia="ＭＳ 明朝"/>
                <w:bCs/>
                <w:sz w:val="18"/>
                <w:szCs w:val="18"/>
              </w:rPr>
            </w:pPr>
            <w:r w:rsidRPr="009A6888">
              <w:rPr>
                <w:sz w:val="18"/>
                <w:szCs w:val="18"/>
              </w:rPr>
              <w:t>“</w:t>
            </w:r>
            <w:r w:rsidR="009A6888" w:rsidRPr="009A6888">
              <w:rPr>
                <w:rFonts w:eastAsia="ＭＳ 明朝"/>
                <w:bCs/>
                <w:sz w:val="18"/>
                <w:szCs w:val="18"/>
              </w:rPr>
              <w:t xml:space="preserve">The white dots, the black boxes and vertical lines represents the medians, interquartile ranges, and 95% confidence intervals of </w:t>
            </w:r>
            <w:r w:rsidR="009A6888" w:rsidRPr="009A6888">
              <w:rPr>
                <w:rFonts w:eastAsia="ＭＳ 明朝"/>
                <w:bCs/>
                <w:sz w:val="18"/>
                <w:szCs w:val="18"/>
              </w:rPr>
              <w:sym w:font="Symbol" w:char="F044"/>
            </w:r>
            <w:r w:rsidR="009A6888" w:rsidRPr="009A6888">
              <w:rPr>
                <w:rFonts w:eastAsia="ＭＳ 明朝"/>
                <w:bCs/>
                <w:sz w:val="18"/>
                <w:szCs w:val="18"/>
              </w:rPr>
              <w:t>F distributions, respectively.</w:t>
            </w:r>
            <w:r w:rsidRPr="009A6888">
              <w:rPr>
                <w:sz w:val="18"/>
                <w:szCs w:val="18"/>
              </w:rPr>
              <w:t>.”</w:t>
            </w:r>
          </w:p>
        </w:tc>
      </w:tr>
    </w:tbl>
    <w:p w14:paraId="2538DF2A" w14:textId="77777777" w:rsidR="0028647F" w:rsidRPr="0028647F" w:rsidRDefault="0028647F" w:rsidP="0028647F"/>
    <w:p w14:paraId="430910E3" w14:textId="77777777" w:rsidR="0090496D" w:rsidRPr="00C1590F" w:rsidRDefault="0090496D" w:rsidP="0090496D"/>
    <w:p w14:paraId="4B433731" w14:textId="739966CE" w:rsidR="004A1A82" w:rsidRPr="004A1A82" w:rsidRDefault="0090496D" w:rsidP="00550655">
      <w:pPr>
        <w:pStyle w:val="Heading3"/>
      </w:pPr>
      <w:r w:rsidRPr="00C1590F">
        <w:t>-- Ref</w:t>
      </w:r>
      <w:r>
        <w:t xml:space="preserve"> 2</w:t>
      </w:r>
      <w:r w:rsidRPr="00C1590F">
        <w:t>.</w:t>
      </w:r>
      <w:r w:rsidR="00333FD6">
        <w:t>6</w:t>
      </w:r>
      <w:r w:rsidRPr="00C1590F">
        <w:t xml:space="preserve"> – </w:t>
      </w:r>
      <w:r w:rsidR="00F370A4">
        <w:t>cutoff for common/rare differentiation</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A1A82" w:rsidRPr="00C1590F" w14:paraId="6B9F52E5" w14:textId="77777777" w:rsidTr="00D868F0">
        <w:tc>
          <w:tcPr>
            <w:tcW w:w="1728" w:type="dxa"/>
          </w:tcPr>
          <w:p w14:paraId="6CA92BE3" w14:textId="77777777" w:rsidR="004A1A82" w:rsidRPr="00C1590F" w:rsidRDefault="004A1A82" w:rsidP="00D868F0">
            <w:pPr>
              <w:pStyle w:val="reviewer"/>
              <w:jc w:val="both"/>
            </w:pPr>
            <w:r w:rsidRPr="00C1590F">
              <w:t>Reviewer</w:t>
            </w:r>
          </w:p>
          <w:p w14:paraId="3105A28B" w14:textId="77777777" w:rsidR="004A1A82" w:rsidRPr="00C1590F" w:rsidRDefault="004A1A82" w:rsidP="00D868F0">
            <w:pPr>
              <w:pStyle w:val="reviewer"/>
              <w:jc w:val="both"/>
            </w:pPr>
            <w:r w:rsidRPr="00C1590F">
              <w:t>Comment</w:t>
            </w:r>
          </w:p>
        </w:tc>
        <w:tc>
          <w:tcPr>
            <w:tcW w:w="7200" w:type="dxa"/>
          </w:tcPr>
          <w:p w14:paraId="7A8C18C6" w14:textId="0F02158C" w:rsidR="004A1A82" w:rsidRPr="00C1590F" w:rsidRDefault="004A1A82" w:rsidP="004A1A82">
            <w:pPr>
              <w:rPr>
                <w:rFonts w:ascii="Courier New" w:hAnsi="Courier New" w:cs="Courier New"/>
                <w:sz w:val="20"/>
                <w:szCs w:val="20"/>
              </w:rPr>
            </w:pPr>
            <w:r w:rsidRPr="00333FD6">
              <w:rPr>
                <w:rFonts w:ascii="Courier New" w:hAnsi="Courier New" w:cs="Courier New"/>
                <w:sz w:val="20"/>
                <w:szCs w:val="20"/>
              </w:rPr>
              <w:t>Fig. 3: Which MAF separates "common" from "rare" SNVs?</w:t>
            </w:r>
          </w:p>
        </w:tc>
      </w:tr>
      <w:tr w:rsidR="004A1A82" w:rsidRPr="00C1590F" w14:paraId="610FF7AE" w14:textId="77777777" w:rsidTr="00D868F0">
        <w:tc>
          <w:tcPr>
            <w:tcW w:w="1728" w:type="dxa"/>
          </w:tcPr>
          <w:p w14:paraId="5A3C1BD8" w14:textId="77777777" w:rsidR="004A1A82" w:rsidRPr="00B9141D" w:rsidRDefault="004A1A82" w:rsidP="00D868F0">
            <w:pPr>
              <w:pStyle w:val="author"/>
              <w:jc w:val="both"/>
              <w:rPr>
                <w:sz w:val="22"/>
                <w:szCs w:val="22"/>
              </w:rPr>
            </w:pPr>
            <w:r w:rsidRPr="00B9141D">
              <w:rPr>
                <w:sz w:val="22"/>
                <w:szCs w:val="22"/>
              </w:rPr>
              <w:t>Author</w:t>
            </w:r>
          </w:p>
          <w:p w14:paraId="4F0502A9" w14:textId="77777777" w:rsidR="004A1A82" w:rsidRPr="00B9141D" w:rsidRDefault="004A1A82" w:rsidP="00D868F0">
            <w:pPr>
              <w:pStyle w:val="author"/>
              <w:jc w:val="both"/>
              <w:rPr>
                <w:sz w:val="22"/>
                <w:szCs w:val="22"/>
              </w:rPr>
            </w:pPr>
            <w:r w:rsidRPr="00B9141D">
              <w:rPr>
                <w:sz w:val="22"/>
                <w:szCs w:val="22"/>
              </w:rPr>
              <w:t>Response</w:t>
            </w:r>
          </w:p>
        </w:tc>
        <w:tc>
          <w:tcPr>
            <w:tcW w:w="7200" w:type="dxa"/>
          </w:tcPr>
          <w:p w14:paraId="0E43FB65" w14:textId="0273FD17" w:rsidR="004A1A82" w:rsidRPr="00D7547B" w:rsidRDefault="004A1A82" w:rsidP="004A1A82">
            <w:pPr>
              <w:shd w:val="clear" w:color="auto" w:fill="FFFFFF"/>
              <w:rPr>
                <w:rFonts w:eastAsia="Times New Roman"/>
                <w:color w:val="222222"/>
                <w:sz w:val="22"/>
                <w:szCs w:val="22"/>
              </w:rPr>
            </w:pPr>
            <w:r>
              <w:rPr>
                <w:rFonts w:cs="Arial"/>
              </w:rPr>
              <w:t xml:space="preserve">We applied </w:t>
            </w:r>
            <w:r w:rsidR="000A381C">
              <w:rPr>
                <w:rFonts w:cs="Arial"/>
              </w:rPr>
              <w:t xml:space="preserve">a </w:t>
            </w:r>
            <w:r>
              <w:rPr>
                <w:rFonts w:cs="Arial"/>
              </w:rPr>
              <w:t>MAF threshold of 0.005 to distinguish between rare (MAF &lt;=0.005) and common variants</w:t>
            </w:r>
            <w:r w:rsidR="000A381C">
              <w:rPr>
                <w:rFonts w:cs="Arial"/>
              </w:rPr>
              <w:t>. This previously missing information has now been incorporated into the text.</w:t>
            </w:r>
          </w:p>
        </w:tc>
      </w:tr>
      <w:tr w:rsidR="004A1A82" w:rsidRPr="00C1590F" w14:paraId="6A456562" w14:textId="77777777" w:rsidTr="00D868F0">
        <w:tc>
          <w:tcPr>
            <w:tcW w:w="1728" w:type="dxa"/>
          </w:tcPr>
          <w:p w14:paraId="3C9DAB92" w14:textId="77777777" w:rsidR="004A1A82" w:rsidRPr="00C1590F" w:rsidRDefault="004A1A82" w:rsidP="00D868F0">
            <w:pPr>
              <w:pStyle w:val="new-text"/>
              <w:jc w:val="both"/>
            </w:pPr>
            <w:r w:rsidRPr="00C1590F">
              <w:t>Excerpt From</w:t>
            </w:r>
          </w:p>
          <w:p w14:paraId="07CBE652" w14:textId="77777777" w:rsidR="004A1A82" w:rsidRPr="00C1590F" w:rsidRDefault="004A1A82" w:rsidP="00D868F0">
            <w:pPr>
              <w:pStyle w:val="new-text"/>
              <w:jc w:val="both"/>
            </w:pPr>
            <w:r w:rsidRPr="00C1590F">
              <w:t>Revised Manuscript</w:t>
            </w:r>
          </w:p>
        </w:tc>
        <w:tc>
          <w:tcPr>
            <w:tcW w:w="7200" w:type="dxa"/>
          </w:tcPr>
          <w:p w14:paraId="344F88F1" w14:textId="6AEB5C1B" w:rsidR="004A1A82" w:rsidRPr="001E1F15" w:rsidRDefault="004A1A82" w:rsidP="004A1A82">
            <w:pPr>
              <w:rPr>
                <w:sz w:val="18"/>
                <w:szCs w:val="18"/>
              </w:rPr>
            </w:pPr>
            <w:r w:rsidRPr="001E1F15">
              <w:rPr>
                <w:sz w:val="18"/>
                <w:szCs w:val="18"/>
              </w:rPr>
              <w:t>"</w:t>
            </w:r>
            <w:r w:rsidRPr="001E1F15">
              <w:rPr>
                <w:rFonts w:eastAsia="ＭＳ 明朝"/>
                <w:sz w:val="18"/>
                <w:szCs w:val="18"/>
              </w:rPr>
              <w:t>Furthermore, we investigated the differential influence of common and rare mutations, where SNVs with minor allele frequency (MAF) less than or equal to 0.5% were considered to be rare mutations. SNVs were otherwise classified as common.</w:t>
            </w:r>
            <w:r w:rsidRPr="001E1F15">
              <w:rPr>
                <w:sz w:val="18"/>
                <w:szCs w:val="18"/>
              </w:rPr>
              <w:t xml:space="preserve"> "</w:t>
            </w:r>
          </w:p>
        </w:tc>
      </w:tr>
    </w:tbl>
    <w:p w14:paraId="5BD728FB" w14:textId="77777777" w:rsidR="0028541B" w:rsidRPr="00C1590F" w:rsidRDefault="0028541B" w:rsidP="00256FC6"/>
    <w:p w14:paraId="1C9C48E6" w14:textId="735348C6" w:rsidR="004A1A82" w:rsidRPr="004A1A82" w:rsidRDefault="00256FC6" w:rsidP="004A1A82">
      <w:pPr>
        <w:pStyle w:val="Heading3"/>
      </w:pPr>
      <w:r w:rsidRPr="00C1590F">
        <w:t>-- Ref</w:t>
      </w:r>
      <w:r>
        <w:t xml:space="preserve"> 2</w:t>
      </w:r>
      <w:r w:rsidRPr="00C1590F">
        <w:t>.</w:t>
      </w:r>
      <w:r w:rsidR="00333FD6">
        <w:t>7</w:t>
      </w:r>
      <w:r w:rsidRPr="00C1590F">
        <w:t xml:space="preserve"> – </w:t>
      </w:r>
      <w:r w:rsidR="00F370A4">
        <w:t>Spacing error</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256FC6" w:rsidRPr="00C1590F" w14:paraId="730E0E0D" w14:textId="77777777" w:rsidTr="00256FC6">
        <w:tc>
          <w:tcPr>
            <w:tcW w:w="1728" w:type="dxa"/>
          </w:tcPr>
          <w:p w14:paraId="1BA781BD" w14:textId="77777777" w:rsidR="00256FC6" w:rsidRPr="00C1590F" w:rsidRDefault="00256FC6" w:rsidP="00256FC6">
            <w:pPr>
              <w:pStyle w:val="reviewer"/>
              <w:jc w:val="both"/>
            </w:pPr>
            <w:r w:rsidRPr="00C1590F">
              <w:t>Reviewer</w:t>
            </w:r>
          </w:p>
          <w:p w14:paraId="0428FC04" w14:textId="77777777" w:rsidR="00256FC6" w:rsidRPr="00C1590F" w:rsidRDefault="00256FC6" w:rsidP="00256FC6">
            <w:pPr>
              <w:pStyle w:val="reviewer"/>
              <w:jc w:val="both"/>
            </w:pPr>
            <w:r w:rsidRPr="00C1590F">
              <w:t>Comment</w:t>
            </w:r>
          </w:p>
        </w:tc>
        <w:tc>
          <w:tcPr>
            <w:tcW w:w="7200" w:type="dxa"/>
          </w:tcPr>
          <w:p w14:paraId="16FB3F1D" w14:textId="77777777" w:rsidR="00333FD6" w:rsidRPr="00333FD6" w:rsidRDefault="00333FD6" w:rsidP="00333FD6">
            <w:pPr>
              <w:rPr>
                <w:rFonts w:ascii="Courier New" w:hAnsi="Courier New" w:cs="Courier New"/>
                <w:sz w:val="20"/>
                <w:szCs w:val="20"/>
              </w:rPr>
            </w:pPr>
            <w:r w:rsidRPr="00333FD6">
              <w:rPr>
                <w:rFonts w:ascii="Courier New" w:hAnsi="Courier New" w:cs="Courier New"/>
                <w:sz w:val="20"/>
                <w:szCs w:val="20"/>
              </w:rPr>
              <w:t>Very minor point: Sometimes, spaces are missing (e.g. p.3 l.21/l.37). Re-check for this.</w:t>
            </w:r>
          </w:p>
          <w:p w14:paraId="3358DC74" w14:textId="30BF8104" w:rsidR="00256FC6" w:rsidRPr="00C1590F" w:rsidRDefault="00256FC6" w:rsidP="00D7547B">
            <w:pPr>
              <w:rPr>
                <w:rFonts w:ascii="Courier New" w:hAnsi="Courier New" w:cs="Courier New"/>
                <w:sz w:val="20"/>
                <w:szCs w:val="20"/>
              </w:rPr>
            </w:pPr>
          </w:p>
        </w:tc>
      </w:tr>
      <w:tr w:rsidR="00256FC6" w:rsidRPr="00C1590F" w14:paraId="5078B9D0" w14:textId="77777777" w:rsidTr="00256FC6">
        <w:tc>
          <w:tcPr>
            <w:tcW w:w="1728" w:type="dxa"/>
          </w:tcPr>
          <w:p w14:paraId="7D3E0699" w14:textId="77777777" w:rsidR="00256FC6" w:rsidRPr="00B9141D" w:rsidRDefault="00256FC6" w:rsidP="00256FC6">
            <w:pPr>
              <w:pStyle w:val="author"/>
              <w:jc w:val="both"/>
              <w:rPr>
                <w:sz w:val="22"/>
                <w:szCs w:val="22"/>
              </w:rPr>
            </w:pPr>
            <w:r w:rsidRPr="00B9141D">
              <w:rPr>
                <w:sz w:val="22"/>
                <w:szCs w:val="22"/>
              </w:rPr>
              <w:t>Author</w:t>
            </w:r>
          </w:p>
          <w:p w14:paraId="4F9021C7" w14:textId="77777777" w:rsidR="00256FC6" w:rsidRPr="00B9141D" w:rsidRDefault="00256FC6" w:rsidP="00256FC6">
            <w:pPr>
              <w:pStyle w:val="author"/>
              <w:jc w:val="both"/>
              <w:rPr>
                <w:sz w:val="22"/>
                <w:szCs w:val="22"/>
              </w:rPr>
            </w:pPr>
            <w:r w:rsidRPr="00B9141D">
              <w:rPr>
                <w:sz w:val="22"/>
                <w:szCs w:val="22"/>
              </w:rPr>
              <w:t>Response</w:t>
            </w:r>
          </w:p>
        </w:tc>
        <w:tc>
          <w:tcPr>
            <w:tcW w:w="7200" w:type="dxa"/>
          </w:tcPr>
          <w:p w14:paraId="676CB56B" w14:textId="7C8EAEF0" w:rsidR="00256FC6" w:rsidRPr="00D7547B" w:rsidRDefault="000A381C" w:rsidP="00572DE7">
            <w:pPr>
              <w:shd w:val="clear" w:color="auto" w:fill="FFFFFF"/>
              <w:rPr>
                <w:rFonts w:eastAsia="Times New Roman"/>
                <w:color w:val="222222"/>
                <w:sz w:val="22"/>
                <w:szCs w:val="22"/>
              </w:rPr>
            </w:pPr>
            <w:r>
              <w:rPr>
                <w:rFonts w:eastAsia="Times New Roman"/>
                <w:color w:val="222222"/>
                <w:sz w:val="22"/>
                <w:szCs w:val="22"/>
              </w:rPr>
              <w:t xml:space="preserve">We thank the reviewer for pointing this out. </w:t>
            </w:r>
            <w:r w:rsidR="00572DE7">
              <w:rPr>
                <w:rFonts w:eastAsia="Times New Roman"/>
                <w:color w:val="222222"/>
                <w:sz w:val="22"/>
                <w:szCs w:val="22"/>
              </w:rPr>
              <w:t>We have fixed this formatting error in the updated version of the manuscript.</w:t>
            </w:r>
          </w:p>
        </w:tc>
      </w:tr>
      <w:tr w:rsidR="00256FC6" w:rsidRPr="00C1590F" w14:paraId="61C85E23" w14:textId="77777777" w:rsidTr="00256FC6">
        <w:tc>
          <w:tcPr>
            <w:tcW w:w="1728" w:type="dxa"/>
          </w:tcPr>
          <w:p w14:paraId="427D48A3" w14:textId="77777777" w:rsidR="00256FC6" w:rsidRPr="00C1590F" w:rsidRDefault="00256FC6" w:rsidP="00256FC6">
            <w:pPr>
              <w:pStyle w:val="new-text"/>
              <w:jc w:val="both"/>
            </w:pPr>
            <w:r w:rsidRPr="00C1590F">
              <w:t>Excerpt From</w:t>
            </w:r>
          </w:p>
          <w:p w14:paraId="5B587A84" w14:textId="77777777" w:rsidR="00256FC6" w:rsidRPr="00C1590F" w:rsidRDefault="00256FC6" w:rsidP="00256FC6">
            <w:pPr>
              <w:pStyle w:val="new-text"/>
              <w:jc w:val="both"/>
            </w:pPr>
            <w:r w:rsidRPr="00C1590F">
              <w:t>Revised Manuscript</w:t>
            </w:r>
          </w:p>
        </w:tc>
        <w:tc>
          <w:tcPr>
            <w:tcW w:w="7200" w:type="dxa"/>
          </w:tcPr>
          <w:p w14:paraId="6C6109F8" w14:textId="099D96AD" w:rsidR="00256FC6" w:rsidRPr="007D009E" w:rsidRDefault="00256FC6" w:rsidP="004A1A82">
            <w:pPr>
              <w:rPr>
                <w:sz w:val="20"/>
                <w:szCs w:val="20"/>
              </w:rPr>
            </w:pPr>
          </w:p>
        </w:tc>
      </w:tr>
    </w:tbl>
    <w:p w14:paraId="02ED602F" w14:textId="77777777" w:rsidR="00511D3A" w:rsidRDefault="00511D3A" w:rsidP="007D009E"/>
    <w:p w14:paraId="2A638392" w14:textId="77777777" w:rsidR="0076160A" w:rsidRDefault="0076160A" w:rsidP="007D009E"/>
    <w:p w14:paraId="3BFD5CC6" w14:textId="1BF4B34E" w:rsidR="0097069B" w:rsidRPr="00C1590F" w:rsidRDefault="0097069B" w:rsidP="0097069B">
      <w:pPr>
        <w:pStyle w:val="Heading3"/>
      </w:pPr>
      <w:r w:rsidRPr="00C1590F">
        <w:t>-- Ref</w:t>
      </w:r>
      <w:r>
        <w:t xml:space="preserve"> 3</w:t>
      </w:r>
      <w:r w:rsidRPr="00C1590F">
        <w:t>.</w:t>
      </w:r>
      <w:r>
        <w:t>1</w:t>
      </w:r>
      <w:r w:rsidRPr="00C1590F">
        <w:t xml:space="preserve"> –</w:t>
      </w:r>
      <w:r w:rsidR="00713485">
        <w:t xml:space="preserve"> Regarding limitation of method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97069B" w:rsidRPr="00C1590F" w14:paraId="61C6D187" w14:textId="77777777" w:rsidTr="0097069B">
        <w:tc>
          <w:tcPr>
            <w:tcW w:w="1728" w:type="dxa"/>
          </w:tcPr>
          <w:p w14:paraId="01DCF3F2" w14:textId="77777777" w:rsidR="0097069B" w:rsidRPr="00C1590F" w:rsidRDefault="0097069B" w:rsidP="0097069B">
            <w:pPr>
              <w:pStyle w:val="reviewer"/>
              <w:jc w:val="both"/>
            </w:pPr>
            <w:r w:rsidRPr="00C1590F">
              <w:t>Reviewer</w:t>
            </w:r>
          </w:p>
          <w:p w14:paraId="1487407E" w14:textId="77777777" w:rsidR="0097069B" w:rsidRPr="00C1590F" w:rsidRDefault="0097069B" w:rsidP="0097069B">
            <w:pPr>
              <w:pStyle w:val="reviewer"/>
              <w:jc w:val="both"/>
            </w:pPr>
            <w:r w:rsidRPr="00C1590F">
              <w:t>Comment</w:t>
            </w:r>
          </w:p>
        </w:tc>
        <w:tc>
          <w:tcPr>
            <w:tcW w:w="7200" w:type="dxa"/>
          </w:tcPr>
          <w:p w14:paraId="7D398A40" w14:textId="77777777" w:rsidR="0097069B" w:rsidRPr="00CE1E4B" w:rsidRDefault="0097069B" w:rsidP="0097069B">
            <w:pPr>
              <w:rPr>
                <w:rFonts w:ascii="Courier New" w:eastAsia="Times New Roman" w:hAnsi="Courier New" w:cs="Courier New"/>
                <w:sz w:val="20"/>
                <w:szCs w:val="20"/>
                <w:lang w:eastAsia="en-US"/>
              </w:rPr>
            </w:pPr>
            <w:r w:rsidRPr="00CE1E4B">
              <w:rPr>
                <w:rFonts w:ascii="Courier New" w:eastAsia="Times New Roman" w:hAnsi="Courier New" w:cs="Courier New"/>
                <w:color w:val="222222"/>
                <w:sz w:val="20"/>
                <w:szCs w:val="20"/>
                <w:shd w:val="clear" w:color="auto" w:fill="FFFFFF"/>
                <w:lang w:eastAsia="en-US"/>
              </w:rPr>
              <w:t xml:space="preserve">The main rationale for the paper put forward by the authors is rapidly growing number of rare variants coming from individual genomes sequencing projects and the need for new methods to infer potential functional associations of such variants. However, the results presented in this </w:t>
            </w:r>
            <w:r w:rsidRPr="00CE1E4B">
              <w:rPr>
                <w:rFonts w:ascii="Courier New" w:eastAsia="Times New Roman" w:hAnsi="Courier New" w:cs="Courier New"/>
                <w:color w:val="222222"/>
                <w:sz w:val="20"/>
                <w:szCs w:val="20"/>
                <w:shd w:val="clear" w:color="auto" w:fill="FFFFFF"/>
                <w:lang w:eastAsia="en-US"/>
              </w:rPr>
              <w:lastRenderedPageBreak/>
              <w:t>work clearly underscore main limitation of all structure-based methods: scarcity of high-resolution 3D protein structures and low PDB mapping coverage makes them less useful compared to more common sequence-based methods. In fact, the fraction of successfully PDB-mapped variants from ExAC database reported by the authors is below 2% (Supporting Information). This makes method's potential contribution to large scale interpretation of rare and unknown significance variants rather questionable. More general estimates usually agree upon less than 10% of all known human proteins covered by PDB, still too few. Unfortunately, there is no evidence that this coverage would increase significantly in the near future. Also, PDB is highly biased towards representing a subset of all known protein folds/domains and this bias keeps increasing, not diminishing.</w:t>
            </w:r>
            <w:r w:rsidRPr="00CE1E4B">
              <w:rPr>
                <w:rFonts w:ascii="Courier New" w:eastAsia="Times New Roman" w:hAnsi="Courier New" w:cs="Courier New"/>
                <w:color w:val="222222"/>
                <w:sz w:val="20"/>
                <w:szCs w:val="20"/>
                <w:lang w:eastAsia="en-US"/>
              </w:rPr>
              <w:br/>
            </w:r>
            <w:r w:rsidRPr="00CE1E4B">
              <w:rPr>
                <w:rFonts w:ascii="Courier New" w:eastAsia="Times New Roman" w:hAnsi="Courier New" w:cs="Courier New"/>
                <w:color w:val="222222"/>
                <w:sz w:val="20"/>
                <w:szCs w:val="20"/>
                <w:lang w:eastAsia="en-US"/>
              </w:rPr>
              <w:br/>
            </w:r>
            <w:r w:rsidRPr="00CE1E4B">
              <w:rPr>
                <w:rFonts w:ascii="Courier New" w:eastAsia="Times New Roman" w:hAnsi="Courier New" w:cs="Courier New"/>
                <w:color w:val="222222"/>
                <w:sz w:val="20"/>
                <w:szCs w:val="20"/>
                <w:shd w:val="clear" w:color="auto" w:fill="FFFFFF"/>
                <w:lang w:eastAsia="en-US"/>
              </w:rPr>
              <w:t>I would recommend either removing or significantly toning down all claims about potential applicability of the method towards large-scale human variant interpretation, specifically from the Abstract and Introduction.</w:t>
            </w:r>
          </w:p>
          <w:p w14:paraId="5D640954" w14:textId="77777777" w:rsidR="0097069B" w:rsidRPr="00C1590F" w:rsidRDefault="0097069B" w:rsidP="0097069B">
            <w:pPr>
              <w:rPr>
                <w:rFonts w:ascii="Courier New" w:hAnsi="Courier New" w:cs="Courier New"/>
                <w:sz w:val="20"/>
                <w:szCs w:val="20"/>
              </w:rPr>
            </w:pPr>
          </w:p>
        </w:tc>
      </w:tr>
      <w:tr w:rsidR="0097069B" w:rsidRPr="00C1590F" w14:paraId="2E55E836" w14:textId="77777777" w:rsidTr="0097069B">
        <w:tc>
          <w:tcPr>
            <w:tcW w:w="1728" w:type="dxa"/>
          </w:tcPr>
          <w:p w14:paraId="2361051B" w14:textId="77777777" w:rsidR="0097069B" w:rsidRPr="00B9141D" w:rsidRDefault="0097069B" w:rsidP="0097069B">
            <w:pPr>
              <w:pStyle w:val="author"/>
              <w:jc w:val="both"/>
              <w:rPr>
                <w:sz w:val="22"/>
                <w:szCs w:val="22"/>
              </w:rPr>
            </w:pPr>
            <w:r w:rsidRPr="00B9141D">
              <w:rPr>
                <w:sz w:val="22"/>
                <w:szCs w:val="22"/>
              </w:rPr>
              <w:lastRenderedPageBreak/>
              <w:t>Author</w:t>
            </w:r>
          </w:p>
          <w:p w14:paraId="5C0DA736" w14:textId="77777777" w:rsidR="0097069B" w:rsidRPr="00B9141D" w:rsidRDefault="0097069B" w:rsidP="0097069B">
            <w:pPr>
              <w:pStyle w:val="author"/>
              <w:jc w:val="both"/>
              <w:rPr>
                <w:sz w:val="22"/>
                <w:szCs w:val="22"/>
              </w:rPr>
            </w:pPr>
            <w:r w:rsidRPr="00B9141D">
              <w:rPr>
                <w:sz w:val="22"/>
                <w:szCs w:val="22"/>
              </w:rPr>
              <w:t>Response</w:t>
            </w:r>
          </w:p>
        </w:tc>
        <w:tc>
          <w:tcPr>
            <w:tcW w:w="7200" w:type="dxa"/>
          </w:tcPr>
          <w:p w14:paraId="048CF314" w14:textId="348D8ABE" w:rsidR="0097069B" w:rsidRPr="00773BF6" w:rsidRDefault="00773BF6" w:rsidP="00773BF6">
            <w:r>
              <w:rPr>
                <w:rFonts w:eastAsia="Times New Roman"/>
                <w:color w:val="222222"/>
                <w:sz w:val="22"/>
                <w:szCs w:val="22"/>
              </w:rPr>
              <w:t xml:space="preserve">We thank the reviewer for pointing out these issues. We now discuss the limitations of this approach in order to tone down and qualify its applicability. We agree that there are inherent limitations in structure-based methods as a result of relatively low coverage across the human proteome. However, there has been a persistent increase in the structural coverage due to improvements in three-dimensional structure determination. We have highlighted this gradual increase in protein structural space in a recent review (pubmedID:26658741). In addition, we anticipate further increases in the structural coverage due to </w:t>
            </w:r>
            <w:proofErr w:type="spellStart"/>
            <w:r>
              <w:rPr>
                <w:rFonts w:eastAsia="Times New Roman"/>
                <w:color w:val="222222"/>
                <w:sz w:val="22"/>
                <w:szCs w:val="22"/>
              </w:rPr>
              <w:t>cryo</w:t>
            </w:r>
            <w:proofErr w:type="spellEnd"/>
            <w:r>
              <w:rPr>
                <w:rFonts w:eastAsia="Times New Roman"/>
                <w:color w:val="222222"/>
                <w:sz w:val="22"/>
                <w:szCs w:val="22"/>
              </w:rPr>
              <w:t xml:space="preserve">-Electron microscopy. The advent of </w:t>
            </w:r>
            <w:proofErr w:type="spellStart"/>
            <w:r>
              <w:rPr>
                <w:rFonts w:eastAsia="Times New Roman"/>
                <w:color w:val="222222"/>
                <w:sz w:val="22"/>
                <w:szCs w:val="22"/>
              </w:rPr>
              <w:t>cryo</w:t>
            </w:r>
            <w:proofErr w:type="spellEnd"/>
            <w:r>
              <w:rPr>
                <w:rFonts w:eastAsia="Times New Roman"/>
                <w:color w:val="222222"/>
                <w:sz w:val="22"/>
                <w:szCs w:val="22"/>
              </w:rPr>
              <w:t>-EM has made it possible to resolve the three-dimensional structures of relatively large protein/protein-complexes, which were unfathomable a decade ago. Finally, the growing systems-level view of protein biology (e.g., protein-protein interaction networks) may help to broaden the relevance of the limited number of cases in which SNVs lie within known structures (discussed in excerpt below). However, the limited coverage of SNVs in structures persists as a major challenge, so we have also provided a discussion of this challenge in the updated manuscript.</w:t>
            </w:r>
          </w:p>
        </w:tc>
      </w:tr>
      <w:tr w:rsidR="0097069B" w:rsidRPr="00C1590F" w14:paraId="6653DC64" w14:textId="77777777" w:rsidTr="0097069B">
        <w:tc>
          <w:tcPr>
            <w:tcW w:w="1728" w:type="dxa"/>
          </w:tcPr>
          <w:p w14:paraId="30BA1DF5" w14:textId="77777777" w:rsidR="0097069B" w:rsidRPr="00C1590F" w:rsidRDefault="0097069B" w:rsidP="0097069B">
            <w:pPr>
              <w:pStyle w:val="new-text"/>
              <w:jc w:val="both"/>
            </w:pPr>
            <w:r w:rsidRPr="00C1590F">
              <w:t>Excerpt From</w:t>
            </w:r>
          </w:p>
          <w:p w14:paraId="6F1C1EA3" w14:textId="77777777" w:rsidR="0097069B" w:rsidRPr="00C1590F" w:rsidRDefault="0097069B" w:rsidP="0097069B">
            <w:pPr>
              <w:pStyle w:val="new-text"/>
              <w:jc w:val="both"/>
            </w:pPr>
            <w:r w:rsidRPr="00C1590F">
              <w:t>Revised Manuscript</w:t>
            </w:r>
          </w:p>
        </w:tc>
        <w:tc>
          <w:tcPr>
            <w:tcW w:w="7200" w:type="dxa"/>
          </w:tcPr>
          <w:p w14:paraId="5495CCB9" w14:textId="77777777" w:rsidR="00644C8B" w:rsidRPr="001E1F15" w:rsidRDefault="00644C8B" w:rsidP="00644C8B">
            <w:pPr>
              <w:rPr>
                <w:i/>
                <w:sz w:val="18"/>
                <w:szCs w:val="18"/>
                <w:u w:val="single"/>
              </w:rPr>
            </w:pPr>
            <w:r w:rsidRPr="001E1F15">
              <w:rPr>
                <w:i/>
                <w:sz w:val="18"/>
                <w:szCs w:val="18"/>
                <w:u w:val="single"/>
              </w:rPr>
              <w:t>Excerpt from Introduction:</w:t>
            </w:r>
          </w:p>
          <w:p w14:paraId="11DBBDA9" w14:textId="77777777" w:rsidR="00644C8B" w:rsidRPr="001E1F15" w:rsidRDefault="00644C8B" w:rsidP="00644C8B">
            <w:pPr>
              <w:rPr>
                <w:sz w:val="18"/>
                <w:szCs w:val="18"/>
              </w:rPr>
            </w:pPr>
            <w:r w:rsidRPr="001E1F15">
              <w:rPr>
                <w:sz w:val="18"/>
                <w:szCs w:val="18"/>
              </w:rPr>
              <w:t>…Though the majority of disease-causing variants lie in non-coding regions of the genome, many of them lie in protein-coding genes. Furthermore, only a limited fraction of non-synonymous SNVs may be mapped to known protein structures. However, immense progress has been made in resolving the three-dimensional structure of many proteins over the last several decades (13)….</w:t>
            </w:r>
          </w:p>
          <w:p w14:paraId="6656C9DE" w14:textId="77777777" w:rsidR="00644C8B" w:rsidRDefault="00644C8B" w:rsidP="00644C8B">
            <w:pPr>
              <w:rPr>
                <w:i/>
                <w:sz w:val="18"/>
                <w:szCs w:val="18"/>
                <w:u w:val="single"/>
              </w:rPr>
            </w:pPr>
          </w:p>
          <w:p w14:paraId="3A3D227D" w14:textId="77777777" w:rsidR="00773BF6" w:rsidRPr="001E1F15" w:rsidRDefault="00773BF6" w:rsidP="00644C8B">
            <w:pPr>
              <w:rPr>
                <w:i/>
                <w:sz w:val="18"/>
                <w:szCs w:val="18"/>
                <w:u w:val="single"/>
              </w:rPr>
            </w:pPr>
          </w:p>
          <w:p w14:paraId="4A2DA813" w14:textId="2A8B3E8A" w:rsidR="00644C8B" w:rsidRPr="001E1F15" w:rsidRDefault="00644C8B" w:rsidP="00644C8B">
            <w:pPr>
              <w:rPr>
                <w:i/>
                <w:sz w:val="18"/>
                <w:szCs w:val="18"/>
                <w:u w:val="single"/>
              </w:rPr>
            </w:pPr>
            <w:r w:rsidRPr="001E1F15">
              <w:rPr>
                <w:i/>
                <w:sz w:val="18"/>
                <w:szCs w:val="18"/>
                <w:u w:val="single"/>
              </w:rPr>
              <w:t>Excerpt from Discussion:</w:t>
            </w:r>
          </w:p>
          <w:p w14:paraId="106DFB71" w14:textId="1CD1E32F" w:rsidR="0097069B" w:rsidRPr="001E1F15" w:rsidRDefault="00644C8B" w:rsidP="00644C8B">
            <w:pPr>
              <w:rPr>
                <w:sz w:val="18"/>
                <w:szCs w:val="18"/>
              </w:rPr>
            </w:pPr>
            <w:r w:rsidRPr="001E1F15">
              <w:rPr>
                <w:sz w:val="18"/>
                <w:szCs w:val="18"/>
              </w:rPr>
              <w:t>"</w:t>
            </w:r>
            <w:r w:rsidRPr="001E1F15">
              <w:rPr>
                <w:rFonts w:eastAsia="ＭＳ 明朝"/>
                <w:sz w:val="18"/>
                <w:szCs w:val="18"/>
              </w:rPr>
              <w:t>Historically, the relative scarcity of genomic variation and structural data have presented challenges in variant interpretation, in that only a small pool of SNVs may be mapped</w:t>
            </w:r>
            <w:r w:rsidR="00773BF6">
              <w:rPr>
                <w:rFonts w:eastAsia="ＭＳ 明朝"/>
                <w:sz w:val="18"/>
                <w:szCs w:val="18"/>
              </w:rPr>
              <w:t xml:space="preserve"> to resolved structures… How</w:t>
            </w:r>
            <w:r w:rsidR="009E04FE">
              <w:rPr>
                <w:rFonts w:eastAsia="ＭＳ 明朝"/>
                <w:sz w:val="18"/>
                <w:szCs w:val="18"/>
              </w:rPr>
              <w:t>e</w:t>
            </w:r>
            <w:r w:rsidR="00773BF6">
              <w:rPr>
                <w:rFonts w:eastAsia="ＭＳ 明朝"/>
                <w:sz w:val="18"/>
                <w:szCs w:val="18"/>
              </w:rPr>
              <w:t>ver</w:t>
            </w:r>
            <w:r w:rsidR="009E04FE">
              <w:rPr>
                <w:rFonts w:eastAsia="ＭＳ 明朝"/>
                <w:sz w:val="18"/>
                <w:szCs w:val="18"/>
              </w:rPr>
              <w:t xml:space="preserve">, </w:t>
            </w:r>
            <w:r w:rsidRPr="001E1F15">
              <w:rPr>
                <w:rFonts w:eastAsia="ＭＳ 明朝"/>
                <w:sz w:val="18"/>
                <w:szCs w:val="18"/>
              </w:rPr>
              <w:t xml:space="preserve">limited mapping coverage persists as a major challenge, a number of recent trends may partially help to mitigate this issue. Significant improvements in crystallographic protocols have enabled near-exponential growth in deposited X-ray structures in the PDB </w:t>
            </w:r>
            <w:r w:rsidRPr="001E1F15">
              <w:rPr>
                <w:rFonts w:eastAsia="ＭＳ 明朝"/>
                <w:sz w:val="18"/>
                <w:szCs w:val="18"/>
              </w:rPr>
              <w:fldChar w:fldCharType="begin" w:fldLock="1"/>
            </w:r>
            <w:r w:rsidRPr="001E1F15">
              <w:rPr>
                <w:rFonts w:eastAsia="ＭＳ 明朝"/>
                <w:sz w:val="18"/>
                <w:szCs w:val="18"/>
              </w:rPr>
              <w:instrText>ADDIN CSL_CITATION { "citationItems" : [ { "id" : "ITEM-1", "itemData" : { "DOI" : "10.1016/j.sbi.2015.11.003", "ISSN" : "1879033X", "PMID" : "26658741", "abstract" : "Structure has traditionally been interrelated with sequence, usually in the framework of comparing sequences across species sharing a common fold. However, the nature of information within the sequence and structure databases is evolving, changing the type of comparisons possible. In particular, we now have a vast amount of personal genome sequences from human populations and a greater fraction of new structures contain interacting proteins within large complexes. Consequently, we have to recast our conception of sequence conservation and its relation to structure. -. for example, focusing more on selection within the human population. Moreover, within structural biology there is less emphasis on the discovery of novel folds and more on relating structures to networks of protein interactions. We cover this changing mindset here.", "author" : [ { "dropping-particle" : "", "family" : "Sethi", "given" : "Anurag", "non-dropping-particle" : "", "parse-names" : false, "suffix" : "" }, { "dropping-particle" : "", "family" : "Clarke", "given" : "Declan", "non-dropping-particle" : "", "parse-names" : false, "suffix" : "" }, { "dropping-particle" : "", "family" : "Chen", "given" : "Jieming", "non-dropping-particle" : "", "parse-names" : false, "suffix" : "" }, { "dropping-particle" : "", "family" : "Kumar", "given" : "Sushant", "non-dropping-particle" : "", "parse-names" : false, "suffix" : "" }, { "dropping-particle" : "", "family" : "Galeev", "given" : "Timur R.", "non-dropping-particle" : "", "parse-names" : false, "suffix" : "" }, { "dropping-particle" : "", "family" : "Regan", "given" : "Lynne", "non-dropping-particle" : "", "parse-names" : false, "suffix" : "" }, { "dropping-particle" : "", "family" : "Gerstein", "given" : "Mark", "non-dropping-particle" : "", "parse-names" : false, "suffix" : "" } ], "container-title" : "Current Opinion in Structural Biology", "id" : "ITEM-1", "issued" : { "date-parts" : [ [ "2015" ] ] }, "page" : "125-134", "title" : "Reads meet rotamers: Structural biology in the age of deep sequencing", "type" : "article", "volume" : "35" }, "uris" : [ "http://www.mendeley.com/documents/?uuid=6bd9150d-0521-4470-bc2f-1c4aa6e53563" ] } ], "mendeley" : { "formattedCitation" : "(10)", "plainTextFormattedCitation" : "(10)", "previouslyFormattedCitation" : "(10)" }, "properties" : { "noteIndex" : 0 }, "schema" : "https://github.com/citation-style-language/schema/raw/master/csl-citation.json" }</w:instrText>
            </w:r>
            <w:r w:rsidRPr="001E1F15">
              <w:rPr>
                <w:rFonts w:eastAsia="ＭＳ 明朝"/>
                <w:sz w:val="18"/>
                <w:szCs w:val="18"/>
              </w:rPr>
              <w:fldChar w:fldCharType="separate"/>
            </w:r>
            <w:r w:rsidRPr="001E1F15">
              <w:rPr>
                <w:rFonts w:eastAsia="ＭＳ 明朝"/>
                <w:noProof/>
                <w:sz w:val="18"/>
                <w:szCs w:val="18"/>
              </w:rPr>
              <w:t>(10)</w:t>
            </w:r>
            <w:r w:rsidRPr="001E1F15">
              <w:rPr>
                <w:rFonts w:eastAsia="ＭＳ 明朝"/>
                <w:sz w:val="18"/>
                <w:szCs w:val="18"/>
              </w:rPr>
              <w:fldChar w:fldCharType="end"/>
            </w:r>
            <w:r w:rsidRPr="001E1F15">
              <w:rPr>
                <w:rFonts w:eastAsia="ＭＳ 明朝"/>
                <w:sz w:val="18"/>
                <w:szCs w:val="18"/>
              </w:rPr>
              <w:t xml:space="preserve">. Furthermore, </w:t>
            </w:r>
            <w:proofErr w:type="spellStart"/>
            <w:r w:rsidRPr="001E1F15">
              <w:rPr>
                <w:rFonts w:eastAsia="ＭＳ 明朝"/>
                <w:sz w:val="18"/>
                <w:szCs w:val="18"/>
              </w:rPr>
              <w:t>cryo</w:t>
            </w:r>
            <w:proofErr w:type="spellEnd"/>
            <w:r w:rsidRPr="001E1F15">
              <w:rPr>
                <w:rFonts w:eastAsia="ＭＳ 明朝"/>
                <w:sz w:val="18"/>
                <w:szCs w:val="18"/>
              </w:rPr>
              <w:t xml:space="preserve">-EM is opening entirely new avenues for revealing the architectures of many proteins which were previously elusive to crystallography, which is expected to expand the structurally-resolved proteome </w:t>
            </w:r>
            <w:r w:rsidRPr="001E1F15">
              <w:rPr>
                <w:rFonts w:eastAsia="ＭＳ 明朝"/>
                <w:sz w:val="18"/>
                <w:szCs w:val="18"/>
              </w:rPr>
              <w:fldChar w:fldCharType="begin" w:fldLock="1"/>
            </w:r>
            <w:r w:rsidRPr="001E1F15">
              <w:rPr>
                <w:rFonts w:eastAsia="ＭＳ 明朝"/>
                <w:sz w:val="18"/>
                <w:szCs w:val="18"/>
              </w:rPr>
              <w:instrText>ADDIN CSL_CITATION { "citationItems" : [ { "id" : "ITEM-1", "itemData" : { "DOI" : "10.1016/j.tibs.2014.10.005", "ISSN" : "0968-0004", "PMID" : "25544475", "abstract" : "For many years, structure determination of biological macromolecules by cryo-electron microscopy (cryo-EM) was limited to large complexes or low-resolution models. With recent advances in electron detection and image processing, the resolution by cryo-EM is now beginning to rival X-ray crystallography. A new generation of electron detectors record images with unprecedented quality, while new image-processing tools correct for sample movements and classify images according to different structural states. Combined, these advances yield density maps with sufficient detail to deduce the atomic structure for a range of specimens. Here, we review the recent advances and illustrate the exciting new opportunities that they offer to structural biology research.", "author" : [ { "dropping-particle" : "", "family" : "Bai", "given" : "Xiao-chen", "non-dropping-particle" : "", "parse-names" : false, "suffix" : "" }, { "dropping-particle" : "", "family" : "McMullan", "given" : "Greg", "non-dropping-particle" : "", "parse-names" : false, "suffix" : "" }, { "dropping-particle" : "", "family" : "Scheres", "given" : "Sjors H W", "non-dropping-particle" : "", "parse-names" : false, "suffix" : "" }, { "dropping-particle" : "", "family" : "Ruska", "given" : "H.", "non-dropping-particle" : "", "parse-names" : false, "suffix" : "" }, { "dropping-particle" : "", "family" : "Ruska", "given" : "H.", "non-dropping-particle" : "", "parse-names" : false, "suffix" : "" }, { "dropping-particle" : "", "family" : "al.", "given" : "et", "non-dropping-particle" : "", "parse-names" : false, "suffix" : "" }, { "dropping-particle" : "", "family" : "Brenner", "given" : "S.", "non-dropping-particle" : "", "parse-names" : false, "suffix" : "" }, { "dropping-particle" : "", "family" : "Horne", "given" : "R.W.", "non-dropping-particle" : "", "parse-names" : false, "suffix" : "" }, { "dropping-particle" : "", "family" : "Henderson", "given" : "R.", "non-dropping-particle" : "", "parse-names" : false, "suffix" : "" }, { "dropping-particle" : "", "family" : "Unwin", "given" : "P.N.", "non-dropping-particle" : "", "parse-names" : false, "suffix" : "" }, { "dropping-particle" : "", "family" : "Unwin", "given" : "P.N.", "non-dropping-particle" : "", "parse-names" : false, "suffix" : "" }, { "dropping-particle" : "", "family" : "Henderson", "given" : "R.", "non-dropping-particle" : "", "parse-names" : false, "suffix" : "" }, { "dropping-particle" : "", "family" : "Taylor", "given" : "K.A.", "non-dropping-particle" : "", "parse-names" : false, "suffix" : "" }, { "dropping-particle" : "", "family" : "Glaeser", "given" : "R.M.", "non-dropping-particle" : "", "parse-names" : false, "suffix" : "" }, { "dropping-particle" : "", "family" : "Hayward", "given" : "S.B.", "non-dropping-particle" : "", "parse-names" : false, "suffix" : "" }, { "dropping-particle" : "", "family" : "Glaeser", "given" : "R.M.", "non-dropping-particle" : "", "parse-names" : false, "suffix" : "" }, { "dropping-particle" : "", "family" : "Adrian", "given" : "M.", "non-dropping-particle" : "", "parse-names" : false, "suffix" : "" }, { "dropping-particle" : "", "family" : "al.", "given" : "et", "non-dropping-particle" : "", "parse-names" : false, "suffix" : "" }, { "dropping-particle" : "", "family" : "Dubochet", "given" : "J.", "non-dropping-particle" : "", "parse-names" : false, "suffix" : "" }, { "dropping-particle" : "", "family" : "al.", "given" : "et", "non-dropping-particle" : "", "parse-names" : false, "suffix" : "" }, { "dropping-particle" : "", "family" : "Dubochet", "given" : "J.", "non-dropping-particle" : "", "parse-names" : false, "suffix" : "" }, { "dropping-particle" : "", "family" : "al.", "given" : "et", "non-dropping-particle" : "", "parse-names" : false, "suffix" : "" }, { "dropping-particle" : "", "family" : "Nogales", "given" : "E.", "non-dropping-particle" : "", "parse-names" : false, "suffix" : "" }, { "dropping-particle" : "", "family" : "al.", "given" : "et", "non-dropping-particle" : "", "parse-names" : false, "suffix" : "" }, { "dropping-particle" : "", "family" : "K\u00fchlbrandt", "given" : "W.", "non-dropping-particle" : "", "parse-names" : false, "suffix" : "" }, { "dropping-particle" : "", "family" : "al.", "given" : "et", "non-dropping-particle" : "", "parse-names" : false, "suffix" : "" }, { "dropping-particle" : "", "family" : "Gonen", "given" : "T.", "non-dropping-particle" : "", "parse-names" : false, "suffix" : "" }, { "dropping-particle" : "", "family" : "al.", "given" : "et", "non-dropping-particle" : "", "parse-names" : false, "suffix" : "" }, { "dropping-particle" : "", "family" : "Unwin", "given" : "N.", "non-dropping-particle" : "", "parse-names" : false, "suffix" : "" }, { "dropping-particle" : "", "family" : "Zhou", "given" : "Z.H.", "non-dropping-particle" : "", "parse-names" : false, "suffix" : "" }, { "dropping-particle" : "", "family" : "Chiu", "given" : "W.", "non-dropping-particle" : "", "parse-names" : false, "suffix" : "" }, { "dropping-particle" : "", "family" : "Henderson", "given" : "R.", "non-dropping-particle" : "", "parse-names" : false, "suffix" : "" }, { "dropping-particle" : "", "family" : "B\u00f6ttcher", "given" : "B.", "non-dropping-particle" : "", "parse-names" : false, "suffix" : "" }, { "dropping-particle" : "", "family" : "al.", "given" : "et", "non-dropping-particle" : "", "parse-names" : false, "suffix" : "" }, { "dropping-particle" : "", "family" : "Conway", "given" : "J.F.", "non-dropping-particle" : "", "parse-names" : false, "suffix" : "" }, { "dropping-particle" : "", "family" : "al.", "given" : "et", "non-dropping-particle" : "", "parse-names" : false, "suffix" : "" }, { "dropping-particle" : "", "family" : "Jiang", "given" : "W.", "non-dropping-particle" : "", "parse-names" : false, "suffix" : "" }, { "dropping-particle" : "", "family" : "al.", "given" : "et", "non-dropping-particle" : "", "parse-names" : false, "suffix" : "" }, { "dropping-particle" : "", "family" : "Yu", "given" : "X.", "non-dropping-particle" : "", "parse-names" : false, "suffix" : "" }, { "dropping-particle" : "", "family" : "al.", "given" : "et", "non-dropping-particle" : "", "parse-names" : false, "suffix" : "" }, { "dropping-particle" : "", "family" : "Zhang", "given" : "X.", "non-dropping-particle" : "", "parse-names" : false, "suffix" : "" }, { "dropping-particle" : "", "family" : "al.", "given" : "et", "non-dropping-particle" : "", "parse-names" : false, "suffix" : "" }, { "dropping-particle" : "", "family" : "Zhang", "given" : "X.", "non-dropping-particle" : "", "parse-names" : false, "suffix" : "" }, { "dropping-particle" : "", "family" : "al.", "given" : "et", "non-dropping-particle" : "", "parse-names" : false, "suffix" : "" }, { "dropping-particle" : "", "family" : "Liu", "given" : "H.", "non-dropping-particle" : "", "parse-names" : false, "suffix" : "" }, { "dropping-particle" : "", "family" : "al.", "given" : "et", "non-dropping-particle" : "", "parse-names" : false, "suffix" : "" }, { "dropping-particle" : "", "family" : "Verschoor", "given" : "A.", "non-dropping-particle" : "", "parse-names" : false, "suffix" : "" }, { "dropping-particle" : "", "family" : "al.", "given" : "et", "non-dropping-particle" : "", "parse-names" : false, "suffix" : "" }, { "dropping-particle" : "", "family" : "Radermacher", "given" : "M.", "non-dropping-particle" : "", "parse-names" : false, "suffix" : "" }, { "dropping-particle" : "", "family" : "al.", "given" : "et", "non-dropping-particle" : "", "parse-names" : false, "suffix" : "" }, { "dropping-particle" : "", "family" : "Frank", "given" : "J.", "non-dropping-particle" : "", "parse-names" : false, "suffix" : "" }, { "dropping-particle" : "", "family" : "al.", "given" : "et", "non-dropping-particle" : "", "parse-names" : false, "suffix" : "" }, { "dropping-particle" : "Van", "family" : "Heel", "given" : "M.", "non-dropping-particle" : "", "parse-names" : false, "suffix" : "" }, { "dropping-particle" : "", "family" : "Frank", "given" : "J.", "non-dropping-particle" : "", "parse-names" : false, "suffix" : "" }, { "dropping-particle" : "", "family" : "Harauz", "given" : "G.", "non-dropping-particle" : "", "parse-names" : false, "suffix" : "" }, { "dropping-particle" : "van", "family" : "Heel", "given" : "M.", "non-dropping-particle" : "", "parse-names" : false, "suffix" : "" }, { "dropping-particle" : "", "family" : "Frank", "given" : "J.", "non-dropping-particle" : "", "parse-names" : false, "suffix" : "" }, { "dropping-particle" : "van", "family" : "Heel", "given" : "M.", "non-dropping-particle" : "", "parse-names" : false, "suffix" : "" }, { "dropping-particle" : "", "family" : "Frank", "given" : "J.", "non-dropping-particle" : "", "parse-names" : false, "suffix" : "" }, { "dropping-particle" : "", "family" : "Frank", "given" : "J.", "non-dropping-particle" : "", "parse-names" : false, "suffix" : "" }, { "dropping-particle" : "", "family" : "al.", "given" : "et", "non-dropping-particle" : "", "parse-names" : false, "suffix" : "" }, { "dropping-particle" : "", "family" : "Gabashvili", "given" : "I.S.", "non-dropping-particle" : "", "parse-names" : false, "suffix" : "" }, { "dropping-particle" : "", "family" : "al.", "given" : "et", "non-dropping-particle" : "", "parse-names" : false, "suffix" : "" }, { "dropping-particle" : "", "family" : "K\u00fchlbrandt", "given" : "W.", "non-dropping-particle" : "", "parse-names" : false, "suffix" : "" }, { "dropping-particle" : "", "family" : "Dainty", "given" : "J.C.", "non-dropping-particle" : "", "parse-names" : false, "suffix" : "" }, { "dropping-particle" : "", "family" : "Shaw", "given" : "R.", "non-dropping-particle" : "", "parse-names" : false, "suffix" : "" }, { "dropping-particle" : "", "family" : "Hamilton", "given" : "J.F.", "non-dropping-particle" : "", "parse-names" : false, "suffix" : "" }, { "dropping-particle" : "", "family" : "Marchant", "given" : "J.C.", "non-dropping-particle" : "", "parse-names" : false, "suffix" : "" }, { "dropping-particle" : "", "family" : "McMullan", "given" : "G.", "non-dropping-particle" : "", "parse-names" : false, "suffix" : "" }, { "dropping-particle" : "", "family" : "al.", "given" : "et", "non-dropping-particle" : "", "parse-names" : false, "suffix" : "" }, { "dropping-particle" : "", "family" : "Roberts", "given" : "P.T.E.", "non-dropping-particle" : "", "parse-names" : false, "suffix" : "" }, { "dropping-particle" : "", "family" : "al.", "given" : "et", "non-dropping-particle" : "", "parse-names" : false, "suffix" : "" }, { "dropping-particle" : "", "family" : "Spence", "given" : "J.C.H.", "non-dropping-particle" : "", "parse-names" : false, "suffix" : "" }, { "dropping-particle" : "", "family" : "Zuo", "given" : "J.M.", "non-dropping-particle" : "", "parse-names" : false, "suffix" : "" }, { "dropping-particle" : "", "family" : "Krivanek", "given" : "O.L.", "non-dropping-particle" : "", "parse-names" : false, "suffix" : "" }, { "dropping-particle" : "", "family" : "Mooney", "given" : "P.E.", "non-dropping-particle" : "", "parse-names" : false, "suffix" : "" }, { "dropping-particle" : "", "family" : "Faruqi", "given" : "A.R.", "non-dropping-particle" : "", "parse-names" : false, "suffix" : "" }, { "dropping-particle" : "", "family" : "al.", "given" : "et", "non-dropping-particle" : "", "parse-names" : false, "suffix" : "" }, { "dropping-particle" : "", "family" : "Suloway", "given" : "C.", "non-dropping-particle" : "", "parse-names" : false, "suffix" : "" }, { "dropping-particle" : "", "family" : "al.", "given" : "et", "non-dropping-particle" : "", "parse-names" : false, "suffix" : "" }, { "dropping-particle" : "", "family" : "Sander", "given" : "B.", "non-dropping-particle" : "", "parse-names" : false, "suffix" : "" }, { "dropping-particle" : "", "family" : "al.", "given" : "et", "non-dropping-particle" : "", "parse-names" : false, "suffix" : "" }, { "dropping-particle" : "", "family" : "Booth", "given" : "C.R.", "non-dropping-particle" : "", "parse-names" : false, "suffix" : "" }, { "dropping-particle" : "", "family" : "al.", "given" : "et", "non-dropping-particle" : "", "parse-names" : false, "suffix" : "" }, { "dropping-particle" : "", "family" : "Faruqi", "given" : "A.R.", "non-dropping-particle" : "", "parse-names" : false, "suffix" : "" }, { "dropping-particle" : "", "family" : "McMullan", "given" : "G.", "non-dropping-particle" : "", "parse-names" : false, "suffix" : "" }, { "dropping-particle" : "", "family" : "Turchetta", "given" : "R.", "non-dropping-particle" : "", "parse-names" : false, "suffix" : "" }, { "dropping-particle" : "", "family" : "al.", "given" : "et", "non-dropping-particle" : "", "parse-names" : false, "suffix" : "" }, { "dropping-particle" : "", "family" : "Milazzo", "given" : "A-C.", "non-dropping-particle" : "", "parse-names" : false, "suffix" : "" }, { "dropping-particle" : "", "family" : "al.", "given" : "et", "non-dropping-particle" : "", "parse-names" : false, "suffix" : "" }, { "dropping-particle" : "", "family" : "Faruqi", "given" : "A.R.", "non-dropping-particle" : "", "parse-names" : false, "suffix" : "" }, { "dropping-particle" : "", "family" : "al.", "given" : "et", "non-dropping-particle" : "", "parse-names" : false, "suffix" : "" }, { "dropping-particle" : "", "family" : "McMullan", "given" : "G.", "non-dropping-particle" : "", "parse-names" : false, "suffix" : "" }, { "dropping-particle" : "", "family" : "al.", "given" : "et", "non-dropping-particle" : "", "parse-names" : false, "suffix" : "" }, { "dropping-particle" : "", "family" : "Ruskin", "given" : "R.S.", "non-dropping-particle" : "", "parse-names" : false, "suffix" : "" }, { "dropping-particle" : "", "family" : "al.", "given" : "et", "non-dropping-particle" : "", "parse-names" : false, "suffix" : "" }, { "dropping-particle" : "", "family" : "McMullan", "given" : "G.", "non-dropping-particle" : "", "parse-names" : false, "suffix" : "" }, { "dropping-particle" : "", "family" : "al.", "given" : "et", "non-dropping-particle" : "", "parse-names" : false, "suffix" : "" }, { "dropping-particle" : "", "family" : "Bichsel", "given" : "H.", "non-dropping-particle" : "", "parse-names" : false, "suffix" : "" }, { "dropping-particle" : "", "family" : "McMullan", "given" : "G.", "non-dropping-particle" : "", "parse-names" : false, "suffix" : "" }, { "dropping-particle" : "", "family" : "al.", "given" : "et", "non-dropping-particle" : "", "parse-names" : false, "suffix" : "" }, { "dropping-particle" : "", "family" : "Li", "given" : "X.", "non-dropping-particle" : "", "parse-names" : false, "suffix" : "" }, { "dropping-particle" : "", "family" : "al.", "given" : "et", "non-dropping-particle" : "", "parse-names" : false, "suffix" : "" }, { "dropping-particle" : "", "family" : "Li", "given" : "X.", "non-dropping-particle" : "", "parse-names" : false, "suffix" : "" }, { "dropping-particle" : "", "family" : "al.", "given" : "et", "non-dropping-particle" : "", "parse-names" : false, "suffix" : "" }, { "dropping-particle" : "", "family" : "Gao", "given" : "H.", "non-dropping-particle" : "", "parse-names" : false, "suffix" : "" }, { "dropping-particle" : "", "family" : "al.", "given" : "et", "non-dropping-particle" : "", "parse-names" : false, "suffix" : "" }, { "dropping-particle" : "", "family" : "Valle", "given" : "M.", "non-dropping-particle" : "", "parse-names" : false, "suffix" : "" }, { "dropping-particle" : "", "family" : "al.", "given" : "et", "non-dropping-particle" : "", "parse-names" : false, "suffix" : "" }, { "dropping-particle" : "", "family" : "Sigworth", "given" : "F.J.", "non-dropping-particle" : "", "parse-names" : false, "suffix" : "" }, { "dropping-particle" : "", "family" : "Scheres", "given" : "S.H.W.", "non-dropping-particle" : "", "parse-names" : false, "suffix" : "" }, { "dropping-particle" : "", "family" : "al.", "given" : "et", "non-dropping-particle" : "", "parse-names" : false, "suffix" : "" }, { "dropping-particle" : "", "family" : "Elad", "given" : "N.", "non-dropping-particle" : "", "parse-names" : false, "suffix" : "" }, { "dropping-particle" : "", "family" : "al.", "given" : "et", "non-dropping-particle" : "", "parse-names" : false, "suffix" : "" }, { "dropping-particle" : "", "family" : "Zhang", "given" : "W.", "non-dropping-particle" : "", "parse-names" : false, "suffix" : "" }, { "dropping-particle" : "", "family" : "al.", "given" : "et", "non-dropping-particle" : "", "parse-names" : false, "suffix" : "" }, { "dropping-particle" : "", "family" : "Spahn", "given" : "C.M.", "non-dropping-particle" : "", "parse-names" : false, "suffix" : "" }, { "dropping-particle" : "", "family" : "Penczek", "given" : "P.A.", "non-dropping-particle" : "", "parse-names" : false, "suffix" : "" }, { "dropping-particle" : "", "family" : "Lyumkis", "given" : "D.", "non-dropping-particle" : "", "parse-names" : false, "suffix" : "" }, { "dropping-particle" : "", "family" : "al.", "given" : "et", "non-dropping-particle" : "", "parse-names" : false, "suffix" : "" }, { "dropping-particle" : "", "family" : "Scheres", "given" : "S.H.W.", "non-dropping-particle" : "", "parse-names" : false, "suffix" : "" }, { "dropping-particle" : "", "family" : "Scheres", "given" : "S.H.W.", "non-dropping-particle" : "", "parse-names" : false, "suffix" : "" }, { "dropping-particle" : "", "family" : "Brilot", "given" : "A.F.", "non-dropping-particle" : "", "parse-names" : false, "suffix" : "" }, { "dropping-particle" : "", "family" : "al.", "given" : "et", "non-dropping-particle" : "", "parse-names" : false, "suffix" : "" }, { "dropping-particle" : "", "family" : "Campbell", "given" : "M.G.", "non-dropping-particle" : "", "parse-names" : false, "suffix" : "" }, { "dropping-particle" : "", "family" : "al.", "given" : "et", "non-dropping-particle" : "", "parse-names" : false, "suffix" : "" }, { "dropping-particle" : "", "family" : "Bai", "given" : "X-C.", "non-dropping-particle" : "", "parse-names" : false, "suffix" : "" }, { "dropping-particle" : "", "family" : "al.", "given" : "et", "non-dropping-particle" : "", "parse-names" : false, "suffix" : "" }, { "dropping-particle" : "", "family" : "Cao", "given" : "E.", "non-dropping-particle" : "", "parse-names" : false, "suffix" : "" }, { "dropping-particle" : "", "family" : "al.", "given" : "et", "non-dropping-particle" : "", "parse-names" : false, "suffix" : "" }, { "dropping-particle" : "", "family" : "Liao", "given" : "M.", "non-dropping-particle" : "", "parse-names" : false, "suffix" : "" }, { "dropping-particle" : "", "family" : "al.", "given" : "et", "non-dropping-particle" : "", "parse-names" : false, "suffix" : "" }, { "dropping-particle" : "", "family" : "Allegretti", "given" : "M.", "non-dropping-particle" : "", "parse-names" : false, "suffix" : "" }, { "dropping-particle" : "", "family" : "al.", "given" : "et", "non-dropping-particle" : "", "parse-names" : false, "suffix" : "" }, { "dropping-particle" : "", "family" : "Amunts", "given" : "A.", "non-dropping-particle" : "", "parse-names" : false, "suffix" : "" }, { "dropping-particle" : "", "family" : "al.", "given" : "et", "non-dropping-particle" : "", "parse-names" : false, "suffix" : "" }, { "dropping-particle" : "", "family" : "Emsley", "given" : "P.", "non-dropping-particle" : "", "parse-names" : false, "suffix" : "" }, { "dropping-particle" : "", "family" : "al.", "given" : "et", "non-dropping-particle" : "", "parse-names" : false, "suffix" : "" }, { "dropping-particle" : "", "family" : "Murshudov", "given" : "G.N.", "non-dropping-particle" : "", "parse-names" : false, "suffix" : "" }, { "dropping-particle" : "", "family" : "al.", "given" : "et", "non-dropping-particle" : "", "parse-names" : false, "suffix" : "" }, { "dropping-particle" : "", "family" : "DiMaio", "given" : "F.", "non-dropping-particle" : "", "parse-names" : false, "suffix" : "" }, { "dropping-particle" : "", "family" : "al.", "given" : "et", "non-dropping-particle" : "", "parse-names" : false, "suffix" : "" }, { "dropping-particle" : "", "family" : "Falkner", "given" : "B.", "non-dropping-particle" : "", "parse-names" : false, "suffix" : "" }, { "dropping-particle" : "", "family" : "Schr\u00f6der", "given" : "G.F.", "non-dropping-particle" : "", "parse-names" : false, "suffix" : "" }, { "dropping-particle" : "", "family" : "Wong", "given" : "W.", "non-dropping-particle" : "", "parse-names" : false, "suffix" : "" }, { "dropping-particle" : "", "family" : "al.", "given" : "et", "non-dropping-particle" : "", "parse-names" : false, "suffix" : "" }, { "dropping-particle" : "", "family" : "Lu", "given" : "P.", "non-dropping-particle" : "", "parse-names" : false, "suffix" : "" }, { "dropping-particle" : "", "family" : "al.", "given" : "et", "non-dropping-particle" : "", "parse-names" : false, "suffix" : "" }, { "dropping-particle" : "", "family" : "Scheres", "given" : "S.H.", "non-dropping-particle" : "", "parse-names" : false, "suffix" : "" }, { "dropping-particle" : "", "family" : "Fern\u00e1ndez", "given" : "I.S.", "non-dropping-particle" : "", "parse-names" : false, "suffix" : "" }, { "dropping-particle" : "", "family" : "al.", "given" : "et", "non-dropping-particle" : "", "parse-names" : false, "suffix" : "" }, { "dropping-particle" : "", "family" : "Koh", "given" : "C.S.", "non-dropping-particle" : "", "parse-names" : false, "suffix" : "" }, { "dropping-particle" : "", "family" : "al.", "given" : "et", "non-dropping-particle" : "", "parse-names" : false, "suffix" : "" }, { "dropping-particle" : "", "family" : "Fern\u00e1ndez", "given" : "I.S.", "non-dropping-particle" : "", "parse-names" : false, "suffix" : "" }, { "dropping-particle" : "", "family" : "al.", "given" : "et", "non-dropping-particle" : "", "parse-names" : false, "suffix" : "" }, { "dropping-particle" : "", "family" : "Stark", "given" : "H.", "non-dropping-particle" : "", "parse-names" : false, "suffix" : "" }, { "dropping-particle" : "", "family" : "al.", "given" : "et", "non-dropping-particle" : "", "parse-names" : false, "suffix" : "" }, { "dropping-particle" : "", "family" : "Sader", "given" : "K.", "non-dropping-particle" : "", "parse-names" : false, "suffix" : "" }, { "dropping-particle" : "", "family" : "al.", "given" : "et", "non-dropping-particle" : "", "parse-names" : false, "suffix" : "" }, { "dropping-particle" : "", "family" : "Russo", "given" : "C.J.", "non-dropping-particle" : "", "parse-names" : false, "suffix" : "" }, { "dropping-particle" : "", "family" : "Passmore", "given" : "L.A.", "non-dropping-particle" : "", "parse-names" : false, "suffix" : "" }, { "dropping-particle" : "", "family" : "Marr", "given" : "C.R.", "non-dropping-particle" : "", "parse-names" : false, "suffix" : "" }, { "dropping-particle" : "", "family" : "al.", "given" : "et", "non-dropping-particle" : "", "parse-names" : false, "suffix" : "" }, { "dropping-particle" : "", "family" : "Berriman", "given" : "J.A.", "non-dropping-particle" : "", "parse-names" : false, "suffix" : "" }, { "dropping-particle" : "", "family" : "Rosenthal", "given" : "P.B.", "non-dropping-particle" : "", "parse-names" : false, "suffix" : "" }, { "dropping-particle" : "", "family" : "Grigorieff", "given" : "N.", "non-dropping-particle" : "", "parse-names" : false, "suffix" : "" }, { "dropping-particle" : "", "family" : "Ludtke", "given" : "S.J.", "non-dropping-particle" : "", "parse-names" : false, "suffix" : "" }, { "dropping-particle" : "", "family" : "al.", "given" : "et", "non-dropping-particle" : "", "parse-names" : false, "suffix" : "" }, { "dropping-particle" : "", "family" : "Liu", "given" : "X.", "non-dropping-particle" : "", "parse-names" : false, "suffix" : "" }, { "dropping-particle" : "", "family" : "al.", "given" : "et", "non-dropping-particle" : "", "parse-names" : false, "suffix" : "" }, { "dropping-particle" : "", "family" : "Kostyuchenko", "given" : "V.A.", "non-dropping-particle" : "", "parse-names" : false, "suffix" : "" }, { "dropping-particle" : "", "family" : "al.", "given" : "et", "non-dropping-particle" : "", "parse-names" : false, "suffix" : "" }, { "dropping-particle" : "", "family" : "Veesler", "given" : "D.", "non-dropping-particle" : "", "parse-names" : false, "suffix" : "" }, { "dropping-particle" : "", "family" : "al.", "given" : "et", "non-dropping-particle" : "", "parse-names" : false, "suffix" : "" }, { "dropping-particle" : "Van", "family" : "Heel", "given" : "M.", "non-dropping-particle" : "", "parse-names" : false, "suffix" : "" }, { "dropping-particle" : "", "family" : "al.", "given" : "et", "non-dropping-particle" : "", "parse-names" : false, "suffix" : "" }, { "dropping-particle" : "", "family" : "Greber", "given" : "B.J.", "non-dropping-particle" : "", "parse-names" : false, "suffix" : "" }, { "dropping-particle" : "", "family" : "al.", "given" : "et", "non-dropping-particle" : "", "parse-names" : false, "suffix" : "" } ], "container-title" : "Trends in biochemical sciences", "id" : "ITEM-1", "issue" : "1", "issued" : { "date-parts" : [ [ "2015", "1" ] ] }, "page" : "49-57", "publisher" : "Elsevier", "title" : "How cryo-EM is revolutionizing structural biology.", "type" : "article-journal", "volume" : "40" }, "uris" : [ "http://www.mendeley.com/documents/?uuid=88f114ac-94c4-3d4b-8ff8-73aeb699acf1" ] } ], "mendeley" : { "formattedCitation" : "(59)", "plainTextFormattedCitation" : "(59)", "previouslyFormattedCitation" : "(59)" }, "properties" : { "noteIndex" : 0 }, "schema" : "https://github.com/citation-style-language/schema/raw/master/csl-citation.json" }</w:instrText>
            </w:r>
            <w:r w:rsidRPr="001E1F15">
              <w:rPr>
                <w:rFonts w:eastAsia="ＭＳ 明朝"/>
                <w:sz w:val="18"/>
                <w:szCs w:val="18"/>
              </w:rPr>
              <w:fldChar w:fldCharType="separate"/>
            </w:r>
            <w:r w:rsidRPr="001E1F15">
              <w:rPr>
                <w:rFonts w:eastAsia="ＭＳ 明朝"/>
                <w:noProof/>
                <w:sz w:val="18"/>
                <w:szCs w:val="18"/>
              </w:rPr>
              <w:t>(59)</w:t>
            </w:r>
            <w:r w:rsidRPr="001E1F15">
              <w:rPr>
                <w:rFonts w:eastAsia="ＭＳ 明朝"/>
                <w:sz w:val="18"/>
                <w:szCs w:val="18"/>
              </w:rPr>
              <w:fldChar w:fldCharType="end"/>
            </w:r>
            <w:r w:rsidRPr="001E1F15">
              <w:rPr>
                <w:rFonts w:eastAsia="ＭＳ 明朝"/>
                <w:sz w:val="18"/>
                <w:szCs w:val="18"/>
              </w:rPr>
              <w:t xml:space="preserve">. Finally, systems-level descriptions </w:t>
            </w:r>
            <w:r w:rsidRPr="001E1F15">
              <w:rPr>
                <w:rFonts w:eastAsia="ＭＳ 明朝"/>
                <w:sz w:val="18"/>
                <w:szCs w:val="18"/>
              </w:rPr>
              <w:lastRenderedPageBreak/>
              <w:t xml:space="preserve">of cellular phenomena provide a more complete understanding of context in which proteins operate. Specifically, there is a growing understanding of protein-protein interaction networks and the role of resolved structures therein </w:t>
            </w:r>
            <w:r w:rsidRPr="001E1F15">
              <w:rPr>
                <w:rFonts w:eastAsia="ＭＳ 明朝"/>
                <w:sz w:val="18"/>
                <w:szCs w:val="18"/>
              </w:rPr>
              <w:fldChar w:fldCharType="begin" w:fldLock="1"/>
            </w:r>
            <w:r w:rsidRPr="001E1F15">
              <w:rPr>
                <w:rFonts w:eastAsia="ＭＳ 明朝"/>
                <w:sz w:val="18"/>
                <w:szCs w:val="18"/>
              </w:rPr>
              <w:instrText>ADDIN CSL_CITATION { "citationItems" : [ { "id" : "ITEM-1", "itemData" : { "DOI" : "10.1016/j.jsb.2012.02.001", "ISSN" : "10478477", "abstract" : "In recent years, major advances in genomics, proteomics, macromolecular structure determination, and the computational resources capable of processing and disseminating the large volumes of data generated by each have played major roles in advancing a more systems-oriented appreciation of biological organization. One product of systems biology has been the delineation of graph models for describing genome-wide protein\u2013protein interaction networks. The network organization and topology which emerges in such models may be used to address fundamental questions in an array of cellular processes, as well as biological features intrinsic to the constituent proteins (or \u201cnodes\u201d) themselves. However, graph models alone constitute an abstraction which neglects the underlying biological and physical reality that the network\u2019s nodes and edges are highly heterogeneous entities. Here, we explore some of the advantages of introducing a protein structural dimension to such models, as the marriage of conventional network representations with macromolecular structural data helps to place static node and edge constructs in a biologically more meaningful context. We emphasize that 3D protein structures constitute a valuable conceptual and predictive framework by discussing examples of the insights provided, such as enabling in silico predictions of protein\u2013protein interactions, providing rational and compelling classification schemes for network elements, as well as revealing interesting intrinsic differences between distinct node types, such as disorder and evolutionary features, which may then be rationalized in light of their respective functions within networks.", "author" : [ { "dropping-particle" : "", "family" : "Clarke", "given" : "Declan", "non-dropping-particle" : "", "parse-names" : false, "suffix" : "" }, { "dropping-particle" : "", "family" : "Bhardwaj", "given" : "Nitin", "non-dropping-particle" : "", "parse-names" : false, "suffix" : "" }, { "dropping-particle" : "", "family" : "Gerstein", "given" : "Mark B.", "non-dropping-particle" : "", "parse-names" : false, "suffix" : "" } ], "container-title" : "Journal of Structural Biology", "id" : "ITEM-1", "issue" : "3", "issued" : { "date-parts" : [ [ "2012" ] ] }, "page" : "320-326", "title" : "Novel insights through the integration of structural and functional genomics data with protein networks", "type" : "article-journal", "volume" : "179" }, "uris" : [ "http://www.mendeley.com/documents/?uuid=1b6c46e1-5394-37ee-a5ec-a93783ed2d01" ] } ], "mendeley" : { "formattedCitation" : "(60)", "plainTextFormattedCitation" : "(60)" }, "properties" : { "noteIndex" : 0 }, "schema" : "https://github.com/citation-style-language/schema/raw/master/csl-citation.json" }</w:instrText>
            </w:r>
            <w:r w:rsidRPr="001E1F15">
              <w:rPr>
                <w:rFonts w:eastAsia="ＭＳ 明朝"/>
                <w:sz w:val="18"/>
                <w:szCs w:val="18"/>
              </w:rPr>
              <w:fldChar w:fldCharType="separate"/>
            </w:r>
            <w:r w:rsidRPr="001E1F15">
              <w:rPr>
                <w:rFonts w:eastAsia="ＭＳ 明朝"/>
                <w:noProof/>
                <w:sz w:val="18"/>
                <w:szCs w:val="18"/>
              </w:rPr>
              <w:t>(60)</w:t>
            </w:r>
            <w:r w:rsidRPr="001E1F15">
              <w:rPr>
                <w:rFonts w:eastAsia="ＭＳ 明朝"/>
                <w:sz w:val="18"/>
                <w:szCs w:val="18"/>
              </w:rPr>
              <w:fldChar w:fldCharType="end"/>
            </w:r>
            <w:r w:rsidRPr="001E1F15">
              <w:rPr>
                <w:rFonts w:eastAsia="ＭＳ 明朝"/>
                <w:sz w:val="18"/>
                <w:szCs w:val="18"/>
              </w:rPr>
              <w:t>. As such, inferring how a given SNV affects a particular structure is by no means limited to predictions regarding that protein alone – the protein’s tight associations with other molecules may greatly broaden the scope of how that SNV influences more global cellular phenomena. For instance, the functional consequences of an SNV within a central hub protein of a network may effectively be propagated.</w:t>
            </w:r>
            <w:r w:rsidRPr="001E1F15">
              <w:rPr>
                <w:sz w:val="18"/>
                <w:szCs w:val="18"/>
              </w:rPr>
              <w:t xml:space="preserve"> "</w:t>
            </w:r>
          </w:p>
        </w:tc>
      </w:tr>
    </w:tbl>
    <w:p w14:paraId="2CE0828E" w14:textId="77777777" w:rsidR="0097069B" w:rsidRDefault="0097069B" w:rsidP="007D009E"/>
    <w:p w14:paraId="4FD240DA" w14:textId="5FB74C50" w:rsidR="0097069B" w:rsidRPr="00C1590F" w:rsidRDefault="0097069B" w:rsidP="0097069B">
      <w:pPr>
        <w:pStyle w:val="Heading3"/>
      </w:pPr>
      <w:r w:rsidRPr="00C1590F">
        <w:t>-- Ref</w:t>
      </w:r>
      <w:r>
        <w:t xml:space="preserve"> 3</w:t>
      </w:r>
      <w:r w:rsidRPr="00C1590F">
        <w:t>.</w:t>
      </w:r>
      <w:r>
        <w:t>2</w:t>
      </w:r>
      <w:r w:rsidRPr="00C1590F">
        <w:t xml:space="preserve"> –</w:t>
      </w:r>
      <w:r w:rsidR="00713485">
        <w:t xml:space="preserve"> variant statistics and semi-balanced variants</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97069B" w:rsidRPr="00C1590F" w14:paraId="4BC4CDF0" w14:textId="77777777" w:rsidTr="0097069B">
        <w:tc>
          <w:tcPr>
            <w:tcW w:w="1728" w:type="dxa"/>
          </w:tcPr>
          <w:p w14:paraId="500EBEE4" w14:textId="77777777" w:rsidR="0097069B" w:rsidRPr="00C1590F" w:rsidRDefault="0097069B" w:rsidP="0097069B">
            <w:pPr>
              <w:pStyle w:val="reviewer"/>
              <w:jc w:val="both"/>
            </w:pPr>
            <w:r w:rsidRPr="00C1590F">
              <w:t>Reviewer</w:t>
            </w:r>
          </w:p>
          <w:p w14:paraId="60BE068B" w14:textId="77777777" w:rsidR="0097069B" w:rsidRPr="00C1590F" w:rsidRDefault="0097069B" w:rsidP="0097069B">
            <w:pPr>
              <w:pStyle w:val="reviewer"/>
              <w:jc w:val="both"/>
            </w:pPr>
            <w:r w:rsidRPr="00C1590F">
              <w:t>Comment</w:t>
            </w:r>
          </w:p>
        </w:tc>
        <w:tc>
          <w:tcPr>
            <w:tcW w:w="7200" w:type="dxa"/>
          </w:tcPr>
          <w:p w14:paraId="66566924" w14:textId="77777777" w:rsidR="0097069B" w:rsidRPr="00CE1E4B" w:rsidRDefault="0097069B" w:rsidP="0097069B">
            <w:pPr>
              <w:rPr>
                <w:rFonts w:ascii="Courier New" w:eastAsia="Times New Roman" w:hAnsi="Courier New" w:cs="Courier New"/>
                <w:sz w:val="20"/>
                <w:szCs w:val="20"/>
                <w:lang w:eastAsia="en-US"/>
              </w:rPr>
            </w:pPr>
            <w:r w:rsidRPr="00CE1E4B">
              <w:rPr>
                <w:rFonts w:ascii="Courier New" w:eastAsia="Times New Roman" w:hAnsi="Courier New" w:cs="Courier New"/>
                <w:color w:val="222222"/>
                <w:sz w:val="20"/>
                <w:szCs w:val="20"/>
                <w:shd w:val="clear" w:color="auto" w:fill="FFFFFF"/>
                <w:lang w:eastAsia="en-US"/>
              </w:rPr>
              <w:t xml:space="preserve">Another known issue is strong annotation disparity between known Mendelian disease mutations (e.g. HGMD disease variants) and other variants: most of HGMD mutations are reported in a small subset of proteins, while majority of the proteins only have fewer and mostly benign or unknown significance variants reported for them. This creates bias when performing comparisons between the two functional classes of variants. In case of PDB-mapped variants, such annotation bias might have been alleviated to some extent by the PDB intrinsic bias (mentioned above, skews PDB &amp; HGMD data towards the same proteins) but it requires further investigation. Authors should present statistics for the number of unique proteins and the distribution of variants in the unique proteins for each of their datasets. They should also attempt to perform their analysis on a (semi-)balanced set(s) of variants, using sets of proteins where both disease and neutral mutations are present. See Grimm et al. (2015) Human </w:t>
            </w:r>
            <w:proofErr w:type="spellStart"/>
            <w:r w:rsidRPr="00CE1E4B">
              <w:rPr>
                <w:rFonts w:ascii="Courier New" w:eastAsia="Times New Roman" w:hAnsi="Courier New" w:cs="Courier New"/>
                <w:color w:val="222222"/>
                <w:sz w:val="20"/>
                <w:szCs w:val="20"/>
                <w:shd w:val="clear" w:color="auto" w:fill="FFFFFF"/>
                <w:lang w:eastAsia="en-US"/>
              </w:rPr>
              <w:t>Mut</w:t>
            </w:r>
            <w:proofErr w:type="spellEnd"/>
            <w:r w:rsidRPr="00CE1E4B">
              <w:rPr>
                <w:rFonts w:ascii="Courier New" w:eastAsia="Times New Roman" w:hAnsi="Courier New" w:cs="Courier New"/>
                <w:color w:val="222222"/>
                <w:sz w:val="20"/>
                <w:szCs w:val="20"/>
                <w:shd w:val="clear" w:color="auto" w:fill="FFFFFF"/>
                <w:lang w:eastAsia="en-US"/>
              </w:rPr>
              <w:t>. 36:513-523 for an example of such balanced sets and trends analysis.</w:t>
            </w:r>
          </w:p>
          <w:p w14:paraId="345F6C26" w14:textId="77777777" w:rsidR="0097069B" w:rsidRPr="00C1590F" w:rsidRDefault="0097069B" w:rsidP="0097069B">
            <w:pPr>
              <w:rPr>
                <w:rFonts w:ascii="Courier New" w:hAnsi="Courier New" w:cs="Courier New"/>
                <w:sz w:val="20"/>
                <w:szCs w:val="20"/>
              </w:rPr>
            </w:pPr>
          </w:p>
        </w:tc>
      </w:tr>
      <w:tr w:rsidR="0097069B" w:rsidRPr="00C1590F" w14:paraId="0BCB8435" w14:textId="77777777" w:rsidTr="0097069B">
        <w:tc>
          <w:tcPr>
            <w:tcW w:w="1728" w:type="dxa"/>
          </w:tcPr>
          <w:p w14:paraId="581D4BC0" w14:textId="77777777" w:rsidR="0097069B" w:rsidRPr="00B9141D" w:rsidRDefault="0097069B" w:rsidP="0097069B">
            <w:pPr>
              <w:pStyle w:val="author"/>
              <w:jc w:val="both"/>
              <w:rPr>
                <w:sz w:val="22"/>
                <w:szCs w:val="22"/>
              </w:rPr>
            </w:pPr>
            <w:r w:rsidRPr="00B9141D">
              <w:rPr>
                <w:sz w:val="22"/>
                <w:szCs w:val="22"/>
              </w:rPr>
              <w:t>Author</w:t>
            </w:r>
          </w:p>
          <w:p w14:paraId="76EFDD3D" w14:textId="77777777" w:rsidR="0097069B" w:rsidRPr="00B9141D" w:rsidRDefault="0097069B" w:rsidP="0097069B">
            <w:pPr>
              <w:pStyle w:val="author"/>
              <w:jc w:val="both"/>
              <w:rPr>
                <w:sz w:val="22"/>
                <w:szCs w:val="22"/>
              </w:rPr>
            </w:pPr>
            <w:r w:rsidRPr="00B9141D">
              <w:rPr>
                <w:sz w:val="22"/>
                <w:szCs w:val="22"/>
              </w:rPr>
              <w:t>Response</w:t>
            </w:r>
          </w:p>
        </w:tc>
        <w:tc>
          <w:tcPr>
            <w:tcW w:w="7200" w:type="dxa"/>
          </w:tcPr>
          <w:p w14:paraId="5DD9E8F9" w14:textId="085F8F83" w:rsidR="0097069B" w:rsidRPr="00644C8B" w:rsidRDefault="00644C8B" w:rsidP="00B400EC">
            <w:pPr>
              <w:shd w:val="clear" w:color="auto" w:fill="FFFFFF"/>
              <w:rPr>
                <w:rFonts w:ascii="Arial" w:eastAsia="Times New Roman" w:hAnsi="Arial" w:cs="Arial"/>
                <w:color w:val="222222"/>
                <w:sz w:val="22"/>
                <w:szCs w:val="22"/>
              </w:rPr>
            </w:pPr>
            <w:r>
              <w:rPr>
                <w:rFonts w:ascii="Arial" w:eastAsia="Times New Roman" w:hAnsi="Arial" w:cs="Arial"/>
                <w:color w:val="222222"/>
                <w:sz w:val="22"/>
                <w:szCs w:val="22"/>
              </w:rPr>
              <w:t>We thank the reviewer for these observations, and we agree that some analyses and discussio</w:t>
            </w:r>
            <w:r w:rsidR="00CE7DD3">
              <w:rPr>
                <w:rFonts w:ascii="Arial" w:eastAsia="Times New Roman" w:hAnsi="Arial" w:cs="Arial"/>
                <w:color w:val="222222"/>
                <w:sz w:val="22"/>
                <w:szCs w:val="22"/>
              </w:rPr>
              <w:t>n should be devoted to explor</w:t>
            </w:r>
            <w:r w:rsidR="008B7AD7">
              <w:rPr>
                <w:rFonts w:ascii="Arial" w:eastAsia="Times New Roman" w:hAnsi="Arial" w:cs="Arial"/>
                <w:color w:val="222222"/>
                <w:sz w:val="22"/>
                <w:szCs w:val="22"/>
              </w:rPr>
              <w:t>ing</w:t>
            </w:r>
            <w:r>
              <w:rPr>
                <w:rFonts w:ascii="Arial" w:eastAsia="Times New Roman" w:hAnsi="Arial" w:cs="Arial"/>
                <w:color w:val="222222"/>
                <w:sz w:val="22"/>
                <w:szCs w:val="22"/>
              </w:rPr>
              <w:t xml:space="preserve"> these points. As such, new analyses and tex</w:t>
            </w:r>
            <w:r w:rsidR="009E04FE">
              <w:rPr>
                <w:rFonts w:ascii="Arial" w:eastAsia="Times New Roman" w:hAnsi="Arial" w:cs="Arial"/>
                <w:color w:val="222222"/>
                <w:sz w:val="22"/>
                <w:szCs w:val="22"/>
              </w:rPr>
              <w:t>t have been integrated into the Discussion and Supplementary</w:t>
            </w:r>
            <w:r>
              <w:rPr>
                <w:rFonts w:ascii="Arial" w:eastAsia="Times New Roman" w:hAnsi="Arial" w:cs="Arial"/>
                <w:color w:val="222222"/>
                <w:sz w:val="22"/>
                <w:szCs w:val="22"/>
              </w:rPr>
              <w:t xml:space="preserve"> section of the revised manuscript. We </w:t>
            </w:r>
            <w:r w:rsidR="00FF319E">
              <w:rPr>
                <w:rFonts w:ascii="Arial" w:eastAsia="Times New Roman" w:hAnsi="Arial" w:cs="Arial"/>
                <w:color w:val="222222"/>
                <w:sz w:val="22"/>
                <w:szCs w:val="22"/>
              </w:rPr>
              <w:t xml:space="preserve">have </w:t>
            </w:r>
            <w:r>
              <w:rPr>
                <w:rFonts w:ascii="Arial" w:eastAsia="Times New Roman" w:hAnsi="Arial" w:cs="Arial"/>
                <w:color w:val="222222"/>
                <w:sz w:val="22"/>
                <w:szCs w:val="22"/>
              </w:rPr>
              <w:t xml:space="preserve">also performed our analysis on </w:t>
            </w:r>
            <w:r w:rsidR="00FF319E">
              <w:rPr>
                <w:rFonts w:ascii="Arial" w:eastAsia="Times New Roman" w:hAnsi="Arial" w:cs="Arial"/>
                <w:color w:val="222222"/>
                <w:sz w:val="22"/>
                <w:szCs w:val="22"/>
              </w:rPr>
              <w:t xml:space="preserve">a </w:t>
            </w:r>
            <w:r>
              <w:rPr>
                <w:rFonts w:ascii="Arial" w:eastAsia="Times New Roman" w:hAnsi="Arial" w:cs="Arial"/>
                <w:color w:val="222222"/>
                <w:sz w:val="22"/>
                <w:szCs w:val="22"/>
              </w:rPr>
              <w:t>semi-balanced set of variants</w:t>
            </w:r>
            <w:r w:rsidR="00FF319E">
              <w:rPr>
                <w:rFonts w:ascii="Arial" w:eastAsia="Times New Roman" w:hAnsi="Arial" w:cs="Arial"/>
                <w:color w:val="222222"/>
                <w:sz w:val="22"/>
                <w:szCs w:val="22"/>
              </w:rPr>
              <w:t xml:space="preserve"> (</w:t>
            </w:r>
            <w:r>
              <w:rPr>
                <w:rFonts w:ascii="Arial" w:eastAsia="Times New Roman" w:hAnsi="Arial" w:cs="Arial"/>
                <w:color w:val="222222"/>
                <w:sz w:val="22"/>
                <w:szCs w:val="22"/>
              </w:rPr>
              <w:t>as proposed by the reviewer</w:t>
            </w:r>
            <w:r w:rsidR="00FF319E">
              <w:rPr>
                <w:rFonts w:ascii="Arial" w:eastAsia="Times New Roman" w:hAnsi="Arial" w:cs="Arial"/>
                <w:color w:val="222222"/>
                <w:sz w:val="22"/>
                <w:szCs w:val="22"/>
              </w:rPr>
              <w:t>),</w:t>
            </w:r>
            <w:r w:rsidR="00F24F83">
              <w:rPr>
                <w:rFonts w:ascii="Arial" w:eastAsia="Times New Roman" w:hAnsi="Arial" w:cs="Arial"/>
                <w:color w:val="222222"/>
                <w:sz w:val="22"/>
                <w:szCs w:val="22"/>
              </w:rPr>
              <w:t xml:space="preserve"> and </w:t>
            </w:r>
            <w:r w:rsidR="00FF319E">
              <w:rPr>
                <w:rFonts w:ascii="Arial" w:eastAsia="Times New Roman" w:hAnsi="Arial" w:cs="Arial"/>
                <w:color w:val="222222"/>
                <w:sz w:val="22"/>
                <w:szCs w:val="22"/>
              </w:rPr>
              <w:t xml:space="preserve">we </w:t>
            </w:r>
            <w:r w:rsidR="00F24F83">
              <w:rPr>
                <w:rFonts w:ascii="Arial" w:eastAsia="Times New Roman" w:hAnsi="Arial" w:cs="Arial"/>
                <w:color w:val="222222"/>
                <w:sz w:val="22"/>
                <w:szCs w:val="22"/>
              </w:rPr>
              <w:t xml:space="preserve">report </w:t>
            </w:r>
            <w:r w:rsidR="00FF319E">
              <w:rPr>
                <w:rFonts w:ascii="Arial" w:eastAsia="Times New Roman" w:hAnsi="Arial" w:cs="Arial"/>
                <w:color w:val="222222"/>
                <w:sz w:val="22"/>
                <w:szCs w:val="22"/>
              </w:rPr>
              <w:t xml:space="preserve">the results of </w:t>
            </w:r>
            <w:r w:rsidR="00F24F83">
              <w:rPr>
                <w:rFonts w:ascii="Arial" w:eastAsia="Times New Roman" w:hAnsi="Arial" w:cs="Arial"/>
                <w:color w:val="222222"/>
                <w:sz w:val="22"/>
                <w:szCs w:val="22"/>
              </w:rPr>
              <w:t>this analysis in the supplementary information.</w:t>
            </w:r>
            <w:r>
              <w:rPr>
                <w:rFonts w:ascii="Arial" w:eastAsia="Times New Roman" w:hAnsi="Arial" w:cs="Arial"/>
                <w:color w:val="222222"/>
                <w:sz w:val="22"/>
                <w:szCs w:val="22"/>
              </w:rPr>
              <w:t xml:space="preserve"> Overall the trend</w:t>
            </w:r>
            <w:r w:rsidR="00FF319E">
              <w:rPr>
                <w:rFonts w:ascii="Arial" w:eastAsia="Times New Roman" w:hAnsi="Arial" w:cs="Arial"/>
                <w:color w:val="222222"/>
                <w:sz w:val="22"/>
                <w:szCs w:val="22"/>
              </w:rPr>
              <w:t>s</w:t>
            </w:r>
            <w:r>
              <w:rPr>
                <w:rFonts w:ascii="Arial" w:eastAsia="Times New Roman" w:hAnsi="Arial" w:cs="Arial"/>
                <w:color w:val="222222"/>
                <w:sz w:val="22"/>
                <w:szCs w:val="22"/>
              </w:rPr>
              <w:t xml:space="preserve"> </w:t>
            </w:r>
            <w:r w:rsidR="00FF319E">
              <w:rPr>
                <w:rFonts w:ascii="Arial" w:eastAsia="Times New Roman" w:hAnsi="Arial" w:cs="Arial"/>
                <w:color w:val="222222"/>
                <w:sz w:val="22"/>
                <w:szCs w:val="22"/>
              </w:rPr>
              <w:t>were very much</w:t>
            </w:r>
            <w:r>
              <w:rPr>
                <w:rFonts w:ascii="Arial" w:eastAsia="Times New Roman" w:hAnsi="Arial" w:cs="Arial"/>
                <w:color w:val="222222"/>
                <w:sz w:val="22"/>
                <w:szCs w:val="22"/>
              </w:rPr>
              <w:t xml:space="preserve"> consistent </w:t>
            </w:r>
            <w:r w:rsidR="00F24F83">
              <w:rPr>
                <w:rFonts w:ascii="Arial" w:eastAsia="Times New Roman" w:hAnsi="Arial" w:cs="Arial"/>
                <w:color w:val="222222"/>
                <w:sz w:val="22"/>
                <w:szCs w:val="22"/>
              </w:rPr>
              <w:t xml:space="preserve">with our </w:t>
            </w:r>
            <w:r w:rsidR="00FF319E">
              <w:rPr>
                <w:rFonts w:ascii="Arial" w:eastAsia="Times New Roman" w:hAnsi="Arial" w:cs="Arial"/>
                <w:color w:val="222222"/>
                <w:sz w:val="22"/>
                <w:szCs w:val="22"/>
              </w:rPr>
              <w:t xml:space="preserve">prior </w:t>
            </w:r>
            <w:r w:rsidR="00F24F83">
              <w:rPr>
                <w:rFonts w:ascii="Arial" w:eastAsia="Times New Roman" w:hAnsi="Arial" w:cs="Arial"/>
                <w:color w:val="222222"/>
                <w:sz w:val="22"/>
                <w:szCs w:val="22"/>
              </w:rPr>
              <w:t>analys</w:t>
            </w:r>
            <w:r w:rsidR="00FF319E">
              <w:rPr>
                <w:rFonts w:ascii="Arial" w:eastAsia="Times New Roman" w:hAnsi="Arial" w:cs="Arial"/>
                <w:color w:val="222222"/>
                <w:sz w:val="22"/>
                <w:szCs w:val="22"/>
              </w:rPr>
              <w:t>es</w:t>
            </w:r>
            <w:r w:rsidR="00F24F83">
              <w:rPr>
                <w:rFonts w:ascii="Arial" w:eastAsia="Times New Roman" w:hAnsi="Arial" w:cs="Arial"/>
                <w:color w:val="222222"/>
                <w:sz w:val="22"/>
                <w:szCs w:val="22"/>
              </w:rPr>
              <w:t xml:space="preserve">. However, </w:t>
            </w:r>
            <w:r w:rsidR="00B400EC">
              <w:rPr>
                <w:rFonts w:ascii="Arial" w:eastAsia="Times New Roman" w:hAnsi="Arial" w:cs="Arial"/>
                <w:color w:val="222222"/>
                <w:sz w:val="22"/>
                <w:szCs w:val="22"/>
              </w:rPr>
              <w:t>the new dataset</w:t>
            </w:r>
            <w:r>
              <w:rPr>
                <w:rFonts w:ascii="Arial" w:eastAsia="Times New Roman" w:hAnsi="Arial" w:cs="Arial"/>
                <w:color w:val="222222"/>
                <w:sz w:val="22"/>
                <w:szCs w:val="22"/>
              </w:rPr>
              <w:t xml:space="preserve"> lack</w:t>
            </w:r>
            <w:r w:rsidR="00B400EC">
              <w:rPr>
                <w:rFonts w:ascii="Arial" w:eastAsia="Times New Roman" w:hAnsi="Arial" w:cs="Arial"/>
                <w:color w:val="222222"/>
                <w:sz w:val="22"/>
                <w:szCs w:val="22"/>
              </w:rPr>
              <w:t>s</w:t>
            </w:r>
            <w:r>
              <w:rPr>
                <w:rFonts w:ascii="Arial" w:eastAsia="Times New Roman" w:hAnsi="Arial" w:cs="Arial"/>
                <w:color w:val="222222"/>
                <w:sz w:val="22"/>
                <w:szCs w:val="22"/>
              </w:rPr>
              <w:t xml:space="preserve"> statistical significance</w:t>
            </w:r>
            <w:r w:rsidR="00B400EC">
              <w:rPr>
                <w:rFonts w:ascii="Arial" w:eastAsia="Times New Roman" w:hAnsi="Arial" w:cs="Arial"/>
                <w:color w:val="222222"/>
                <w:sz w:val="22"/>
                <w:szCs w:val="22"/>
              </w:rPr>
              <w:t>,</w:t>
            </w:r>
            <w:r>
              <w:rPr>
                <w:rFonts w:ascii="Arial" w:eastAsia="Times New Roman" w:hAnsi="Arial" w:cs="Arial"/>
                <w:color w:val="222222"/>
                <w:sz w:val="22"/>
                <w:szCs w:val="22"/>
              </w:rPr>
              <w:t xml:space="preserve"> potentially </w:t>
            </w:r>
            <w:r w:rsidR="00B400EC">
              <w:rPr>
                <w:rFonts w:ascii="Arial" w:eastAsia="Times New Roman" w:hAnsi="Arial" w:cs="Arial"/>
                <w:color w:val="222222"/>
                <w:sz w:val="22"/>
                <w:szCs w:val="22"/>
              </w:rPr>
              <w:t>as a result of the fact that it is considerably</w:t>
            </w:r>
            <w:r>
              <w:rPr>
                <w:rFonts w:ascii="Arial" w:eastAsia="Times New Roman" w:hAnsi="Arial" w:cs="Arial"/>
                <w:color w:val="222222"/>
                <w:sz w:val="22"/>
                <w:szCs w:val="22"/>
              </w:rPr>
              <w:t xml:space="preserve"> smaller </w:t>
            </w:r>
            <w:r w:rsidR="00B400EC">
              <w:rPr>
                <w:rFonts w:ascii="Arial" w:eastAsia="Times New Roman" w:hAnsi="Arial" w:cs="Arial"/>
                <w:color w:val="222222"/>
                <w:sz w:val="22"/>
                <w:szCs w:val="22"/>
              </w:rPr>
              <w:t>data</w:t>
            </w:r>
            <w:r>
              <w:rPr>
                <w:rFonts w:ascii="Arial" w:eastAsia="Times New Roman" w:hAnsi="Arial" w:cs="Arial"/>
                <w:color w:val="222222"/>
                <w:sz w:val="22"/>
                <w:szCs w:val="22"/>
              </w:rPr>
              <w:t>set.</w:t>
            </w:r>
            <w:r w:rsidR="00B400EC">
              <w:rPr>
                <w:rFonts w:ascii="Arial" w:eastAsia="Times New Roman" w:hAnsi="Arial" w:cs="Arial"/>
                <w:color w:val="222222"/>
                <w:sz w:val="22"/>
                <w:szCs w:val="22"/>
              </w:rPr>
              <w:t xml:space="preserve"> The details of these analyses are provided in the exce</w:t>
            </w:r>
            <w:r w:rsidR="009E04FE">
              <w:rPr>
                <w:rFonts w:ascii="Arial" w:eastAsia="Times New Roman" w:hAnsi="Arial" w:cs="Arial"/>
                <w:color w:val="222222"/>
                <w:sz w:val="22"/>
                <w:szCs w:val="22"/>
              </w:rPr>
              <w:t>r</w:t>
            </w:r>
            <w:r w:rsidR="00B400EC">
              <w:rPr>
                <w:rFonts w:ascii="Arial" w:eastAsia="Times New Roman" w:hAnsi="Arial" w:cs="Arial"/>
                <w:color w:val="222222"/>
                <w:sz w:val="22"/>
                <w:szCs w:val="22"/>
              </w:rPr>
              <w:t>pt below.</w:t>
            </w:r>
          </w:p>
        </w:tc>
      </w:tr>
      <w:tr w:rsidR="0097069B" w:rsidRPr="00C1590F" w14:paraId="3DF96EB2" w14:textId="77777777" w:rsidTr="0097069B">
        <w:tc>
          <w:tcPr>
            <w:tcW w:w="1728" w:type="dxa"/>
          </w:tcPr>
          <w:p w14:paraId="199BA060" w14:textId="77777777" w:rsidR="0097069B" w:rsidRPr="00C1590F" w:rsidRDefault="0097069B" w:rsidP="0097069B">
            <w:pPr>
              <w:pStyle w:val="new-text"/>
              <w:jc w:val="both"/>
            </w:pPr>
            <w:r w:rsidRPr="00C1590F">
              <w:t>Excerpt From</w:t>
            </w:r>
          </w:p>
          <w:p w14:paraId="0264426B" w14:textId="77777777" w:rsidR="0097069B" w:rsidRPr="00C1590F" w:rsidRDefault="0097069B" w:rsidP="0097069B">
            <w:pPr>
              <w:pStyle w:val="new-text"/>
              <w:jc w:val="both"/>
            </w:pPr>
            <w:r w:rsidRPr="00C1590F">
              <w:t>Revised Manuscript</w:t>
            </w:r>
          </w:p>
        </w:tc>
        <w:tc>
          <w:tcPr>
            <w:tcW w:w="7200" w:type="dxa"/>
          </w:tcPr>
          <w:p w14:paraId="5660EC53" w14:textId="7330C35D" w:rsidR="00773BF6" w:rsidRDefault="00CE7CA0" w:rsidP="00773BF6">
            <w:pPr>
              <w:rPr>
                <w:i/>
                <w:sz w:val="18"/>
                <w:szCs w:val="18"/>
                <w:u w:val="single"/>
              </w:rPr>
            </w:pPr>
            <w:r>
              <w:rPr>
                <w:i/>
                <w:sz w:val="18"/>
                <w:szCs w:val="18"/>
                <w:u w:val="single"/>
              </w:rPr>
              <w:t>Excerpt from Method</w:t>
            </w:r>
          </w:p>
          <w:p w14:paraId="30C3C3D7" w14:textId="77777777" w:rsidR="00CE7CA0" w:rsidRDefault="00CE7CA0" w:rsidP="00773BF6">
            <w:pPr>
              <w:rPr>
                <w:i/>
                <w:sz w:val="18"/>
                <w:szCs w:val="18"/>
                <w:u w:val="single"/>
              </w:rPr>
            </w:pPr>
          </w:p>
          <w:p w14:paraId="6FBADE12" w14:textId="14211735" w:rsidR="00CE7CA0" w:rsidRPr="00CE7CA0" w:rsidRDefault="00CE7CA0" w:rsidP="00CE7CA0">
            <w:pPr>
              <w:spacing w:line="360" w:lineRule="auto"/>
              <w:rPr>
                <w:rFonts w:eastAsia="ＭＳ 明朝"/>
                <w:b/>
                <w:sz w:val="18"/>
                <w:szCs w:val="18"/>
                <w:u w:val="single"/>
              </w:rPr>
            </w:pPr>
            <w:r w:rsidRPr="00CE7CA0">
              <w:rPr>
                <w:rFonts w:eastAsia="ＭＳ 明朝"/>
                <w:b/>
                <w:sz w:val="18"/>
                <w:szCs w:val="18"/>
                <w:u w:val="single"/>
              </w:rPr>
              <w:t>Semi-balanced SNV datasets</w:t>
            </w:r>
          </w:p>
          <w:p w14:paraId="6EB4B5B9" w14:textId="77777777" w:rsidR="00CE7CA0" w:rsidRPr="00CE7CA0" w:rsidRDefault="00CE7CA0" w:rsidP="00CE7CA0">
            <w:pPr>
              <w:spacing w:line="360" w:lineRule="auto"/>
              <w:rPr>
                <w:rFonts w:eastAsia="Times New Roman"/>
                <w:sz w:val="18"/>
                <w:szCs w:val="18"/>
              </w:rPr>
            </w:pPr>
            <w:r w:rsidRPr="00CE7CA0">
              <w:rPr>
                <w:rFonts w:eastAsia="Times New Roman"/>
                <w:sz w:val="18"/>
                <w:szCs w:val="18"/>
              </w:rPr>
              <w:t xml:space="preserve">The limited and uneven structural coverage of the human proteome primarily introduces two sources of potential bias when combined with SNV datasets: 1) some proteins may be over-represented when evaluating the effects of SNVs, and 2) the sets proteins that correspond to benign SNVs may differ considerably from those that correspond to deleterious SNVs, thereby making direct comparisons between benign and deleterious SNVs less reliable. </w:t>
            </w:r>
          </w:p>
          <w:p w14:paraId="25AC7E28" w14:textId="77777777" w:rsidR="00CE7CA0" w:rsidRPr="00CE7CA0" w:rsidRDefault="00CE7CA0" w:rsidP="00CE7CA0">
            <w:pPr>
              <w:spacing w:line="360" w:lineRule="auto"/>
              <w:ind w:firstLine="720"/>
              <w:rPr>
                <w:rFonts w:eastAsia="ＭＳ 明朝"/>
                <w:sz w:val="18"/>
                <w:szCs w:val="18"/>
              </w:rPr>
            </w:pPr>
            <w:r w:rsidRPr="00CE7CA0">
              <w:rPr>
                <w:rFonts w:eastAsia="Times New Roman"/>
                <w:sz w:val="18"/>
                <w:szCs w:val="18"/>
              </w:rPr>
              <w:t>In order to address this first issue, we</w:t>
            </w:r>
            <w:r w:rsidRPr="00CE7CA0">
              <w:rPr>
                <w:rFonts w:eastAsia="ＭＳ 明朝"/>
                <w:sz w:val="18"/>
                <w:szCs w:val="18"/>
              </w:rPr>
              <w:t xml:space="preserve"> select a non-redundant set of proteins within each dataset. Specifically, the non-redundant set is constructed by ensuring that no protein within the set shares more than 90% sequence identity with any other protein in the set. Using </w:t>
            </w:r>
            <w:r w:rsidRPr="00CE7CA0">
              <w:rPr>
                <w:rFonts w:eastAsia="ＭＳ 明朝"/>
                <w:sz w:val="18"/>
                <w:szCs w:val="18"/>
              </w:rPr>
              <w:lastRenderedPageBreak/>
              <w:t>this approach, we find that there are 618, 907, and 303 distinct proteins within the set of high-resolution structures impacted by 1000 Genomes, ExAC, and HGMD SNVs, respectively. Distributions delineating the number of SNVs within these non-redundant protein sets are given in Supp. Fig. S2-S4.</w:t>
            </w:r>
          </w:p>
          <w:p w14:paraId="6570996C" w14:textId="77777777" w:rsidR="00CE7CA0" w:rsidRPr="00CE7CA0" w:rsidRDefault="00CE7CA0" w:rsidP="00CE7CA0">
            <w:pPr>
              <w:spacing w:line="360" w:lineRule="auto"/>
              <w:ind w:firstLine="720"/>
              <w:rPr>
                <w:rFonts w:eastAsia="Times New Roman"/>
                <w:sz w:val="18"/>
                <w:szCs w:val="18"/>
              </w:rPr>
            </w:pPr>
            <w:r w:rsidRPr="00CE7CA0">
              <w:rPr>
                <w:sz w:val="18"/>
                <w:szCs w:val="18"/>
              </w:rPr>
              <w:t xml:space="preserve">In order to address the second issue, we analyze only those structures that fall within the </w:t>
            </w:r>
            <w:r w:rsidRPr="00CE7CA0">
              <w:rPr>
                <w:i/>
                <w:sz w:val="18"/>
                <w:szCs w:val="18"/>
              </w:rPr>
              <w:t>intersection</w:t>
            </w:r>
            <w:r w:rsidRPr="00CE7CA0">
              <w:rPr>
                <w:sz w:val="18"/>
                <w:szCs w:val="18"/>
              </w:rPr>
              <w:t xml:space="preserve"> of the different non-redundant datasets. Thus, for each SNV mapping to structure within this intersection set of non-redundant proteins (which we term the “semi-balanced set”),</w:t>
            </w:r>
            <w:r w:rsidRPr="00CE7CA0">
              <w:rPr>
                <w:rFonts w:eastAsia="Times New Roman"/>
                <w:sz w:val="18"/>
                <w:szCs w:val="18"/>
              </w:rPr>
              <w:t xml:space="preserve"> at least one residue overlap with an ExAC(1KG) and HGMD SNV</w:t>
            </w:r>
            <w:r w:rsidRPr="00CE7CA0">
              <w:rPr>
                <w:sz w:val="18"/>
                <w:szCs w:val="18"/>
              </w:rPr>
              <w:t xml:space="preserve">. </w:t>
            </w:r>
            <w:r w:rsidRPr="00CE7CA0">
              <w:rPr>
                <w:rFonts w:eastAsia="Times New Roman"/>
                <w:sz w:val="18"/>
                <w:szCs w:val="18"/>
              </w:rPr>
              <w:t>We utilize this semi-balanced SNV set to elucidate utility of frustration metric with respect other methods (polpyhen2 &amp; SIFT), as described in the result section. We also perform ∆F comparison for 1KG, ExAC and HGMD variants on the semi-balanced SNV sets (Supp. Fig S5).</w:t>
            </w:r>
          </w:p>
          <w:p w14:paraId="2BBABCB8" w14:textId="77777777" w:rsidR="00CE7CA0" w:rsidRDefault="00CE7CA0" w:rsidP="00CE7CA0"/>
          <w:p w14:paraId="0B788EB9" w14:textId="02BF55B5" w:rsidR="00CE7CA0" w:rsidRDefault="00CE7CA0" w:rsidP="00773BF6">
            <w:pPr>
              <w:spacing w:line="360" w:lineRule="auto"/>
              <w:rPr>
                <w:rFonts w:eastAsia="ＭＳ 明朝"/>
                <w:sz w:val="18"/>
                <w:szCs w:val="18"/>
              </w:rPr>
            </w:pPr>
            <w:r>
              <w:rPr>
                <w:i/>
                <w:sz w:val="18"/>
                <w:szCs w:val="18"/>
                <w:u w:val="single"/>
              </w:rPr>
              <w:t>Excerpt from Discussion</w:t>
            </w:r>
            <w:r w:rsidR="00773BF6">
              <w:rPr>
                <w:rFonts w:eastAsia="ＭＳ 明朝"/>
                <w:sz w:val="18"/>
                <w:szCs w:val="18"/>
              </w:rPr>
              <w:t xml:space="preserve">     </w:t>
            </w:r>
          </w:p>
          <w:p w14:paraId="7CDCCEE0" w14:textId="74EA7BF6" w:rsidR="0097069B" w:rsidRPr="00232D88" w:rsidRDefault="00773BF6" w:rsidP="00232D88">
            <w:pPr>
              <w:spacing w:line="360" w:lineRule="auto"/>
              <w:rPr>
                <w:rFonts w:eastAsia="ＭＳ 明朝"/>
                <w:sz w:val="18"/>
                <w:szCs w:val="18"/>
              </w:rPr>
            </w:pPr>
            <w:r w:rsidRPr="00C10CE9">
              <w:rPr>
                <w:rFonts w:eastAsia="ＭＳ 明朝"/>
                <w:sz w:val="18"/>
                <w:szCs w:val="18"/>
              </w:rPr>
              <w:t xml:space="preserve">Historically, the relative scarcity of genomic variation and structural data have presented challenges to variant interpretation, in that only a small pool of SNVs may be mapped to resolved structures. Furthermore, this limited coverage may exacerbate bias in two regards: 1) certain proteins may be over-represented in any given dataset, and 2) the proteins affected by disease-associated SNVs differ from those in which more benign SNVs intersect (considerable annotation disparities exist between HGMD variants and variants taken from 1000 Genomes and ExAC, raising the possibility of bias between the evaluated structure datasets. The sets of proteins evaluated in the context of HGMD variants may thus be considerably different from those of 1000 Genomes/ExAC SNVs, thereby making direct comparisons difficult.). </w:t>
            </w:r>
          </w:p>
        </w:tc>
      </w:tr>
    </w:tbl>
    <w:p w14:paraId="20FD6C74" w14:textId="613CEF16" w:rsidR="00713485" w:rsidRDefault="00713485" w:rsidP="00C44A54">
      <w:pPr>
        <w:pStyle w:val="Heading3"/>
        <w:jc w:val="left"/>
      </w:pPr>
    </w:p>
    <w:p w14:paraId="322D4ADC" w14:textId="157E1522" w:rsidR="0097069B" w:rsidRPr="00C1590F" w:rsidRDefault="0097069B" w:rsidP="0097069B">
      <w:pPr>
        <w:pStyle w:val="Heading3"/>
      </w:pPr>
      <w:r w:rsidRPr="00C1590F">
        <w:t>-- Ref</w:t>
      </w:r>
      <w:r>
        <w:t xml:space="preserve"> 3</w:t>
      </w:r>
      <w:r w:rsidRPr="00C1590F">
        <w:t>.</w:t>
      </w:r>
      <w:r>
        <w:t>3</w:t>
      </w:r>
      <w:r w:rsidRPr="00C1590F">
        <w:t xml:space="preserve"> –</w:t>
      </w:r>
      <w:r w:rsidR="00713485" w:rsidRPr="00713485">
        <w:t xml:space="preserve"> </w:t>
      </w:r>
      <w:r w:rsidR="00713485">
        <w:t xml:space="preserve">SNV frequency summary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97069B" w:rsidRPr="00C1590F" w14:paraId="3118693C" w14:textId="77777777" w:rsidTr="0097069B">
        <w:tc>
          <w:tcPr>
            <w:tcW w:w="1728" w:type="dxa"/>
          </w:tcPr>
          <w:p w14:paraId="0E9DAF91" w14:textId="77777777" w:rsidR="0097069B" w:rsidRPr="00C1590F" w:rsidRDefault="0097069B" w:rsidP="0097069B">
            <w:pPr>
              <w:pStyle w:val="reviewer"/>
              <w:jc w:val="both"/>
            </w:pPr>
            <w:r w:rsidRPr="00C1590F">
              <w:t>Reviewer</w:t>
            </w:r>
          </w:p>
          <w:p w14:paraId="526518C1" w14:textId="77777777" w:rsidR="0097069B" w:rsidRPr="00C1590F" w:rsidRDefault="0097069B" w:rsidP="0097069B">
            <w:pPr>
              <w:pStyle w:val="reviewer"/>
              <w:jc w:val="both"/>
            </w:pPr>
            <w:r w:rsidRPr="00C1590F">
              <w:t>Comment</w:t>
            </w:r>
          </w:p>
        </w:tc>
        <w:tc>
          <w:tcPr>
            <w:tcW w:w="7200" w:type="dxa"/>
          </w:tcPr>
          <w:p w14:paraId="3F17C716" w14:textId="77777777" w:rsidR="0097069B" w:rsidRPr="00CE1E4B" w:rsidRDefault="0097069B" w:rsidP="0097069B">
            <w:pPr>
              <w:rPr>
                <w:rFonts w:ascii="Courier New" w:eastAsia="Times New Roman" w:hAnsi="Courier New" w:cs="Courier New"/>
                <w:sz w:val="20"/>
                <w:szCs w:val="20"/>
                <w:lang w:eastAsia="en-US"/>
              </w:rPr>
            </w:pPr>
            <w:r w:rsidRPr="00CE1E4B">
              <w:rPr>
                <w:rFonts w:ascii="Courier New" w:eastAsia="Times New Roman" w:hAnsi="Courier New" w:cs="Courier New"/>
                <w:color w:val="222222"/>
                <w:sz w:val="20"/>
                <w:szCs w:val="20"/>
                <w:shd w:val="clear" w:color="auto" w:fill="FFFFFF"/>
                <w:lang w:eastAsia="en-US"/>
              </w:rPr>
              <w:t>Please, provide complete breakdown for the raw numbers of SNVs in each subcategory analyzed for the data presented in the Figures: Core/Surface, Core/Surface/Common/Rare, etc.</w:t>
            </w:r>
          </w:p>
          <w:p w14:paraId="68B98B0D" w14:textId="77777777" w:rsidR="0097069B" w:rsidRPr="00C1590F" w:rsidRDefault="0097069B" w:rsidP="0097069B">
            <w:pPr>
              <w:rPr>
                <w:rFonts w:ascii="Courier New" w:hAnsi="Courier New" w:cs="Courier New"/>
                <w:sz w:val="20"/>
                <w:szCs w:val="20"/>
              </w:rPr>
            </w:pPr>
          </w:p>
        </w:tc>
      </w:tr>
      <w:tr w:rsidR="00F27743" w:rsidRPr="00C1590F" w14:paraId="1A80A6A0" w14:textId="77777777" w:rsidTr="0097069B">
        <w:tc>
          <w:tcPr>
            <w:tcW w:w="1728" w:type="dxa"/>
          </w:tcPr>
          <w:p w14:paraId="1089F1C6" w14:textId="77777777" w:rsidR="00F27743" w:rsidRPr="00B9141D" w:rsidRDefault="00F27743" w:rsidP="0097069B">
            <w:pPr>
              <w:pStyle w:val="author"/>
              <w:jc w:val="both"/>
              <w:rPr>
                <w:sz w:val="22"/>
                <w:szCs w:val="22"/>
              </w:rPr>
            </w:pPr>
            <w:r w:rsidRPr="00B9141D">
              <w:rPr>
                <w:sz w:val="22"/>
                <w:szCs w:val="22"/>
              </w:rPr>
              <w:t>Author</w:t>
            </w:r>
          </w:p>
          <w:p w14:paraId="170CFDA4" w14:textId="77777777" w:rsidR="00F27743" w:rsidRPr="00B9141D" w:rsidRDefault="00F27743" w:rsidP="0097069B">
            <w:pPr>
              <w:pStyle w:val="author"/>
              <w:jc w:val="both"/>
              <w:rPr>
                <w:sz w:val="22"/>
                <w:szCs w:val="22"/>
              </w:rPr>
            </w:pPr>
            <w:r w:rsidRPr="00B9141D">
              <w:rPr>
                <w:sz w:val="22"/>
                <w:szCs w:val="22"/>
              </w:rPr>
              <w:t>Response</w:t>
            </w:r>
          </w:p>
        </w:tc>
        <w:tc>
          <w:tcPr>
            <w:tcW w:w="7200" w:type="dxa"/>
          </w:tcPr>
          <w:p w14:paraId="12672845" w14:textId="3F65A9A1" w:rsidR="00F27743" w:rsidRPr="00D7547B" w:rsidRDefault="00DE6C55" w:rsidP="00DE6C55">
            <w:pPr>
              <w:shd w:val="clear" w:color="auto" w:fill="FFFFFF"/>
              <w:rPr>
                <w:rFonts w:eastAsia="Times New Roman"/>
                <w:color w:val="222222"/>
                <w:sz w:val="22"/>
                <w:szCs w:val="22"/>
              </w:rPr>
            </w:pPr>
            <w:r>
              <w:rPr>
                <w:rFonts w:cs="Arial"/>
                <w:sz w:val="22"/>
                <w:szCs w:val="22"/>
              </w:rPr>
              <w:t>We agree that t</w:t>
            </w:r>
            <w:r w:rsidRPr="00DE6C55">
              <w:rPr>
                <w:rFonts w:cs="Arial"/>
                <w:sz w:val="22"/>
                <w:szCs w:val="22"/>
              </w:rPr>
              <w:t xml:space="preserve">hese </w:t>
            </w:r>
            <w:r>
              <w:rPr>
                <w:rFonts w:cs="Arial"/>
                <w:sz w:val="22"/>
                <w:szCs w:val="22"/>
              </w:rPr>
              <w:t>numbers</w:t>
            </w:r>
            <w:r w:rsidRPr="00DE6C55">
              <w:rPr>
                <w:rFonts w:cs="Arial"/>
                <w:sz w:val="22"/>
                <w:szCs w:val="22"/>
              </w:rPr>
              <w:t xml:space="preserve"> are </w:t>
            </w:r>
            <w:r>
              <w:rPr>
                <w:rFonts w:cs="Arial"/>
                <w:sz w:val="22"/>
                <w:szCs w:val="22"/>
              </w:rPr>
              <w:t>important</w:t>
            </w:r>
            <w:r w:rsidRPr="00DE6C55">
              <w:rPr>
                <w:rFonts w:cs="Arial"/>
                <w:sz w:val="22"/>
                <w:szCs w:val="22"/>
              </w:rPr>
              <w:t xml:space="preserve"> to know, </w:t>
            </w:r>
            <w:r>
              <w:rPr>
                <w:rFonts w:cs="Arial"/>
                <w:sz w:val="22"/>
                <w:szCs w:val="22"/>
              </w:rPr>
              <w:t xml:space="preserve">and indeed, reviewer #1 had the same suggestion. These statistics </w:t>
            </w:r>
            <w:r w:rsidRPr="00DE6C55">
              <w:rPr>
                <w:rFonts w:cs="Arial"/>
                <w:sz w:val="22"/>
                <w:szCs w:val="22"/>
              </w:rPr>
              <w:t>are now provided in Table 1, which may be found within the main text.</w:t>
            </w:r>
          </w:p>
        </w:tc>
      </w:tr>
      <w:tr w:rsidR="00F27743" w:rsidRPr="00C1590F" w14:paraId="0D835613" w14:textId="77777777" w:rsidTr="0097069B">
        <w:tc>
          <w:tcPr>
            <w:tcW w:w="1728" w:type="dxa"/>
          </w:tcPr>
          <w:p w14:paraId="54850D82" w14:textId="77777777" w:rsidR="00F27743" w:rsidRPr="00C1590F" w:rsidRDefault="00F27743" w:rsidP="0097069B">
            <w:pPr>
              <w:pStyle w:val="new-text"/>
              <w:jc w:val="both"/>
            </w:pPr>
            <w:r w:rsidRPr="00C1590F">
              <w:lastRenderedPageBreak/>
              <w:t>Excerpt From</w:t>
            </w:r>
          </w:p>
          <w:p w14:paraId="0F6415B6" w14:textId="77777777" w:rsidR="00F27743" w:rsidRPr="00C1590F" w:rsidRDefault="00F27743" w:rsidP="0097069B">
            <w:pPr>
              <w:pStyle w:val="new-text"/>
              <w:jc w:val="both"/>
            </w:pPr>
            <w:r w:rsidRPr="00C1590F">
              <w:t>Revised Manuscript</w:t>
            </w:r>
          </w:p>
        </w:tc>
        <w:tc>
          <w:tcPr>
            <w:tcW w:w="7200" w:type="dxa"/>
          </w:tcPr>
          <w:p w14:paraId="0DA1A6A9" w14:textId="5603316A" w:rsidR="00F27743" w:rsidRPr="007D009E" w:rsidRDefault="00FD240F" w:rsidP="0097069B">
            <w:pPr>
              <w:shd w:val="clear" w:color="auto" w:fill="FFFFFF"/>
              <w:rPr>
                <w:sz w:val="20"/>
                <w:szCs w:val="20"/>
              </w:rPr>
            </w:pPr>
            <w:r>
              <w:rPr>
                <w:noProof/>
                <w:sz w:val="20"/>
                <w:szCs w:val="20"/>
                <w:lang w:eastAsia="en-US"/>
              </w:rPr>
              <w:drawing>
                <wp:inline distT="0" distB="0" distL="0" distR="0" wp14:anchorId="44584117" wp14:editId="17D4B3D2">
                  <wp:extent cx="4427220" cy="2187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7220" cy="2187575"/>
                          </a:xfrm>
                          <a:prstGeom prst="rect">
                            <a:avLst/>
                          </a:prstGeom>
                          <a:noFill/>
                          <a:ln>
                            <a:noFill/>
                          </a:ln>
                        </pic:spPr>
                      </pic:pic>
                    </a:graphicData>
                  </a:graphic>
                </wp:inline>
              </w:drawing>
            </w:r>
          </w:p>
        </w:tc>
      </w:tr>
    </w:tbl>
    <w:p w14:paraId="5FB15C42" w14:textId="77777777" w:rsidR="0097069B" w:rsidRDefault="0097069B" w:rsidP="007D009E"/>
    <w:p w14:paraId="47FE2BFD" w14:textId="77777777" w:rsidR="00930D42" w:rsidRDefault="00930D42" w:rsidP="007D009E"/>
    <w:p w14:paraId="0277F958" w14:textId="04F371E1" w:rsidR="0097069B" w:rsidRPr="00C1590F" w:rsidRDefault="0097069B" w:rsidP="0097069B">
      <w:pPr>
        <w:pStyle w:val="Heading3"/>
      </w:pPr>
      <w:r w:rsidRPr="00C1590F">
        <w:t>-- Ref</w:t>
      </w:r>
      <w:r>
        <w:t xml:space="preserve"> 3</w:t>
      </w:r>
      <w:r w:rsidRPr="00C1590F">
        <w:t>.</w:t>
      </w:r>
      <w:r>
        <w:t>4</w:t>
      </w:r>
      <w:r w:rsidRPr="00C1590F">
        <w:t xml:space="preserve"> – </w:t>
      </w:r>
      <w:r w:rsidR="00713485">
        <w:t>Typographical error</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97069B" w:rsidRPr="00C1590F" w14:paraId="66292A44" w14:textId="77777777" w:rsidTr="0097069B">
        <w:tc>
          <w:tcPr>
            <w:tcW w:w="1728" w:type="dxa"/>
          </w:tcPr>
          <w:p w14:paraId="4FA544DA" w14:textId="77777777" w:rsidR="0097069B" w:rsidRPr="00C1590F" w:rsidRDefault="0097069B" w:rsidP="0097069B">
            <w:pPr>
              <w:pStyle w:val="reviewer"/>
              <w:jc w:val="both"/>
            </w:pPr>
            <w:r w:rsidRPr="00C1590F">
              <w:t>Reviewer</w:t>
            </w:r>
          </w:p>
          <w:p w14:paraId="124F30E9" w14:textId="77777777" w:rsidR="0097069B" w:rsidRPr="00C1590F" w:rsidRDefault="0097069B" w:rsidP="0097069B">
            <w:pPr>
              <w:pStyle w:val="reviewer"/>
              <w:jc w:val="both"/>
            </w:pPr>
            <w:r w:rsidRPr="00C1590F">
              <w:t>Comment</w:t>
            </w:r>
          </w:p>
        </w:tc>
        <w:tc>
          <w:tcPr>
            <w:tcW w:w="7200" w:type="dxa"/>
          </w:tcPr>
          <w:p w14:paraId="003827B5" w14:textId="77777777" w:rsidR="00930D42" w:rsidRPr="00930D42" w:rsidRDefault="00930D42" w:rsidP="00930D42">
            <w:pPr>
              <w:rPr>
                <w:rFonts w:ascii="Times" w:eastAsia="Times New Roman" w:hAnsi="Times"/>
                <w:sz w:val="20"/>
                <w:szCs w:val="20"/>
                <w:lang w:eastAsia="en-US"/>
              </w:rPr>
            </w:pPr>
            <w:r w:rsidRPr="00930D42">
              <w:rPr>
                <w:rFonts w:ascii="Arial" w:eastAsia="Times New Roman" w:hAnsi="Arial" w:cs="Arial"/>
                <w:color w:val="222222"/>
                <w:sz w:val="19"/>
                <w:szCs w:val="19"/>
                <w:shd w:val="clear" w:color="auto" w:fill="FFFFFF"/>
                <w:lang w:eastAsia="en-US"/>
              </w:rPr>
              <w:t>Supporting information, page 2: “SNVs are classified in three groups based Coin the native state (MinFNS)”, possibly a typing error: Coin&gt;on? Also, item a) is missing; enumeration starts from b).</w:t>
            </w:r>
          </w:p>
          <w:p w14:paraId="3474212A" w14:textId="77777777" w:rsidR="0097069B" w:rsidRPr="00C1590F" w:rsidRDefault="0097069B" w:rsidP="0097069B">
            <w:pPr>
              <w:rPr>
                <w:rFonts w:ascii="Courier New" w:hAnsi="Courier New" w:cs="Courier New"/>
                <w:sz w:val="20"/>
                <w:szCs w:val="20"/>
              </w:rPr>
            </w:pPr>
          </w:p>
        </w:tc>
      </w:tr>
      <w:tr w:rsidR="0097069B" w:rsidRPr="00C1590F" w14:paraId="6F00B9CD" w14:textId="77777777" w:rsidTr="0097069B">
        <w:tc>
          <w:tcPr>
            <w:tcW w:w="1728" w:type="dxa"/>
          </w:tcPr>
          <w:p w14:paraId="544753A9" w14:textId="77777777" w:rsidR="0097069B" w:rsidRPr="00B9141D" w:rsidRDefault="0097069B" w:rsidP="0097069B">
            <w:pPr>
              <w:pStyle w:val="author"/>
              <w:jc w:val="both"/>
              <w:rPr>
                <w:sz w:val="22"/>
                <w:szCs w:val="22"/>
              </w:rPr>
            </w:pPr>
            <w:r w:rsidRPr="00B9141D">
              <w:rPr>
                <w:sz w:val="22"/>
                <w:szCs w:val="22"/>
              </w:rPr>
              <w:t>Author</w:t>
            </w:r>
          </w:p>
          <w:p w14:paraId="4F6155E2" w14:textId="77777777" w:rsidR="0097069B" w:rsidRPr="00B9141D" w:rsidRDefault="0097069B" w:rsidP="0097069B">
            <w:pPr>
              <w:pStyle w:val="author"/>
              <w:jc w:val="both"/>
              <w:rPr>
                <w:sz w:val="22"/>
                <w:szCs w:val="22"/>
              </w:rPr>
            </w:pPr>
            <w:r w:rsidRPr="00B9141D">
              <w:rPr>
                <w:sz w:val="22"/>
                <w:szCs w:val="22"/>
              </w:rPr>
              <w:t>Response</w:t>
            </w:r>
          </w:p>
        </w:tc>
        <w:tc>
          <w:tcPr>
            <w:tcW w:w="7200" w:type="dxa"/>
          </w:tcPr>
          <w:p w14:paraId="72E5A53B" w14:textId="35F5C549" w:rsidR="0097069B" w:rsidRPr="00D7547B" w:rsidRDefault="00A04F0A" w:rsidP="00DE6C55">
            <w:pPr>
              <w:shd w:val="clear" w:color="auto" w:fill="FFFFFF"/>
              <w:rPr>
                <w:rFonts w:eastAsia="Times New Roman"/>
                <w:color w:val="222222"/>
                <w:sz w:val="22"/>
                <w:szCs w:val="22"/>
              </w:rPr>
            </w:pPr>
            <w:r>
              <w:rPr>
                <w:rFonts w:eastAsia="Times New Roman"/>
                <w:color w:val="222222"/>
                <w:sz w:val="22"/>
                <w:szCs w:val="22"/>
              </w:rPr>
              <w:t>We thank reviewer for pointing out this typographical error. We have fixed this error</w:t>
            </w:r>
            <w:r w:rsidR="00DE6C55">
              <w:rPr>
                <w:rFonts w:eastAsia="Times New Roman"/>
                <w:color w:val="222222"/>
                <w:sz w:val="22"/>
                <w:szCs w:val="22"/>
              </w:rPr>
              <w:t xml:space="preserve">, and note that this </w:t>
            </w:r>
            <w:r>
              <w:rPr>
                <w:rFonts w:eastAsia="Times New Roman"/>
                <w:color w:val="222222"/>
                <w:sz w:val="22"/>
                <w:szCs w:val="22"/>
              </w:rPr>
              <w:t>paragraph</w:t>
            </w:r>
            <w:r w:rsidR="0001291B">
              <w:rPr>
                <w:rFonts w:eastAsia="Times New Roman"/>
                <w:color w:val="222222"/>
                <w:sz w:val="22"/>
                <w:szCs w:val="22"/>
              </w:rPr>
              <w:t xml:space="preserve"> </w:t>
            </w:r>
            <w:r w:rsidR="00DE6C55">
              <w:rPr>
                <w:rFonts w:eastAsia="Times New Roman"/>
                <w:color w:val="222222"/>
                <w:sz w:val="22"/>
                <w:szCs w:val="22"/>
              </w:rPr>
              <w:t xml:space="preserve">has been moved </w:t>
            </w:r>
            <w:r w:rsidR="0001291B">
              <w:rPr>
                <w:rFonts w:eastAsia="Times New Roman"/>
                <w:color w:val="222222"/>
                <w:sz w:val="22"/>
                <w:szCs w:val="22"/>
              </w:rPr>
              <w:t xml:space="preserve">to the </w:t>
            </w:r>
            <w:r w:rsidR="00DE6C55">
              <w:rPr>
                <w:rFonts w:eastAsia="Times New Roman"/>
                <w:color w:val="222222"/>
                <w:sz w:val="22"/>
                <w:szCs w:val="22"/>
              </w:rPr>
              <w:t>M</w:t>
            </w:r>
            <w:r w:rsidR="0001291B">
              <w:rPr>
                <w:rFonts w:eastAsia="Times New Roman"/>
                <w:color w:val="222222"/>
                <w:sz w:val="22"/>
                <w:szCs w:val="22"/>
              </w:rPr>
              <w:t>ethod</w:t>
            </w:r>
            <w:r w:rsidR="00DE6C55">
              <w:rPr>
                <w:rFonts w:eastAsia="Times New Roman"/>
                <w:color w:val="222222"/>
                <w:sz w:val="22"/>
                <w:szCs w:val="22"/>
              </w:rPr>
              <w:t>s section</w:t>
            </w:r>
            <w:r w:rsidR="0001291B">
              <w:rPr>
                <w:rFonts w:eastAsia="Times New Roman"/>
                <w:color w:val="222222"/>
                <w:sz w:val="22"/>
                <w:szCs w:val="22"/>
              </w:rPr>
              <w:t>.</w:t>
            </w:r>
          </w:p>
        </w:tc>
      </w:tr>
      <w:tr w:rsidR="0097069B" w:rsidRPr="00C1590F" w14:paraId="00F5B5DB" w14:textId="77777777" w:rsidTr="0097069B">
        <w:tc>
          <w:tcPr>
            <w:tcW w:w="1728" w:type="dxa"/>
          </w:tcPr>
          <w:p w14:paraId="09E4D780" w14:textId="77777777" w:rsidR="0097069B" w:rsidRPr="00C1590F" w:rsidRDefault="0097069B" w:rsidP="0097069B">
            <w:pPr>
              <w:pStyle w:val="new-text"/>
              <w:jc w:val="both"/>
            </w:pPr>
            <w:r w:rsidRPr="00C1590F">
              <w:t>Excerpt From</w:t>
            </w:r>
          </w:p>
          <w:p w14:paraId="2B2BFDE0" w14:textId="77777777" w:rsidR="0097069B" w:rsidRPr="00C1590F" w:rsidRDefault="0097069B" w:rsidP="0097069B">
            <w:pPr>
              <w:pStyle w:val="new-text"/>
              <w:jc w:val="both"/>
            </w:pPr>
            <w:r w:rsidRPr="00C1590F">
              <w:t>Revised Manuscript</w:t>
            </w:r>
          </w:p>
        </w:tc>
        <w:tc>
          <w:tcPr>
            <w:tcW w:w="7200" w:type="dxa"/>
          </w:tcPr>
          <w:p w14:paraId="51B752F1" w14:textId="6409B1D1" w:rsidR="0097069B" w:rsidRPr="001E1F15" w:rsidRDefault="00FD5FBA" w:rsidP="0097069B">
            <w:pPr>
              <w:shd w:val="clear" w:color="auto" w:fill="FFFFFF"/>
              <w:rPr>
                <w:sz w:val="18"/>
                <w:szCs w:val="18"/>
              </w:rPr>
            </w:pPr>
            <w:r w:rsidRPr="001E1F15">
              <w:rPr>
                <w:sz w:val="18"/>
                <w:szCs w:val="18"/>
              </w:rPr>
              <w:t>"</w:t>
            </w:r>
            <w:r w:rsidRPr="001E1F15">
              <w:rPr>
                <w:rFonts w:eastAsia="ＭＳ 明朝"/>
                <w:sz w:val="18"/>
                <w:szCs w:val="18"/>
              </w:rPr>
              <w:t>SNVs are classified in three groups based on the native state a) minimally frustrated in the native state</w:t>
            </w:r>
            <w:r w:rsidRPr="001E1F15">
              <w:rPr>
                <w:sz w:val="18"/>
                <w:szCs w:val="18"/>
              </w:rPr>
              <w:t>"</w:t>
            </w:r>
            <w:r w:rsidRPr="001E1F15">
              <w:rPr>
                <w:rFonts w:eastAsia="ＭＳ 明朝"/>
                <w:sz w:val="18"/>
                <w:szCs w:val="18"/>
              </w:rPr>
              <w:t xml:space="preserve"> </w:t>
            </w:r>
          </w:p>
        </w:tc>
      </w:tr>
    </w:tbl>
    <w:p w14:paraId="0E3D745B" w14:textId="77777777" w:rsidR="0097069B" w:rsidRDefault="0097069B" w:rsidP="007D009E"/>
    <w:sectPr w:rsidR="009706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05DC"/>
    <w:multiLevelType w:val="hybridMultilevel"/>
    <w:tmpl w:val="DF5A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C0051"/>
    <w:multiLevelType w:val="hybridMultilevel"/>
    <w:tmpl w:val="8482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54AC8"/>
    <w:multiLevelType w:val="hybridMultilevel"/>
    <w:tmpl w:val="AB5A0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018CB"/>
    <w:multiLevelType w:val="hybridMultilevel"/>
    <w:tmpl w:val="D2B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B3C32"/>
    <w:multiLevelType w:val="hybridMultilevel"/>
    <w:tmpl w:val="AB5A0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4"/>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B"/>
    <w:rsid w:val="0000256C"/>
    <w:rsid w:val="00005139"/>
    <w:rsid w:val="000054E6"/>
    <w:rsid w:val="000063F7"/>
    <w:rsid w:val="000066D2"/>
    <w:rsid w:val="00010641"/>
    <w:rsid w:val="0001291B"/>
    <w:rsid w:val="00013B89"/>
    <w:rsid w:val="00014201"/>
    <w:rsid w:val="00015761"/>
    <w:rsid w:val="00015949"/>
    <w:rsid w:val="00015DB8"/>
    <w:rsid w:val="000205A6"/>
    <w:rsid w:val="00024407"/>
    <w:rsid w:val="00034392"/>
    <w:rsid w:val="00042191"/>
    <w:rsid w:val="000434AD"/>
    <w:rsid w:val="00045871"/>
    <w:rsid w:val="00050A48"/>
    <w:rsid w:val="00050CA4"/>
    <w:rsid w:val="0005732C"/>
    <w:rsid w:val="00062E82"/>
    <w:rsid w:val="00070F54"/>
    <w:rsid w:val="000716C4"/>
    <w:rsid w:val="00075E2A"/>
    <w:rsid w:val="00076A74"/>
    <w:rsid w:val="0008034A"/>
    <w:rsid w:val="00080B56"/>
    <w:rsid w:val="00081687"/>
    <w:rsid w:val="000823C5"/>
    <w:rsid w:val="00084CAB"/>
    <w:rsid w:val="000854BA"/>
    <w:rsid w:val="0008787C"/>
    <w:rsid w:val="0009786D"/>
    <w:rsid w:val="000A05D3"/>
    <w:rsid w:val="000A08FB"/>
    <w:rsid w:val="000A381C"/>
    <w:rsid w:val="000A4B3B"/>
    <w:rsid w:val="000A6EF1"/>
    <w:rsid w:val="000A76A2"/>
    <w:rsid w:val="000B0A76"/>
    <w:rsid w:val="000B1755"/>
    <w:rsid w:val="000B395A"/>
    <w:rsid w:val="000B630C"/>
    <w:rsid w:val="000C0057"/>
    <w:rsid w:val="000D0C98"/>
    <w:rsid w:val="000D3674"/>
    <w:rsid w:val="000D4BB0"/>
    <w:rsid w:val="000D6133"/>
    <w:rsid w:val="000F0CAB"/>
    <w:rsid w:val="000F1F89"/>
    <w:rsid w:val="000F3D9B"/>
    <w:rsid w:val="000F5B64"/>
    <w:rsid w:val="000F6251"/>
    <w:rsid w:val="000F7984"/>
    <w:rsid w:val="00103EB5"/>
    <w:rsid w:val="0010487B"/>
    <w:rsid w:val="001055EA"/>
    <w:rsid w:val="00105E44"/>
    <w:rsid w:val="00105E93"/>
    <w:rsid w:val="001113BF"/>
    <w:rsid w:val="00113DB3"/>
    <w:rsid w:val="00116044"/>
    <w:rsid w:val="0012399B"/>
    <w:rsid w:val="0013023E"/>
    <w:rsid w:val="00131CE2"/>
    <w:rsid w:val="00140522"/>
    <w:rsid w:val="0014120D"/>
    <w:rsid w:val="00141F2D"/>
    <w:rsid w:val="00142E77"/>
    <w:rsid w:val="0014458D"/>
    <w:rsid w:val="00146627"/>
    <w:rsid w:val="001603D5"/>
    <w:rsid w:val="00162849"/>
    <w:rsid w:val="001640F9"/>
    <w:rsid w:val="00164643"/>
    <w:rsid w:val="00165D09"/>
    <w:rsid w:val="001827D7"/>
    <w:rsid w:val="0018482D"/>
    <w:rsid w:val="0019156B"/>
    <w:rsid w:val="00195CAA"/>
    <w:rsid w:val="001A103F"/>
    <w:rsid w:val="001A189E"/>
    <w:rsid w:val="001A2F08"/>
    <w:rsid w:val="001B42B4"/>
    <w:rsid w:val="001B44D8"/>
    <w:rsid w:val="001B4B06"/>
    <w:rsid w:val="001B568B"/>
    <w:rsid w:val="001B6BD3"/>
    <w:rsid w:val="001C209B"/>
    <w:rsid w:val="001C434A"/>
    <w:rsid w:val="001C7DB3"/>
    <w:rsid w:val="001D1A76"/>
    <w:rsid w:val="001D7C84"/>
    <w:rsid w:val="001E0DC3"/>
    <w:rsid w:val="001E1F15"/>
    <w:rsid w:val="001E268D"/>
    <w:rsid w:val="001E4031"/>
    <w:rsid w:val="001E6C1A"/>
    <w:rsid w:val="001F0AA1"/>
    <w:rsid w:val="001F11BE"/>
    <w:rsid w:val="001F4815"/>
    <w:rsid w:val="00205158"/>
    <w:rsid w:val="00206339"/>
    <w:rsid w:val="002160A4"/>
    <w:rsid w:val="00216B8C"/>
    <w:rsid w:val="00217821"/>
    <w:rsid w:val="002203EA"/>
    <w:rsid w:val="0022084A"/>
    <w:rsid w:val="002238EC"/>
    <w:rsid w:val="00226D02"/>
    <w:rsid w:val="002321E6"/>
    <w:rsid w:val="00232D88"/>
    <w:rsid w:val="00237ECC"/>
    <w:rsid w:val="002408B9"/>
    <w:rsid w:val="0024344A"/>
    <w:rsid w:val="00251828"/>
    <w:rsid w:val="002551BB"/>
    <w:rsid w:val="00255288"/>
    <w:rsid w:val="00256FC6"/>
    <w:rsid w:val="002621C0"/>
    <w:rsid w:val="00266FF3"/>
    <w:rsid w:val="002702AE"/>
    <w:rsid w:val="00271862"/>
    <w:rsid w:val="002747B0"/>
    <w:rsid w:val="002776D2"/>
    <w:rsid w:val="002841DA"/>
    <w:rsid w:val="0028541B"/>
    <w:rsid w:val="0028647F"/>
    <w:rsid w:val="002867A8"/>
    <w:rsid w:val="00290520"/>
    <w:rsid w:val="00290736"/>
    <w:rsid w:val="00297858"/>
    <w:rsid w:val="002A12F3"/>
    <w:rsid w:val="002A1CC8"/>
    <w:rsid w:val="002A1DC8"/>
    <w:rsid w:val="002A4B1E"/>
    <w:rsid w:val="002A4FE4"/>
    <w:rsid w:val="002B163D"/>
    <w:rsid w:val="002B2493"/>
    <w:rsid w:val="002B3139"/>
    <w:rsid w:val="002C14FA"/>
    <w:rsid w:val="002C1B97"/>
    <w:rsid w:val="002C25FD"/>
    <w:rsid w:val="002C5735"/>
    <w:rsid w:val="002C6711"/>
    <w:rsid w:val="002C739B"/>
    <w:rsid w:val="002D1D63"/>
    <w:rsid w:val="002D314E"/>
    <w:rsid w:val="002E0ACF"/>
    <w:rsid w:val="002E23E7"/>
    <w:rsid w:val="002E2EEF"/>
    <w:rsid w:val="002E3537"/>
    <w:rsid w:val="002E5CE8"/>
    <w:rsid w:val="002F3997"/>
    <w:rsid w:val="002F40E2"/>
    <w:rsid w:val="00301A33"/>
    <w:rsid w:val="00302DCD"/>
    <w:rsid w:val="00302F42"/>
    <w:rsid w:val="00303A1E"/>
    <w:rsid w:val="00305A37"/>
    <w:rsid w:val="00310420"/>
    <w:rsid w:val="003124AD"/>
    <w:rsid w:val="0031305B"/>
    <w:rsid w:val="00314CD6"/>
    <w:rsid w:val="003157F5"/>
    <w:rsid w:val="00317C3A"/>
    <w:rsid w:val="003224C1"/>
    <w:rsid w:val="00322636"/>
    <w:rsid w:val="003234AB"/>
    <w:rsid w:val="00327732"/>
    <w:rsid w:val="00332471"/>
    <w:rsid w:val="0033271A"/>
    <w:rsid w:val="003328E6"/>
    <w:rsid w:val="00333FD6"/>
    <w:rsid w:val="003408D4"/>
    <w:rsid w:val="00343DB9"/>
    <w:rsid w:val="00345D9E"/>
    <w:rsid w:val="003535F0"/>
    <w:rsid w:val="003551D1"/>
    <w:rsid w:val="003559D9"/>
    <w:rsid w:val="003563BE"/>
    <w:rsid w:val="00357C92"/>
    <w:rsid w:val="00370430"/>
    <w:rsid w:val="00370E66"/>
    <w:rsid w:val="0037191C"/>
    <w:rsid w:val="003764EE"/>
    <w:rsid w:val="00380C0D"/>
    <w:rsid w:val="003908C6"/>
    <w:rsid w:val="00392CB0"/>
    <w:rsid w:val="003936A3"/>
    <w:rsid w:val="00394493"/>
    <w:rsid w:val="00394599"/>
    <w:rsid w:val="003947D2"/>
    <w:rsid w:val="00395E7B"/>
    <w:rsid w:val="003A00E3"/>
    <w:rsid w:val="003A4EA7"/>
    <w:rsid w:val="003A4ED8"/>
    <w:rsid w:val="003A6D43"/>
    <w:rsid w:val="003A7B03"/>
    <w:rsid w:val="003B5869"/>
    <w:rsid w:val="003C2575"/>
    <w:rsid w:val="003C6558"/>
    <w:rsid w:val="003C6B37"/>
    <w:rsid w:val="003C6FED"/>
    <w:rsid w:val="003C7CD4"/>
    <w:rsid w:val="003D2003"/>
    <w:rsid w:val="003D28D2"/>
    <w:rsid w:val="003D58E5"/>
    <w:rsid w:val="003D5904"/>
    <w:rsid w:val="003D5DE2"/>
    <w:rsid w:val="003E46AC"/>
    <w:rsid w:val="003E482F"/>
    <w:rsid w:val="003F1457"/>
    <w:rsid w:val="003F33A3"/>
    <w:rsid w:val="003F3510"/>
    <w:rsid w:val="003F42CF"/>
    <w:rsid w:val="003F5025"/>
    <w:rsid w:val="003F5558"/>
    <w:rsid w:val="003F5BD6"/>
    <w:rsid w:val="003F5D40"/>
    <w:rsid w:val="003F7899"/>
    <w:rsid w:val="00403182"/>
    <w:rsid w:val="00404169"/>
    <w:rsid w:val="00412BEF"/>
    <w:rsid w:val="004131F9"/>
    <w:rsid w:val="00415292"/>
    <w:rsid w:val="0042063B"/>
    <w:rsid w:val="004218BE"/>
    <w:rsid w:val="004228B5"/>
    <w:rsid w:val="00425700"/>
    <w:rsid w:val="004305E6"/>
    <w:rsid w:val="00433307"/>
    <w:rsid w:val="004349C8"/>
    <w:rsid w:val="00443605"/>
    <w:rsid w:val="004447F5"/>
    <w:rsid w:val="004472F7"/>
    <w:rsid w:val="00450039"/>
    <w:rsid w:val="00450989"/>
    <w:rsid w:val="00452A60"/>
    <w:rsid w:val="00453608"/>
    <w:rsid w:val="00461217"/>
    <w:rsid w:val="0046154A"/>
    <w:rsid w:val="00465457"/>
    <w:rsid w:val="00467CE3"/>
    <w:rsid w:val="0047792C"/>
    <w:rsid w:val="004821EA"/>
    <w:rsid w:val="004845B3"/>
    <w:rsid w:val="00485035"/>
    <w:rsid w:val="00486497"/>
    <w:rsid w:val="00486BA9"/>
    <w:rsid w:val="00486C9A"/>
    <w:rsid w:val="00487019"/>
    <w:rsid w:val="00491F99"/>
    <w:rsid w:val="0049348B"/>
    <w:rsid w:val="00494259"/>
    <w:rsid w:val="00495169"/>
    <w:rsid w:val="004A1A82"/>
    <w:rsid w:val="004A2325"/>
    <w:rsid w:val="004A67A9"/>
    <w:rsid w:val="004A792D"/>
    <w:rsid w:val="004B0BDD"/>
    <w:rsid w:val="004B2F77"/>
    <w:rsid w:val="004B69D1"/>
    <w:rsid w:val="004C4CAD"/>
    <w:rsid w:val="004C567A"/>
    <w:rsid w:val="004C6470"/>
    <w:rsid w:val="004D0DF5"/>
    <w:rsid w:val="004D11BE"/>
    <w:rsid w:val="004D1D83"/>
    <w:rsid w:val="004D2873"/>
    <w:rsid w:val="004D34F2"/>
    <w:rsid w:val="004D50E6"/>
    <w:rsid w:val="004D5330"/>
    <w:rsid w:val="004E1D55"/>
    <w:rsid w:val="004E4214"/>
    <w:rsid w:val="004E5FAA"/>
    <w:rsid w:val="004E7522"/>
    <w:rsid w:val="004E7793"/>
    <w:rsid w:val="004F154B"/>
    <w:rsid w:val="004F3ED6"/>
    <w:rsid w:val="004F4BFF"/>
    <w:rsid w:val="004F725F"/>
    <w:rsid w:val="005027F3"/>
    <w:rsid w:val="005028AA"/>
    <w:rsid w:val="00504A13"/>
    <w:rsid w:val="005062FE"/>
    <w:rsid w:val="00511D3A"/>
    <w:rsid w:val="00515261"/>
    <w:rsid w:val="00520453"/>
    <w:rsid w:val="0052060C"/>
    <w:rsid w:val="00520E02"/>
    <w:rsid w:val="0052148A"/>
    <w:rsid w:val="005269D4"/>
    <w:rsid w:val="00531C40"/>
    <w:rsid w:val="00533EB5"/>
    <w:rsid w:val="00542A92"/>
    <w:rsid w:val="0054321C"/>
    <w:rsid w:val="0054353E"/>
    <w:rsid w:val="0054550D"/>
    <w:rsid w:val="00546C19"/>
    <w:rsid w:val="00550655"/>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00C7"/>
    <w:rsid w:val="0057052D"/>
    <w:rsid w:val="0057079A"/>
    <w:rsid w:val="005709AF"/>
    <w:rsid w:val="00572DE7"/>
    <w:rsid w:val="00573F1A"/>
    <w:rsid w:val="0058076C"/>
    <w:rsid w:val="00581A22"/>
    <w:rsid w:val="00585D39"/>
    <w:rsid w:val="005908AE"/>
    <w:rsid w:val="0059306B"/>
    <w:rsid w:val="0059410B"/>
    <w:rsid w:val="00594A7A"/>
    <w:rsid w:val="005B1891"/>
    <w:rsid w:val="005B4AFD"/>
    <w:rsid w:val="005B611F"/>
    <w:rsid w:val="005C2192"/>
    <w:rsid w:val="005C2FDF"/>
    <w:rsid w:val="005C3D6F"/>
    <w:rsid w:val="005C480B"/>
    <w:rsid w:val="005C53AE"/>
    <w:rsid w:val="005C59A2"/>
    <w:rsid w:val="005C5B91"/>
    <w:rsid w:val="005D36A2"/>
    <w:rsid w:val="005D4936"/>
    <w:rsid w:val="005D6DCC"/>
    <w:rsid w:val="005E09B2"/>
    <w:rsid w:val="005E20AE"/>
    <w:rsid w:val="005E29A6"/>
    <w:rsid w:val="005F0C27"/>
    <w:rsid w:val="005F140D"/>
    <w:rsid w:val="005F3A57"/>
    <w:rsid w:val="005F50B6"/>
    <w:rsid w:val="0060078D"/>
    <w:rsid w:val="00600CF5"/>
    <w:rsid w:val="00602740"/>
    <w:rsid w:val="00604D55"/>
    <w:rsid w:val="00605B67"/>
    <w:rsid w:val="00612DC2"/>
    <w:rsid w:val="00613144"/>
    <w:rsid w:val="00615270"/>
    <w:rsid w:val="00615600"/>
    <w:rsid w:val="006163C8"/>
    <w:rsid w:val="0062200E"/>
    <w:rsid w:val="00623D6F"/>
    <w:rsid w:val="00623F6D"/>
    <w:rsid w:val="00633AAA"/>
    <w:rsid w:val="00635708"/>
    <w:rsid w:val="00636534"/>
    <w:rsid w:val="006411AE"/>
    <w:rsid w:val="0064187A"/>
    <w:rsid w:val="0064304A"/>
    <w:rsid w:val="00644C8B"/>
    <w:rsid w:val="00644ED8"/>
    <w:rsid w:val="006476B1"/>
    <w:rsid w:val="0065241C"/>
    <w:rsid w:val="00654C5D"/>
    <w:rsid w:val="00655303"/>
    <w:rsid w:val="00656EF3"/>
    <w:rsid w:val="0066580A"/>
    <w:rsid w:val="00665844"/>
    <w:rsid w:val="00670914"/>
    <w:rsid w:val="00670B61"/>
    <w:rsid w:val="006736FC"/>
    <w:rsid w:val="006747DB"/>
    <w:rsid w:val="006750EB"/>
    <w:rsid w:val="00675AF2"/>
    <w:rsid w:val="00682563"/>
    <w:rsid w:val="00685BE4"/>
    <w:rsid w:val="00687584"/>
    <w:rsid w:val="006875B3"/>
    <w:rsid w:val="006A2649"/>
    <w:rsid w:val="006A7DD8"/>
    <w:rsid w:val="006B0D93"/>
    <w:rsid w:val="006B7036"/>
    <w:rsid w:val="006B7199"/>
    <w:rsid w:val="006B7216"/>
    <w:rsid w:val="006C0F1D"/>
    <w:rsid w:val="006C3309"/>
    <w:rsid w:val="006C3C8A"/>
    <w:rsid w:val="006C5068"/>
    <w:rsid w:val="006C69D2"/>
    <w:rsid w:val="006D7581"/>
    <w:rsid w:val="006D795A"/>
    <w:rsid w:val="006E19C4"/>
    <w:rsid w:val="006E1D49"/>
    <w:rsid w:val="006E2D1A"/>
    <w:rsid w:val="006E6F5A"/>
    <w:rsid w:val="006E7B4E"/>
    <w:rsid w:val="006F1CC2"/>
    <w:rsid w:val="006F1F96"/>
    <w:rsid w:val="006F3E44"/>
    <w:rsid w:val="00703994"/>
    <w:rsid w:val="00704AEA"/>
    <w:rsid w:val="00705FE2"/>
    <w:rsid w:val="00713485"/>
    <w:rsid w:val="00716720"/>
    <w:rsid w:val="0072074B"/>
    <w:rsid w:val="007224CB"/>
    <w:rsid w:val="007246C8"/>
    <w:rsid w:val="00731798"/>
    <w:rsid w:val="007323BF"/>
    <w:rsid w:val="00734507"/>
    <w:rsid w:val="00735D15"/>
    <w:rsid w:val="007364AC"/>
    <w:rsid w:val="00736C84"/>
    <w:rsid w:val="007508A5"/>
    <w:rsid w:val="00753015"/>
    <w:rsid w:val="0076160A"/>
    <w:rsid w:val="0076799B"/>
    <w:rsid w:val="0077334D"/>
    <w:rsid w:val="00773B04"/>
    <w:rsid w:val="00773BF6"/>
    <w:rsid w:val="0077616C"/>
    <w:rsid w:val="007827D6"/>
    <w:rsid w:val="0078429D"/>
    <w:rsid w:val="007A090E"/>
    <w:rsid w:val="007A0989"/>
    <w:rsid w:val="007B0353"/>
    <w:rsid w:val="007B09EA"/>
    <w:rsid w:val="007B16DA"/>
    <w:rsid w:val="007B1E5D"/>
    <w:rsid w:val="007B4511"/>
    <w:rsid w:val="007B48CF"/>
    <w:rsid w:val="007B5170"/>
    <w:rsid w:val="007B7347"/>
    <w:rsid w:val="007C0BFF"/>
    <w:rsid w:val="007C3BB5"/>
    <w:rsid w:val="007C40C7"/>
    <w:rsid w:val="007C5970"/>
    <w:rsid w:val="007C6927"/>
    <w:rsid w:val="007C7981"/>
    <w:rsid w:val="007D009E"/>
    <w:rsid w:val="007D079F"/>
    <w:rsid w:val="007D1A2F"/>
    <w:rsid w:val="007D3331"/>
    <w:rsid w:val="007D4847"/>
    <w:rsid w:val="007D67B9"/>
    <w:rsid w:val="007E1300"/>
    <w:rsid w:val="007E2468"/>
    <w:rsid w:val="007E46FC"/>
    <w:rsid w:val="007F2301"/>
    <w:rsid w:val="007F2DBC"/>
    <w:rsid w:val="007F5C77"/>
    <w:rsid w:val="008007AF"/>
    <w:rsid w:val="00801318"/>
    <w:rsid w:val="00811F82"/>
    <w:rsid w:val="0081230A"/>
    <w:rsid w:val="00816E84"/>
    <w:rsid w:val="0082288D"/>
    <w:rsid w:val="008254FF"/>
    <w:rsid w:val="008270C4"/>
    <w:rsid w:val="008313ED"/>
    <w:rsid w:val="008360E1"/>
    <w:rsid w:val="00836582"/>
    <w:rsid w:val="00842C1F"/>
    <w:rsid w:val="00845D49"/>
    <w:rsid w:val="008516A7"/>
    <w:rsid w:val="0085270D"/>
    <w:rsid w:val="008527D7"/>
    <w:rsid w:val="00866EC9"/>
    <w:rsid w:val="008708BD"/>
    <w:rsid w:val="00872757"/>
    <w:rsid w:val="00876A9C"/>
    <w:rsid w:val="008800D4"/>
    <w:rsid w:val="008819F7"/>
    <w:rsid w:val="00883E61"/>
    <w:rsid w:val="008855D8"/>
    <w:rsid w:val="00885845"/>
    <w:rsid w:val="00887451"/>
    <w:rsid w:val="0089159D"/>
    <w:rsid w:val="00892081"/>
    <w:rsid w:val="0089619D"/>
    <w:rsid w:val="008966ED"/>
    <w:rsid w:val="008A2888"/>
    <w:rsid w:val="008A5F2D"/>
    <w:rsid w:val="008A75EC"/>
    <w:rsid w:val="008B0C98"/>
    <w:rsid w:val="008B0ECB"/>
    <w:rsid w:val="008B53C9"/>
    <w:rsid w:val="008B699A"/>
    <w:rsid w:val="008B7AD7"/>
    <w:rsid w:val="008C22F9"/>
    <w:rsid w:val="008D220C"/>
    <w:rsid w:val="008D6BB2"/>
    <w:rsid w:val="008E0DC9"/>
    <w:rsid w:val="008E39FA"/>
    <w:rsid w:val="008E6171"/>
    <w:rsid w:val="008F0FCA"/>
    <w:rsid w:val="008F2EA9"/>
    <w:rsid w:val="008F4B96"/>
    <w:rsid w:val="00903FF0"/>
    <w:rsid w:val="0090496D"/>
    <w:rsid w:val="009108A3"/>
    <w:rsid w:val="009135ED"/>
    <w:rsid w:val="00917101"/>
    <w:rsid w:val="009233C8"/>
    <w:rsid w:val="009236C1"/>
    <w:rsid w:val="0092385A"/>
    <w:rsid w:val="0092681D"/>
    <w:rsid w:val="00930D42"/>
    <w:rsid w:val="00933A0A"/>
    <w:rsid w:val="00940CBC"/>
    <w:rsid w:val="0094189C"/>
    <w:rsid w:val="00942D78"/>
    <w:rsid w:val="00943F85"/>
    <w:rsid w:val="00952C2A"/>
    <w:rsid w:val="0095686C"/>
    <w:rsid w:val="0096601C"/>
    <w:rsid w:val="0097069B"/>
    <w:rsid w:val="00975B56"/>
    <w:rsid w:val="009765AB"/>
    <w:rsid w:val="00976E8A"/>
    <w:rsid w:val="00981F88"/>
    <w:rsid w:val="00987A98"/>
    <w:rsid w:val="00993FE7"/>
    <w:rsid w:val="00996E85"/>
    <w:rsid w:val="009A1C74"/>
    <w:rsid w:val="009A5F18"/>
    <w:rsid w:val="009A6888"/>
    <w:rsid w:val="009A6DD1"/>
    <w:rsid w:val="009B2CAE"/>
    <w:rsid w:val="009B66EE"/>
    <w:rsid w:val="009C07CA"/>
    <w:rsid w:val="009C3234"/>
    <w:rsid w:val="009C4687"/>
    <w:rsid w:val="009D2179"/>
    <w:rsid w:val="009D6E4E"/>
    <w:rsid w:val="009D7CBB"/>
    <w:rsid w:val="009E04FE"/>
    <w:rsid w:val="009E095B"/>
    <w:rsid w:val="009E0E9D"/>
    <w:rsid w:val="009E1E48"/>
    <w:rsid w:val="009E227C"/>
    <w:rsid w:val="009E56FB"/>
    <w:rsid w:val="009F786C"/>
    <w:rsid w:val="00A00010"/>
    <w:rsid w:val="00A0053C"/>
    <w:rsid w:val="00A04F0A"/>
    <w:rsid w:val="00A06C5E"/>
    <w:rsid w:val="00A07033"/>
    <w:rsid w:val="00A11FA7"/>
    <w:rsid w:val="00A1703C"/>
    <w:rsid w:val="00A174BF"/>
    <w:rsid w:val="00A17582"/>
    <w:rsid w:val="00A17C06"/>
    <w:rsid w:val="00A2675A"/>
    <w:rsid w:val="00A26A0D"/>
    <w:rsid w:val="00A27BCD"/>
    <w:rsid w:val="00A3337E"/>
    <w:rsid w:val="00A411AE"/>
    <w:rsid w:val="00A4241C"/>
    <w:rsid w:val="00A45923"/>
    <w:rsid w:val="00A47339"/>
    <w:rsid w:val="00A507A9"/>
    <w:rsid w:val="00A545F7"/>
    <w:rsid w:val="00A61A1A"/>
    <w:rsid w:val="00A66D25"/>
    <w:rsid w:val="00A81967"/>
    <w:rsid w:val="00A83DA6"/>
    <w:rsid w:val="00A8482F"/>
    <w:rsid w:val="00A901CD"/>
    <w:rsid w:val="00A90861"/>
    <w:rsid w:val="00A913B6"/>
    <w:rsid w:val="00A93278"/>
    <w:rsid w:val="00A93A78"/>
    <w:rsid w:val="00A94BB7"/>
    <w:rsid w:val="00A976C6"/>
    <w:rsid w:val="00AA4312"/>
    <w:rsid w:val="00AA4A1D"/>
    <w:rsid w:val="00AA4D1C"/>
    <w:rsid w:val="00AB532B"/>
    <w:rsid w:val="00AB6B19"/>
    <w:rsid w:val="00AB6FA0"/>
    <w:rsid w:val="00AC1909"/>
    <w:rsid w:val="00AC2D86"/>
    <w:rsid w:val="00AC5309"/>
    <w:rsid w:val="00AC5CF7"/>
    <w:rsid w:val="00AE1A11"/>
    <w:rsid w:val="00AE538B"/>
    <w:rsid w:val="00AF04A9"/>
    <w:rsid w:val="00AF4ACD"/>
    <w:rsid w:val="00B027FD"/>
    <w:rsid w:val="00B05158"/>
    <w:rsid w:val="00B06622"/>
    <w:rsid w:val="00B074CB"/>
    <w:rsid w:val="00B13391"/>
    <w:rsid w:val="00B14492"/>
    <w:rsid w:val="00B16F69"/>
    <w:rsid w:val="00B17771"/>
    <w:rsid w:val="00B17FB8"/>
    <w:rsid w:val="00B26CE3"/>
    <w:rsid w:val="00B349D7"/>
    <w:rsid w:val="00B34C7A"/>
    <w:rsid w:val="00B35B12"/>
    <w:rsid w:val="00B35C64"/>
    <w:rsid w:val="00B400EC"/>
    <w:rsid w:val="00B40A63"/>
    <w:rsid w:val="00B40D06"/>
    <w:rsid w:val="00B43BC6"/>
    <w:rsid w:val="00B45856"/>
    <w:rsid w:val="00B45A13"/>
    <w:rsid w:val="00B46ADE"/>
    <w:rsid w:val="00B46B9E"/>
    <w:rsid w:val="00B5171C"/>
    <w:rsid w:val="00B548DD"/>
    <w:rsid w:val="00B62EFA"/>
    <w:rsid w:val="00B65C81"/>
    <w:rsid w:val="00B663F6"/>
    <w:rsid w:val="00B66A08"/>
    <w:rsid w:val="00B7146F"/>
    <w:rsid w:val="00B725E7"/>
    <w:rsid w:val="00B72E1F"/>
    <w:rsid w:val="00B76538"/>
    <w:rsid w:val="00B76DA5"/>
    <w:rsid w:val="00B826D7"/>
    <w:rsid w:val="00B84625"/>
    <w:rsid w:val="00B858DB"/>
    <w:rsid w:val="00B85BDD"/>
    <w:rsid w:val="00B866CE"/>
    <w:rsid w:val="00B86903"/>
    <w:rsid w:val="00B9141D"/>
    <w:rsid w:val="00B95033"/>
    <w:rsid w:val="00B959DD"/>
    <w:rsid w:val="00B977AC"/>
    <w:rsid w:val="00B97E21"/>
    <w:rsid w:val="00BB44CC"/>
    <w:rsid w:val="00BB6D30"/>
    <w:rsid w:val="00BC1BC6"/>
    <w:rsid w:val="00BD2237"/>
    <w:rsid w:val="00BD757B"/>
    <w:rsid w:val="00BD7D15"/>
    <w:rsid w:val="00BE0C08"/>
    <w:rsid w:val="00BE3EA9"/>
    <w:rsid w:val="00BE5B5E"/>
    <w:rsid w:val="00BE64A3"/>
    <w:rsid w:val="00BF01E3"/>
    <w:rsid w:val="00BF047E"/>
    <w:rsid w:val="00BF1EF0"/>
    <w:rsid w:val="00BF2C83"/>
    <w:rsid w:val="00C01860"/>
    <w:rsid w:val="00C02803"/>
    <w:rsid w:val="00C041A7"/>
    <w:rsid w:val="00C05412"/>
    <w:rsid w:val="00C0677A"/>
    <w:rsid w:val="00C06C4C"/>
    <w:rsid w:val="00C1268F"/>
    <w:rsid w:val="00C13502"/>
    <w:rsid w:val="00C1590F"/>
    <w:rsid w:val="00C21CEC"/>
    <w:rsid w:val="00C21E90"/>
    <w:rsid w:val="00C2280C"/>
    <w:rsid w:val="00C23ADE"/>
    <w:rsid w:val="00C274A4"/>
    <w:rsid w:val="00C30393"/>
    <w:rsid w:val="00C33099"/>
    <w:rsid w:val="00C33917"/>
    <w:rsid w:val="00C3611D"/>
    <w:rsid w:val="00C36930"/>
    <w:rsid w:val="00C36FDD"/>
    <w:rsid w:val="00C375B5"/>
    <w:rsid w:val="00C44A54"/>
    <w:rsid w:val="00C4572A"/>
    <w:rsid w:val="00C45E13"/>
    <w:rsid w:val="00C47B7B"/>
    <w:rsid w:val="00C53814"/>
    <w:rsid w:val="00C54444"/>
    <w:rsid w:val="00C55548"/>
    <w:rsid w:val="00C57001"/>
    <w:rsid w:val="00C60EED"/>
    <w:rsid w:val="00C64E63"/>
    <w:rsid w:val="00C6617C"/>
    <w:rsid w:val="00C7283E"/>
    <w:rsid w:val="00C80C8A"/>
    <w:rsid w:val="00C81F89"/>
    <w:rsid w:val="00C836A7"/>
    <w:rsid w:val="00C90809"/>
    <w:rsid w:val="00C92C91"/>
    <w:rsid w:val="00C93313"/>
    <w:rsid w:val="00C93798"/>
    <w:rsid w:val="00C946D3"/>
    <w:rsid w:val="00C947CC"/>
    <w:rsid w:val="00CA0724"/>
    <w:rsid w:val="00CA109A"/>
    <w:rsid w:val="00CA1C2B"/>
    <w:rsid w:val="00CA2407"/>
    <w:rsid w:val="00CA2F81"/>
    <w:rsid w:val="00CA60C0"/>
    <w:rsid w:val="00CA65FB"/>
    <w:rsid w:val="00CB5158"/>
    <w:rsid w:val="00CB5C25"/>
    <w:rsid w:val="00CB5C28"/>
    <w:rsid w:val="00CB5EB0"/>
    <w:rsid w:val="00CB6DDE"/>
    <w:rsid w:val="00CC0A63"/>
    <w:rsid w:val="00CD0239"/>
    <w:rsid w:val="00CD06B4"/>
    <w:rsid w:val="00CD07B2"/>
    <w:rsid w:val="00CD3121"/>
    <w:rsid w:val="00CD3A5D"/>
    <w:rsid w:val="00CD52F2"/>
    <w:rsid w:val="00CE14E8"/>
    <w:rsid w:val="00CE1D9B"/>
    <w:rsid w:val="00CE1E4B"/>
    <w:rsid w:val="00CE3EB6"/>
    <w:rsid w:val="00CE61D6"/>
    <w:rsid w:val="00CE7CA0"/>
    <w:rsid w:val="00CE7DD3"/>
    <w:rsid w:val="00CE7F14"/>
    <w:rsid w:val="00CF53A9"/>
    <w:rsid w:val="00D004C6"/>
    <w:rsid w:val="00D00F10"/>
    <w:rsid w:val="00D02C8C"/>
    <w:rsid w:val="00D04D73"/>
    <w:rsid w:val="00D10FAA"/>
    <w:rsid w:val="00D2476A"/>
    <w:rsid w:val="00D27AF5"/>
    <w:rsid w:val="00D330B2"/>
    <w:rsid w:val="00D366A2"/>
    <w:rsid w:val="00D4144A"/>
    <w:rsid w:val="00D426A9"/>
    <w:rsid w:val="00D42954"/>
    <w:rsid w:val="00D44A34"/>
    <w:rsid w:val="00D4566F"/>
    <w:rsid w:val="00D462D8"/>
    <w:rsid w:val="00D4772B"/>
    <w:rsid w:val="00D50802"/>
    <w:rsid w:val="00D5211E"/>
    <w:rsid w:val="00D54AE5"/>
    <w:rsid w:val="00D55616"/>
    <w:rsid w:val="00D61F0D"/>
    <w:rsid w:val="00D62DB6"/>
    <w:rsid w:val="00D631DE"/>
    <w:rsid w:val="00D659AC"/>
    <w:rsid w:val="00D663D0"/>
    <w:rsid w:val="00D66863"/>
    <w:rsid w:val="00D70DEA"/>
    <w:rsid w:val="00D7239A"/>
    <w:rsid w:val="00D7547B"/>
    <w:rsid w:val="00D80E4E"/>
    <w:rsid w:val="00D868F0"/>
    <w:rsid w:val="00D92205"/>
    <w:rsid w:val="00D92282"/>
    <w:rsid w:val="00D9450F"/>
    <w:rsid w:val="00D9507F"/>
    <w:rsid w:val="00D95104"/>
    <w:rsid w:val="00D95208"/>
    <w:rsid w:val="00DA14C8"/>
    <w:rsid w:val="00DA4FCD"/>
    <w:rsid w:val="00DA71A5"/>
    <w:rsid w:val="00DA7C78"/>
    <w:rsid w:val="00DB6306"/>
    <w:rsid w:val="00DC04B4"/>
    <w:rsid w:val="00DC0774"/>
    <w:rsid w:val="00DC12D2"/>
    <w:rsid w:val="00DC35DC"/>
    <w:rsid w:val="00DC38CE"/>
    <w:rsid w:val="00DC3B9D"/>
    <w:rsid w:val="00DD0F55"/>
    <w:rsid w:val="00DD1949"/>
    <w:rsid w:val="00DD1CC1"/>
    <w:rsid w:val="00DD1E19"/>
    <w:rsid w:val="00DD1EDF"/>
    <w:rsid w:val="00DD2E98"/>
    <w:rsid w:val="00DD3D1F"/>
    <w:rsid w:val="00DD44C6"/>
    <w:rsid w:val="00DD4FD1"/>
    <w:rsid w:val="00DD6318"/>
    <w:rsid w:val="00DE29AD"/>
    <w:rsid w:val="00DE32AD"/>
    <w:rsid w:val="00DE36CB"/>
    <w:rsid w:val="00DE6C55"/>
    <w:rsid w:val="00DE7932"/>
    <w:rsid w:val="00DE7F02"/>
    <w:rsid w:val="00DF04DC"/>
    <w:rsid w:val="00DF0698"/>
    <w:rsid w:val="00DF1CD0"/>
    <w:rsid w:val="00DF1D07"/>
    <w:rsid w:val="00DF223F"/>
    <w:rsid w:val="00DF29B0"/>
    <w:rsid w:val="00DF405C"/>
    <w:rsid w:val="00DF7A13"/>
    <w:rsid w:val="00E0427D"/>
    <w:rsid w:val="00E076AA"/>
    <w:rsid w:val="00E123C9"/>
    <w:rsid w:val="00E17F8A"/>
    <w:rsid w:val="00E22BC4"/>
    <w:rsid w:val="00E24DFB"/>
    <w:rsid w:val="00E31AEE"/>
    <w:rsid w:val="00E32870"/>
    <w:rsid w:val="00E35526"/>
    <w:rsid w:val="00E36849"/>
    <w:rsid w:val="00E412F8"/>
    <w:rsid w:val="00E50147"/>
    <w:rsid w:val="00E52FEE"/>
    <w:rsid w:val="00E557F0"/>
    <w:rsid w:val="00E5679A"/>
    <w:rsid w:val="00E574C2"/>
    <w:rsid w:val="00E60B3D"/>
    <w:rsid w:val="00E62ABB"/>
    <w:rsid w:val="00E640D4"/>
    <w:rsid w:val="00E703A2"/>
    <w:rsid w:val="00E7168D"/>
    <w:rsid w:val="00E75E30"/>
    <w:rsid w:val="00E804EF"/>
    <w:rsid w:val="00E83024"/>
    <w:rsid w:val="00E844DB"/>
    <w:rsid w:val="00E8723B"/>
    <w:rsid w:val="00E8778F"/>
    <w:rsid w:val="00E91B0A"/>
    <w:rsid w:val="00E96CD3"/>
    <w:rsid w:val="00EA2AD7"/>
    <w:rsid w:val="00EA4DBE"/>
    <w:rsid w:val="00EA58F7"/>
    <w:rsid w:val="00EA6A42"/>
    <w:rsid w:val="00EB2235"/>
    <w:rsid w:val="00EB2C02"/>
    <w:rsid w:val="00EB58A2"/>
    <w:rsid w:val="00EB5C9E"/>
    <w:rsid w:val="00EB76EA"/>
    <w:rsid w:val="00ED0028"/>
    <w:rsid w:val="00ED4747"/>
    <w:rsid w:val="00ED7516"/>
    <w:rsid w:val="00EE0D72"/>
    <w:rsid w:val="00EE172A"/>
    <w:rsid w:val="00EE1974"/>
    <w:rsid w:val="00EE1D34"/>
    <w:rsid w:val="00EE3D8C"/>
    <w:rsid w:val="00EF08AC"/>
    <w:rsid w:val="00EF1690"/>
    <w:rsid w:val="00EF2C99"/>
    <w:rsid w:val="00EF7E86"/>
    <w:rsid w:val="00F011A8"/>
    <w:rsid w:val="00F03914"/>
    <w:rsid w:val="00F0398E"/>
    <w:rsid w:val="00F1379F"/>
    <w:rsid w:val="00F16B53"/>
    <w:rsid w:val="00F2121C"/>
    <w:rsid w:val="00F214E8"/>
    <w:rsid w:val="00F2253A"/>
    <w:rsid w:val="00F23489"/>
    <w:rsid w:val="00F24F83"/>
    <w:rsid w:val="00F27743"/>
    <w:rsid w:val="00F30024"/>
    <w:rsid w:val="00F370A4"/>
    <w:rsid w:val="00F441FB"/>
    <w:rsid w:val="00F44AA4"/>
    <w:rsid w:val="00F44EA3"/>
    <w:rsid w:val="00F47AD7"/>
    <w:rsid w:val="00F47DA4"/>
    <w:rsid w:val="00F52064"/>
    <w:rsid w:val="00F53C69"/>
    <w:rsid w:val="00F61756"/>
    <w:rsid w:val="00F66D63"/>
    <w:rsid w:val="00F743CA"/>
    <w:rsid w:val="00F76DCC"/>
    <w:rsid w:val="00F835C3"/>
    <w:rsid w:val="00F83A38"/>
    <w:rsid w:val="00F83D6C"/>
    <w:rsid w:val="00F8534A"/>
    <w:rsid w:val="00F85D07"/>
    <w:rsid w:val="00F904CD"/>
    <w:rsid w:val="00F932F1"/>
    <w:rsid w:val="00F9561A"/>
    <w:rsid w:val="00F96BE0"/>
    <w:rsid w:val="00FA1B1C"/>
    <w:rsid w:val="00FA607B"/>
    <w:rsid w:val="00FB1410"/>
    <w:rsid w:val="00FB632E"/>
    <w:rsid w:val="00FB7097"/>
    <w:rsid w:val="00FC1888"/>
    <w:rsid w:val="00FC4073"/>
    <w:rsid w:val="00FC67D3"/>
    <w:rsid w:val="00FD1F8F"/>
    <w:rsid w:val="00FD23F3"/>
    <w:rsid w:val="00FD240F"/>
    <w:rsid w:val="00FD279E"/>
    <w:rsid w:val="00FD4A87"/>
    <w:rsid w:val="00FD4E26"/>
    <w:rsid w:val="00FD5FBA"/>
    <w:rsid w:val="00FD6810"/>
    <w:rsid w:val="00FD6B6D"/>
    <w:rsid w:val="00FE3212"/>
    <w:rsid w:val="00FE3643"/>
    <w:rsid w:val="00FE44F1"/>
    <w:rsid w:val="00FE6CD4"/>
    <w:rsid w:val="00FF044F"/>
    <w:rsid w:val="00FF10D2"/>
    <w:rsid w:val="00FF319E"/>
    <w:rsid w:val="00FF34E9"/>
    <w:rsid w:val="00FF4897"/>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DFB7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link w:val="BodyText3Char"/>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 w:type="paragraph" w:styleId="Footer">
    <w:name w:val="footer"/>
    <w:basedOn w:val="Normal"/>
    <w:link w:val="FooterChar"/>
    <w:uiPriority w:val="99"/>
    <w:unhideWhenUsed/>
    <w:rsid w:val="00105E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105E44"/>
    <w:rPr>
      <w:rFonts w:asciiTheme="minorHAnsi" w:eastAsiaTheme="minorEastAsia" w:hAnsiTheme="minorHAnsi" w:cstheme="minorBidi"/>
      <w:sz w:val="24"/>
      <w:szCs w:val="24"/>
      <w:lang w:eastAsia="en-US"/>
    </w:rPr>
  </w:style>
  <w:style w:type="character" w:styleId="FollowedHyperlink">
    <w:name w:val="FollowedHyperlink"/>
    <w:basedOn w:val="DefaultParagraphFont"/>
    <w:rsid w:val="003F5025"/>
    <w:rPr>
      <w:color w:val="954F72" w:themeColor="followedHyperlink"/>
      <w:u w:val="single"/>
    </w:rPr>
  </w:style>
  <w:style w:type="character" w:customStyle="1" w:styleId="BodyText3Char">
    <w:name w:val="Body Text 3 Char"/>
    <w:basedOn w:val="DefaultParagraphFont"/>
    <w:link w:val="BodyText3"/>
    <w:rsid w:val="0000256C"/>
    <w:rPr>
      <w:rFonts w:eastAsia="Times New Roman"/>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862">
      <w:bodyDiv w:val="1"/>
      <w:marLeft w:val="0"/>
      <w:marRight w:val="0"/>
      <w:marTop w:val="0"/>
      <w:marBottom w:val="0"/>
      <w:divBdr>
        <w:top w:val="none" w:sz="0" w:space="0" w:color="auto"/>
        <w:left w:val="none" w:sz="0" w:space="0" w:color="auto"/>
        <w:bottom w:val="none" w:sz="0" w:space="0" w:color="auto"/>
        <w:right w:val="none" w:sz="0" w:space="0" w:color="auto"/>
      </w:divBdr>
    </w:div>
    <w:div w:id="46610815">
      <w:bodyDiv w:val="1"/>
      <w:marLeft w:val="0"/>
      <w:marRight w:val="0"/>
      <w:marTop w:val="0"/>
      <w:marBottom w:val="0"/>
      <w:divBdr>
        <w:top w:val="none" w:sz="0" w:space="0" w:color="auto"/>
        <w:left w:val="none" w:sz="0" w:space="0" w:color="auto"/>
        <w:bottom w:val="none" w:sz="0" w:space="0" w:color="auto"/>
        <w:right w:val="none" w:sz="0" w:space="0" w:color="auto"/>
      </w:divBdr>
    </w:div>
    <w:div w:id="81414931">
      <w:bodyDiv w:val="1"/>
      <w:marLeft w:val="0"/>
      <w:marRight w:val="0"/>
      <w:marTop w:val="0"/>
      <w:marBottom w:val="0"/>
      <w:divBdr>
        <w:top w:val="none" w:sz="0" w:space="0" w:color="auto"/>
        <w:left w:val="none" w:sz="0" w:space="0" w:color="auto"/>
        <w:bottom w:val="none" w:sz="0" w:space="0" w:color="auto"/>
        <w:right w:val="none" w:sz="0" w:space="0" w:color="auto"/>
      </w:divBdr>
    </w:div>
    <w:div w:id="81686896">
      <w:bodyDiv w:val="1"/>
      <w:marLeft w:val="0"/>
      <w:marRight w:val="0"/>
      <w:marTop w:val="0"/>
      <w:marBottom w:val="0"/>
      <w:divBdr>
        <w:top w:val="none" w:sz="0" w:space="0" w:color="auto"/>
        <w:left w:val="none" w:sz="0" w:space="0" w:color="auto"/>
        <w:bottom w:val="none" w:sz="0" w:space="0" w:color="auto"/>
        <w:right w:val="none" w:sz="0" w:space="0" w:color="auto"/>
      </w:divBdr>
    </w:div>
    <w:div w:id="85881436">
      <w:bodyDiv w:val="1"/>
      <w:marLeft w:val="0"/>
      <w:marRight w:val="0"/>
      <w:marTop w:val="0"/>
      <w:marBottom w:val="0"/>
      <w:divBdr>
        <w:top w:val="none" w:sz="0" w:space="0" w:color="auto"/>
        <w:left w:val="none" w:sz="0" w:space="0" w:color="auto"/>
        <w:bottom w:val="none" w:sz="0" w:space="0" w:color="auto"/>
        <w:right w:val="none" w:sz="0" w:space="0" w:color="auto"/>
      </w:divBdr>
    </w:div>
    <w:div w:id="103155130">
      <w:bodyDiv w:val="1"/>
      <w:marLeft w:val="0"/>
      <w:marRight w:val="0"/>
      <w:marTop w:val="0"/>
      <w:marBottom w:val="0"/>
      <w:divBdr>
        <w:top w:val="none" w:sz="0" w:space="0" w:color="auto"/>
        <w:left w:val="none" w:sz="0" w:space="0" w:color="auto"/>
        <w:bottom w:val="none" w:sz="0" w:space="0" w:color="auto"/>
        <w:right w:val="none" w:sz="0" w:space="0" w:color="auto"/>
      </w:divBdr>
    </w:div>
    <w:div w:id="152575003">
      <w:bodyDiv w:val="1"/>
      <w:marLeft w:val="0"/>
      <w:marRight w:val="0"/>
      <w:marTop w:val="0"/>
      <w:marBottom w:val="0"/>
      <w:divBdr>
        <w:top w:val="none" w:sz="0" w:space="0" w:color="auto"/>
        <w:left w:val="none" w:sz="0" w:space="0" w:color="auto"/>
        <w:bottom w:val="none" w:sz="0" w:space="0" w:color="auto"/>
        <w:right w:val="none" w:sz="0" w:space="0" w:color="auto"/>
      </w:divBdr>
    </w:div>
    <w:div w:id="187564979">
      <w:bodyDiv w:val="1"/>
      <w:marLeft w:val="0"/>
      <w:marRight w:val="0"/>
      <w:marTop w:val="0"/>
      <w:marBottom w:val="0"/>
      <w:divBdr>
        <w:top w:val="none" w:sz="0" w:space="0" w:color="auto"/>
        <w:left w:val="none" w:sz="0" w:space="0" w:color="auto"/>
        <w:bottom w:val="none" w:sz="0" w:space="0" w:color="auto"/>
        <w:right w:val="none" w:sz="0" w:space="0" w:color="auto"/>
      </w:divBdr>
    </w:div>
    <w:div w:id="188026593">
      <w:bodyDiv w:val="1"/>
      <w:marLeft w:val="0"/>
      <w:marRight w:val="0"/>
      <w:marTop w:val="0"/>
      <w:marBottom w:val="0"/>
      <w:divBdr>
        <w:top w:val="none" w:sz="0" w:space="0" w:color="auto"/>
        <w:left w:val="none" w:sz="0" w:space="0" w:color="auto"/>
        <w:bottom w:val="none" w:sz="0" w:space="0" w:color="auto"/>
        <w:right w:val="none" w:sz="0" w:space="0" w:color="auto"/>
      </w:divBdr>
    </w:div>
    <w:div w:id="276762830">
      <w:bodyDiv w:val="1"/>
      <w:marLeft w:val="0"/>
      <w:marRight w:val="0"/>
      <w:marTop w:val="0"/>
      <w:marBottom w:val="0"/>
      <w:divBdr>
        <w:top w:val="none" w:sz="0" w:space="0" w:color="auto"/>
        <w:left w:val="none" w:sz="0" w:space="0" w:color="auto"/>
        <w:bottom w:val="none" w:sz="0" w:space="0" w:color="auto"/>
        <w:right w:val="none" w:sz="0" w:space="0" w:color="auto"/>
      </w:divBdr>
    </w:div>
    <w:div w:id="375666478">
      <w:bodyDiv w:val="1"/>
      <w:marLeft w:val="0"/>
      <w:marRight w:val="0"/>
      <w:marTop w:val="0"/>
      <w:marBottom w:val="0"/>
      <w:divBdr>
        <w:top w:val="none" w:sz="0" w:space="0" w:color="auto"/>
        <w:left w:val="none" w:sz="0" w:space="0" w:color="auto"/>
        <w:bottom w:val="none" w:sz="0" w:space="0" w:color="auto"/>
        <w:right w:val="none" w:sz="0" w:space="0" w:color="auto"/>
      </w:divBdr>
    </w:div>
    <w:div w:id="619185826">
      <w:bodyDiv w:val="1"/>
      <w:marLeft w:val="0"/>
      <w:marRight w:val="0"/>
      <w:marTop w:val="0"/>
      <w:marBottom w:val="0"/>
      <w:divBdr>
        <w:top w:val="none" w:sz="0" w:space="0" w:color="auto"/>
        <w:left w:val="none" w:sz="0" w:space="0" w:color="auto"/>
        <w:bottom w:val="none" w:sz="0" w:space="0" w:color="auto"/>
        <w:right w:val="none" w:sz="0" w:space="0" w:color="auto"/>
      </w:divBdr>
    </w:div>
    <w:div w:id="648367741">
      <w:bodyDiv w:val="1"/>
      <w:marLeft w:val="0"/>
      <w:marRight w:val="0"/>
      <w:marTop w:val="0"/>
      <w:marBottom w:val="0"/>
      <w:divBdr>
        <w:top w:val="none" w:sz="0" w:space="0" w:color="auto"/>
        <w:left w:val="none" w:sz="0" w:space="0" w:color="auto"/>
        <w:bottom w:val="none" w:sz="0" w:space="0" w:color="auto"/>
        <w:right w:val="none" w:sz="0" w:space="0" w:color="auto"/>
      </w:divBdr>
    </w:div>
    <w:div w:id="716201082">
      <w:bodyDiv w:val="1"/>
      <w:marLeft w:val="0"/>
      <w:marRight w:val="0"/>
      <w:marTop w:val="0"/>
      <w:marBottom w:val="0"/>
      <w:divBdr>
        <w:top w:val="none" w:sz="0" w:space="0" w:color="auto"/>
        <w:left w:val="none" w:sz="0" w:space="0" w:color="auto"/>
        <w:bottom w:val="none" w:sz="0" w:space="0" w:color="auto"/>
        <w:right w:val="none" w:sz="0" w:space="0" w:color="auto"/>
      </w:divBdr>
    </w:div>
    <w:div w:id="725488473">
      <w:bodyDiv w:val="1"/>
      <w:marLeft w:val="0"/>
      <w:marRight w:val="0"/>
      <w:marTop w:val="0"/>
      <w:marBottom w:val="0"/>
      <w:divBdr>
        <w:top w:val="none" w:sz="0" w:space="0" w:color="auto"/>
        <w:left w:val="none" w:sz="0" w:space="0" w:color="auto"/>
        <w:bottom w:val="none" w:sz="0" w:space="0" w:color="auto"/>
        <w:right w:val="none" w:sz="0" w:space="0" w:color="auto"/>
      </w:divBdr>
    </w:div>
    <w:div w:id="771783447">
      <w:bodyDiv w:val="1"/>
      <w:marLeft w:val="0"/>
      <w:marRight w:val="0"/>
      <w:marTop w:val="0"/>
      <w:marBottom w:val="0"/>
      <w:divBdr>
        <w:top w:val="none" w:sz="0" w:space="0" w:color="auto"/>
        <w:left w:val="none" w:sz="0" w:space="0" w:color="auto"/>
        <w:bottom w:val="none" w:sz="0" w:space="0" w:color="auto"/>
        <w:right w:val="none" w:sz="0" w:space="0" w:color="auto"/>
      </w:divBdr>
    </w:div>
    <w:div w:id="816411282">
      <w:bodyDiv w:val="1"/>
      <w:marLeft w:val="0"/>
      <w:marRight w:val="0"/>
      <w:marTop w:val="0"/>
      <w:marBottom w:val="0"/>
      <w:divBdr>
        <w:top w:val="none" w:sz="0" w:space="0" w:color="auto"/>
        <w:left w:val="none" w:sz="0" w:space="0" w:color="auto"/>
        <w:bottom w:val="none" w:sz="0" w:space="0" w:color="auto"/>
        <w:right w:val="none" w:sz="0" w:space="0" w:color="auto"/>
      </w:divBdr>
    </w:div>
    <w:div w:id="929972618">
      <w:bodyDiv w:val="1"/>
      <w:marLeft w:val="0"/>
      <w:marRight w:val="0"/>
      <w:marTop w:val="0"/>
      <w:marBottom w:val="0"/>
      <w:divBdr>
        <w:top w:val="none" w:sz="0" w:space="0" w:color="auto"/>
        <w:left w:val="none" w:sz="0" w:space="0" w:color="auto"/>
        <w:bottom w:val="none" w:sz="0" w:space="0" w:color="auto"/>
        <w:right w:val="none" w:sz="0" w:space="0" w:color="auto"/>
      </w:divBdr>
    </w:div>
    <w:div w:id="992871828">
      <w:bodyDiv w:val="1"/>
      <w:marLeft w:val="0"/>
      <w:marRight w:val="0"/>
      <w:marTop w:val="0"/>
      <w:marBottom w:val="0"/>
      <w:divBdr>
        <w:top w:val="none" w:sz="0" w:space="0" w:color="auto"/>
        <w:left w:val="none" w:sz="0" w:space="0" w:color="auto"/>
        <w:bottom w:val="none" w:sz="0" w:space="0" w:color="auto"/>
        <w:right w:val="none" w:sz="0" w:space="0" w:color="auto"/>
      </w:divBdr>
    </w:div>
    <w:div w:id="1017269436">
      <w:bodyDiv w:val="1"/>
      <w:marLeft w:val="0"/>
      <w:marRight w:val="0"/>
      <w:marTop w:val="0"/>
      <w:marBottom w:val="0"/>
      <w:divBdr>
        <w:top w:val="none" w:sz="0" w:space="0" w:color="auto"/>
        <w:left w:val="none" w:sz="0" w:space="0" w:color="auto"/>
        <w:bottom w:val="none" w:sz="0" w:space="0" w:color="auto"/>
        <w:right w:val="none" w:sz="0" w:space="0" w:color="auto"/>
      </w:divBdr>
    </w:div>
    <w:div w:id="1181358544">
      <w:bodyDiv w:val="1"/>
      <w:marLeft w:val="0"/>
      <w:marRight w:val="0"/>
      <w:marTop w:val="0"/>
      <w:marBottom w:val="0"/>
      <w:divBdr>
        <w:top w:val="none" w:sz="0" w:space="0" w:color="auto"/>
        <w:left w:val="none" w:sz="0" w:space="0" w:color="auto"/>
        <w:bottom w:val="none" w:sz="0" w:space="0" w:color="auto"/>
        <w:right w:val="none" w:sz="0" w:space="0" w:color="auto"/>
      </w:divBdr>
    </w:div>
    <w:div w:id="1238592021">
      <w:bodyDiv w:val="1"/>
      <w:marLeft w:val="0"/>
      <w:marRight w:val="0"/>
      <w:marTop w:val="0"/>
      <w:marBottom w:val="0"/>
      <w:divBdr>
        <w:top w:val="none" w:sz="0" w:space="0" w:color="auto"/>
        <w:left w:val="none" w:sz="0" w:space="0" w:color="auto"/>
        <w:bottom w:val="none" w:sz="0" w:space="0" w:color="auto"/>
        <w:right w:val="none" w:sz="0" w:space="0" w:color="auto"/>
      </w:divBdr>
    </w:div>
    <w:div w:id="1260214970">
      <w:bodyDiv w:val="1"/>
      <w:marLeft w:val="0"/>
      <w:marRight w:val="0"/>
      <w:marTop w:val="0"/>
      <w:marBottom w:val="0"/>
      <w:divBdr>
        <w:top w:val="none" w:sz="0" w:space="0" w:color="auto"/>
        <w:left w:val="none" w:sz="0" w:space="0" w:color="auto"/>
        <w:bottom w:val="none" w:sz="0" w:space="0" w:color="auto"/>
        <w:right w:val="none" w:sz="0" w:space="0" w:color="auto"/>
      </w:divBdr>
    </w:div>
    <w:div w:id="1290283715">
      <w:bodyDiv w:val="1"/>
      <w:marLeft w:val="0"/>
      <w:marRight w:val="0"/>
      <w:marTop w:val="0"/>
      <w:marBottom w:val="0"/>
      <w:divBdr>
        <w:top w:val="none" w:sz="0" w:space="0" w:color="auto"/>
        <w:left w:val="none" w:sz="0" w:space="0" w:color="auto"/>
        <w:bottom w:val="none" w:sz="0" w:space="0" w:color="auto"/>
        <w:right w:val="none" w:sz="0" w:space="0" w:color="auto"/>
      </w:divBdr>
    </w:div>
    <w:div w:id="1337225018">
      <w:bodyDiv w:val="1"/>
      <w:marLeft w:val="0"/>
      <w:marRight w:val="0"/>
      <w:marTop w:val="0"/>
      <w:marBottom w:val="0"/>
      <w:divBdr>
        <w:top w:val="none" w:sz="0" w:space="0" w:color="auto"/>
        <w:left w:val="none" w:sz="0" w:space="0" w:color="auto"/>
        <w:bottom w:val="none" w:sz="0" w:space="0" w:color="auto"/>
        <w:right w:val="none" w:sz="0" w:space="0" w:color="auto"/>
      </w:divBdr>
    </w:div>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 w:id="1434671182">
      <w:bodyDiv w:val="1"/>
      <w:marLeft w:val="0"/>
      <w:marRight w:val="0"/>
      <w:marTop w:val="0"/>
      <w:marBottom w:val="0"/>
      <w:divBdr>
        <w:top w:val="none" w:sz="0" w:space="0" w:color="auto"/>
        <w:left w:val="none" w:sz="0" w:space="0" w:color="auto"/>
        <w:bottom w:val="none" w:sz="0" w:space="0" w:color="auto"/>
        <w:right w:val="none" w:sz="0" w:space="0" w:color="auto"/>
      </w:divBdr>
    </w:div>
    <w:div w:id="1486043406">
      <w:bodyDiv w:val="1"/>
      <w:marLeft w:val="0"/>
      <w:marRight w:val="0"/>
      <w:marTop w:val="0"/>
      <w:marBottom w:val="0"/>
      <w:divBdr>
        <w:top w:val="none" w:sz="0" w:space="0" w:color="auto"/>
        <w:left w:val="none" w:sz="0" w:space="0" w:color="auto"/>
        <w:bottom w:val="none" w:sz="0" w:space="0" w:color="auto"/>
        <w:right w:val="none" w:sz="0" w:space="0" w:color="auto"/>
      </w:divBdr>
    </w:div>
    <w:div w:id="1500999271">
      <w:bodyDiv w:val="1"/>
      <w:marLeft w:val="0"/>
      <w:marRight w:val="0"/>
      <w:marTop w:val="0"/>
      <w:marBottom w:val="0"/>
      <w:divBdr>
        <w:top w:val="none" w:sz="0" w:space="0" w:color="auto"/>
        <w:left w:val="none" w:sz="0" w:space="0" w:color="auto"/>
        <w:bottom w:val="none" w:sz="0" w:space="0" w:color="auto"/>
        <w:right w:val="none" w:sz="0" w:space="0" w:color="auto"/>
      </w:divBdr>
    </w:div>
    <w:div w:id="1576429381">
      <w:bodyDiv w:val="1"/>
      <w:marLeft w:val="0"/>
      <w:marRight w:val="0"/>
      <w:marTop w:val="0"/>
      <w:marBottom w:val="0"/>
      <w:divBdr>
        <w:top w:val="none" w:sz="0" w:space="0" w:color="auto"/>
        <w:left w:val="none" w:sz="0" w:space="0" w:color="auto"/>
        <w:bottom w:val="none" w:sz="0" w:space="0" w:color="auto"/>
        <w:right w:val="none" w:sz="0" w:space="0" w:color="auto"/>
      </w:divBdr>
    </w:div>
    <w:div w:id="1777363126">
      <w:bodyDiv w:val="1"/>
      <w:marLeft w:val="0"/>
      <w:marRight w:val="0"/>
      <w:marTop w:val="0"/>
      <w:marBottom w:val="0"/>
      <w:divBdr>
        <w:top w:val="none" w:sz="0" w:space="0" w:color="auto"/>
        <w:left w:val="none" w:sz="0" w:space="0" w:color="auto"/>
        <w:bottom w:val="none" w:sz="0" w:space="0" w:color="auto"/>
        <w:right w:val="none" w:sz="0" w:space="0" w:color="auto"/>
      </w:divBdr>
    </w:div>
    <w:div w:id="1789278316">
      <w:bodyDiv w:val="1"/>
      <w:marLeft w:val="0"/>
      <w:marRight w:val="0"/>
      <w:marTop w:val="0"/>
      <w:marBottom w:val="0"/>
      <w:divBdr>
        <w:top w:val="none" w:sz="0" w:space="0" w:color="auto"/>
        <w:left w:val="none" w:sz="0" w:space="0" w:color="auto"/>
        <w:bottom w:val="none" w:sz="0" w:space="0" w:color="auto"/>
        <w:right w:val="none" w:sz="0" w:space="0" w:color="auto"/>
      </w:divBdr>
    </w:div>
    <w:div w:id="1819953405">
      <w:bodyDiv w:val="1"/>
      <w:marLeft w:val="0"/>
      <w:marRight w:val="0"/>
      <w:marTop w:val="0"/>
      <w:marBottom w:val="0"/>
      <w:divBdr>
        <w:top w:val="none" w:sz="0" w:space="0" w:color="auto"/>
        <w:left w:val="none" w:sz="0" w:space="0" w:color="auto"/>
        <w:bottom w:val="none" w:sz="0" w:space="0" w:color="auto"/>
        <w:right w:val="none" w:sz="0" w:space="0" w:color="auto"/>
      </w:divBdr>
    </w:div>
    <w:div w:id="1937666462">
      <w:bodyDiv w:val="1"/>
      <w:marLeft w:val="0"/>
      <w:marRight w:val="0"/>
      <w:marTop w:val="0"/>
      <w:marBottom w:val="0"/>
      <w:divBdr>
        <w:top w:val="none" w:sz="0" w:space="0" w:color="auto"/>
        <w:left w:val="none" w:sz="0" w:space="0" w:color="auto"/>
        <w:bottom w:val="none" w:sz="0" w:space="0" w:color="auto"/>
        <w:right w:val="none" w:sz="0" w:space="0" w:color="auto"/>
      </w:divBdr>
    </w:div>
    <w:div w:id="1970237308">
      <w:bodyDiv w:val="1"/>
      <w:marLeft w:val="0"/>
      <w:marRight w:val="0"/>
      <w:marTop w:val="0"/>
      <w:marBottom w:val="0"/>
      <w:divBdr>
        <w:top w:val="none" w:sz="0" w:space="0" w:color="auto"/>
        <w:left w:val="none" w:sz="0" w:space="0" w:color="auto"/>
        <w:bottom w:val="none" w:sz="0" w:space="0" w:color="auto"/>
        <w:right w:val="none" w:sz="0" w:space="0" w:color="auto"/>
      </w:divBdr>
    </w:div>
    <w:div w:id="2029020740">
      <w:bodyDiv w:val="1"/>
      <w:marLeft w:val="0"/>
      <w:marRight w:val="0"/>
      <w:marTop w:val="0"/>
      <w:marBottom w:val="0"/>
      <w:divBdr>
        <w:top w:val="none" w:sz="0" w:space="0" w:color="auto"/>
        <w:left w:val="none" w:sz="0" w:space="0" w:color="auto"/>
        <w:bottom w:val="none" w:sz="0" w:space="0" w:color="auto"/>
        <w:right w:val="none" w:sz="0" w:space="0" w:color="auto"/>
      </w:divBdr>
    </w:div>
    <w:div w:id="2061901234">
      <w:bodyDiv w:val="1"/>
      <w:marLeft w:val="0"/>
      <w:marRight w:val="0"/>
      <w:marTop w:val="0"/>
      <w:marBottom w:val="0"/>
      <w:divBdr>
        <w:top w:val="none" w:sz="0" w:space="0" w:color="auto"/>
        <w:left w:val="none" w:sz="0" w:space="0" w:color="auto"/>
        <w:bottom w:val="none" w:sz="0" w:space="0" w:color="auto"/>
        <w:right w:val="none" w:sz="0" w:space="0" w:color="auto"/>
      </w:divBdr>
    </w:div>
    <w:div w:id="21416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hyperlink" Target="https://github.com/gersteinlab/Frustrati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A18E9-CF75-4F4D-8A46-EB9D276D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12</Pages>
  <Words>13061</Words>
  <Characters>74451</Characters>
  <Application>Microsoft Macintosh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RESPONSE LETTER</vt:lpstr>
    </vt:vector>
  </TitlesOfParts>
  <Manager/>
  <Company>Dana Farber</Company>
  <LinksUpToDate>false</LinksUpToDate>
  <CharactersWithSpaces>87338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Microsoft Office User</cp:lastModifiedBy>
  <cp:revision>238</cp:revision>
  <cp:lastPrinted>2014-06-23T22:43:00Z</cp:lastPrinted>
  <dcterms:created xsi:type="dcterms:W3CDTF">2015-11-29T08:04:00Z</dcterms:created>
  <dcterms:modified xsi:type="dcterms:W3CDTF">2016-08-06T18:56:00Z</dcterms:modified>
  <cp:category/>
</cp:coreProperties>
</file>