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9F1A2" w14:textId="77777777" w:rsidR="00246A1F" w:rsidRPr="009230F4" w:rsidRDefault="00246A1F" w:rsidP="00246A1F">
      <w:pPr>
        <w:spacing w:line="360" w:lineRule="auto"/>
        <w:rPr>
          <w:b/>
          <w:sz w:val="32"/>
          <w:szCs w:val="32"/>
          <w:u w:val="single"/>
        </w:rPr>
      </w:pPr>
      <w:r w:rsidRPr="009230F4">
        <w:rPr>
          <w:rFonts w:ascii="Arial Black" w:hAnsi="Arial Black"/>
          <w:b/>
          <w:sz w:val="32"/>
          <w:szCs w:val="32"/>
          <w:u w:val="single"/>
        </w:rPr>
        <w:t>Supporting Information</w:t>
      </w:r>
    </w:p>
    <w:p w14:paraId="73A2DE2A" w14:textId="7575D3AB" w:rsidR="0002614D" w:rsidRPr="009230F4" w:rsidRDefault="00930994" w:rsidP="009230F4">
      <w:pPr>
        <w:pStyle w:val="NormalWeb"/>
        <w:spacing w:before="0" w:beforeAutospacing="0" w:after="0" w:afterAutospacing="0"/>
        <w:rPr>
          <w:u w:val="single"/>
        </w:rPr>
      </w:pPr>
      <w:r>
        <w:rPr>
          <w:b/>
          <w:bCs/>
          <w:color w:val="000000"/>
          <w:sz w:val="28"/>
          <w:szCs w:val="28"/>
        </w:rPr>
        <w:t xml:space="preserve">S1 </w:t>
      </w:r>
      <w:r w:rsidR="0002614D">
        <w:rPr>
          <w:b/>
          <w:bCs/>
          <w:color w:val="000000"/>
          <w:sz w:val="28"/>
          <w:szCs w:val="28"/>
        </w:rPr>
        <w:t>Datasets of non-synonymous SNVs &amp; their structural coverage</w:t>
      </w:r>
    </w:p>
    <w:p w14:paraId="4A31DDC1" w14:textId="77777777" w:rsidR="0002614D" w:rsidRDefault="0002614D" w:rsidP="00246A1F">
      <w:pPr>
        <w:pStyle w:val="NormalWeb"/>
        <w:spacing w:before="0" w:beforeAutospacing="0" w:after="0" w:afterAutospacing="0" w:line="360" w:lineRule="auto"/>
      </w:pPr>
      <w:r>
        <w:rPr>
          <w:color w:val="000000"/>
        </w:rPr>
        <w:t xml:space="preserve">In order to evaluate the impact of various types of non-synonymous variants on localized frustration of protein residues in different biological context, we collected and analyzed data from a variety of sources. These sources were chosen in order to obtain both benign and disease-associated SNVs, with the disease-associated SNVs having been further sub-classified to investigate their associated mode of action in greater detail. An overview of this data collection scheme is provided in </w:t>
      </w:r>
      <w:r w:rsidR="003166BF" w:rsidRPr="003166BF">
        <w:rPr>
          <w:b/>
          <w:i/>
          <w:color w:val="000000"/>
        </w:rPr>
        <w:t>S1A</w:t>
      </w:r>
      <w:r>
        <w:rPr>
          <w:color w:val="000000"/>
        </w:rPr>
        <w:t xml:space="preserve">. </w:t>
      </w:r>
      <w:r w:rsidR="003166BF" w:rsidRPr="003166BF">
        <w:rPr>
          <w:b/>
          <w:i/>
          <w:color w:val="000000"/>
        </w:rPr>
        <w:t>S1B</w:t>
      </w:r>
      <w:r>
        <w:rPr>
          <w:color w:val="000000"/>
        </w:rPr>
        <w:t xml:space="preserve"> gives summary statistics on all non-synonymous SNVs </w:t>
      </w:r>
      <w:r w:rsidR="003166BF">
        <w:rPr>
          <w:color w:val="000000"/>
        </w:rPr>
        <w:t xml:space="preserve">in these datasets, and </w:t>
      </w:r>
      <w:r w:rsidR="003166BF" w:rsidRPr="003166BF">
        <w:rPr>
          <w:b/>
          <w:i/>
          <w:color w:val="000000"/>
        </w:rPr>
        <w:t>S1C</w:t>
      </w:r>
      <w:r>
        <w:rPr>
          <w:color w:val="000000"/>
        </w:rPr>
        <w:t xml:space="preserve"> provides the corresponding data on the subset of these SNVs, which were mapped to high-resolution protein structures from the PDB. Further details on the statistics obtained as part of this data collection framework is provided below.</w:t>
      </w:r>
    </w:p>
    <w:p w14:paraId="76150F8C" w14:textId="5F15EAE8" w:rsidR="00246A1F" w:rsidRPr="0002614D" w:rsidRDefault="00246A1F" w:rsidP="0002614D">
      <w:pPr>
        <w:pStyle w:val="NormalWeb"/>
        <w:spacing w:before="0" w:beforeAutospacing="0" w:after="0" w:afterAutospacing="0" w:line="360" w:lineRule="auto"/>
        <w:ind w:firstLine="720"/>
      </w:pPr>
      <w:r>
        <w:rPr>
          <w:color w:val="000000"/>
        </w:rPr>
        <w:t>We collected and annotated 6.46 million non-synonymous SNVs using VA</w:t>
      </w:r>
      <w:r w:rsidR="0058532D">
        <w:rPr>
          <w:color w:val="000000"/>
        </w:rPr>
        <w:t>T</w:t>
      </w:r>
      <w:r>
        <w:rPr>
          <w:color w:val="000000"/>
        </w:rPr>
        <w:t>. About 5.1 million of these SNVs were benign mutations that were obtained from the ExAC Project, and an additional roughly 0.6 million SNVs were taken from phase 3 of the 1000 Genomes Project, which constitutes 79% and 9% of our total set of annotat</w:t>
      </w:r>
      <w:r w:rsidR="0058532D">
        <w:rPr>
          <w:color w:val="000000"/>
        </w:rPr>
        <w:t>ed SNVs, respectively (</w:t>
      </w:r>
      <w:r w:rsidR="0058532D" w:rsidRPr="0058532D">
        <w:rPr>
          <w:b/>
          <w:i/>
          <w:color w:val="000000"/>
        </w:rPr>
        <w:t>S1B</w:t>
      </w:r>
      <w:r>
        <w:rPr>
          <w:color w:val="000000"/>
        </w:rPr>
        <w:t>). The remaining SNVs were a set of disease-associated mutations, and these comprised ~76,000 HGMD SNVs and 0.65 million publicly available pan-cancer somatic SNVs.</w:t>
      </w:r>
      <w:r>
        <w:rPr>
          <w:color w:val="000000"/>
          <w:sz w:val="28"/>
          <w:szCs w:val="28"/>
        </w:rPr>
        <w:t xml:space="preserve"> </w:t>
      </w:r>
      <w:r>
        <w:rPr>
          <w:color w:val="000000"/>
        </w:rPr>
        <w:t xml:space="preserve">HGMD and the pan-cancer dataset constituted 2% and 10% of the total collected non-synonymous SNVs, respectively (Figure </w:t>
      </w:r>
      <w:r w:rsidR="003166BF" w:rsidRPr="003166BF">
        <w:rPr>
          <w:b/>
          <w:i/>
          <w:color w:val="000000"/>
        </w:rPr>
        <w:t>S1B</w:t>
      </w:r>
      <w:r>
        <w:rPr>
          <w:color w:val="000000"/>
        </w:rPr>
        <w:t xml:space="preserve">). </w:t>
      </w:r>
    </w:p>
    <w:p w14:paraId="5C7AE171" w14:textId="0405873B" w:rsidR="00D0255D" w:rsidRDefault="00246A1F" w:rsidP="00EA0B8F">
      <w:pPr>
        <w:pStyle w:val="NormalWeb"/>
        <w:spacing w:before="0" w:beforeAutospacing="0" w:after="0" w:afterAutospacing="0" w:line="360" w:lineRule="auto"/>
        <w:ind w:firstLine="720"/>
        <w:rPr>
          <w:color w:val="000000"/>
        </w:rPr>
      </w:pPr>
      <w:r>
        <w:rPr>
          <w:color w:val="000000"/>
        </w:rPr>
        <w:t>However,</w:t>
      </w:r>
      <w:r>
        <w:rPr>
          <w:color w:val="000000"/>
          <w:sz w:val="28"/>
          <w:szCs w:val="28"/>
        </w:rPr>
        <w:t xml:space="preserve"> </w:t>
      </w:r>
      <w:r>
        <w:rPr>
          <w:color w:val="000000"/>
        </w:rPr>
        <w:t>the contribution of SNVs from different resources changed significantly while considering only those annotated SNVs, which mapped to high-resolution protein structures. Approximately 96,000 SNVs from ExAC were mapped to protein structures in the PDB constituting 51% of our totals set of str</w:t>
      </w:r>
      <w:r w:rsidR="003166BF">
        <w:rPr>
          <w:color w:val="000000"/>
        </w:rPr>
        <w:t xml:space="preserve">ucturally mapped SNVs (Figure </w:t>
      </w:r>
      <w:r w:rsidR="003166BF" w:rsidRPr="003166BF">
        <w:rPr>
          <w:b/>
          <w:i/>
          <w:color w:val="000000"/>
        </w:rPr>
        <w:t>S1C</w:t>
      </w:r>
      <w:r>
        <w:rPr>
          <w:color w:val="000000"/>
        </w:rPr>
        <w:t>). Similarly, 1KG SNVs constituted 7% (13588) of the total structurally mapped SNV dataset. In contrast, the percentage of the disease-associated SNVs that were mapped to protein structures was 18% (33,261 SNVs) and 24% (44,094 SNVs) for the HGMD and pan-cancer res</w:t>
      </w:r>
      <w:r w:rsidR="0079456D">
        <w:rPr>
          <w:color w:val="000000"/>
        </w:rPr>
        <w:t xml:space="preserve">ource, respectively (Figure </w:t>
      </w:r>
      <w:r w:rsidR="0079456D" w:rsidRPr="0079456D">
        <w:rPr>
          <w:b/>
          <w:i/>
          <w:color w:val="000000"/>
        </w:rPr>
        <w:t>S1C</w:t>
      </w:r>
      <w:r>
        <w:rPr>
          <w:color w:val="000000"/>
        </w:rPr>
        <w:t>). The majority of SNVs from the pan-cancer dataset that were mapped to protein structures impacted cancer-associated genes (CAG), constituting 14% (25,409) of the all</w:t>
      </w:r>
      <w:r>
        <w:rPr>
          <w:color w:val="000000"/>
          <w:sz w:val="28"/>
          <w:szCs w:val="28"/>
        </w:rPr>
        <w:t xml:space="preserve"> </w:t>
      </w:r>
      <w:r>
        <w:rPr>
          <w:color w:val="000000"/>
        </w:rPr>
        <w:t>SNVs mapped to protein structure, whereas SNVs impacting non-cancer associated genes constit</w:t>
      </w:r>
      <w:r w:rsidR="003166BF">
        <w:rPr>
          <w:color w:val="000000"/>
        </w:rPr>
        <w:t xml:space="preserve">uted only </w:t>
      </w:r>
      <w:r w:rsidR="003166BF">
        <w:rPr>
          <w:color w:val="000000"/>
        </w:rPr>
        <w:lastRenderedPageBreak/>
        <w:t xml:space="preserve">8% (15,044) (Figure </w:t>
      </w:r>
      <w:r w:rsidR="003166BF" w:rsidRPr="003166BF">
        <w:rPr>
          <w:b/>
          <w:i/>
          <w:color w:val="000000"/>
        </w:rPr>
        <w:t>S1C</w:t>
      </w:r>
      <w:r>
        <w:rPr>
          <w:color w:val="000000"/>
        </w:rPr>
        <w:t>). In contrast, 4,041 SNVs affecting driver genes mapped to protein structures; these SNVs constitute 2% of the total structurally mappe</w:t>
      </w:r>
      <w:r w:rsidR="003166BF">
        <w:rPr>
          <w:color w:val="000000"/>
        </w:rPr>
        <w:t xml:space="preserve">d non-synonymous SNVs (Figure </w:t>
      </w:r>
      <w:r w:rsidR="003166BF" w:rsidRPr="003166BF">
        <w:rPr>
          <w:b/>
          <w:i/>
          <w:color w:val="000000"/>
        </w:rPr>
        <w:t>S1C</w:t>
      </w:r>
      <w:r>
        <w:rPr>
          <w:color w:val="000000"/>
        </w:rPr>
        <w:t>).</w:t>
      </w:r>
    </w:p>
    <w:p w14:paraId="4A490D76" w14:textId="77777777" w:rsidR="0039137D" w:rsidRPr="00EA0B8F" w:rsidRDefault="0039137D" w:rsidP="00EA0B8F">
      <w:pPr>
        <w:pStyle w:val="NormalWeb"/>
        <w:spacing w:before="0" w:beforeAutospacing="0" w:after="0" w:afterAutospacing="0" w:line="360" w:lineRule="auto"/>
        <w:ind w:firstLine="720"/>
        <w:rPr>
          <w:color w:val="000000"/>
        </w:rPr>
      </w:pPr>
    </w:p>
    <w:p w14:paraId="7079C50D" w14:textId="7894C845" w:rsidR="005E740D" w:rsidRPr="00F11B35" w:rsidRDefault="00930994" w:rsidP="005E740D">
      <w:pPr>
        <w:spacing w:line="360" w:lineRule="auto"/>
        <w:rPr>
          <w:rFonts w:eastAsia="ＭＳ 明朝"/>
        </w:rPr>
      </w:pPr>
      <w:r>
        <w:rPr>
          <w:rFonts w:eastAsia="ＭＳ 明朝"/>
          <w:b/>
          <w:bCs/>
          <w:color w:val="000000"/>
          <w:sz w:val="28"/>
          <w:szCs w:val="28"/>
        </w:rPr>
        <w:t xml:space="preserve">S2 </w:t>
      </w:r>
      <w:r w:rsidR="00C74B54">
        <w:rPr>
          <w:rFonts w:eastAsia="ＭＳ 明朝"/>
          <w:b/>
          <w:bCs/>
          <w:color w:val="000000"/>
          <w:sz w:val="28"/>
          <w:szCs w:val="28"/>
        </w:rPr>
        <w:t xml:space="preserve">Frustration differences for </w:t>
      </w:r>
      <w:r w:rsidR="005E740D">
        <w:rPr>
          <w:rFonts w:eastAsia="ＭＳ 明朝"/>
          <w:b/>
          <w:bCs/>
          <w:color w:val="000000"/>
          <w:sz w:val="28"/>
          <w:szCs w:val="28"/>
        </w:rPr>
        <w:t>semi-balanced structure datasets</w:t>
      </w:r>
    </w:p>
    <w:p w14:paraId="3EECD94C" w14:textId="7C5A120C" w:rsidR="008F56D1" w:rsidRDefault="00C74B54" w:rsidP="00C74B54">
      <w:pPr>
        <w:spacing w:line="360" w:lineRule="auto"/>
        <w:rPr>
          <w:rFonts w:eastAsia="ＭＳ 明朝"/>
          <w:color w:val="000000"/>
        </w:rPr>
      </w:pPr>
      <w:r>
        <w:rPr>
          <w:rFonts w:eastAsia="ＭＳ 明朝"/>
          <w:color w:val="000000"/>
        </w:rPr>
        <w:t xml:space="preserve">After identifying </w:t>
      </w:r>
      <w:r w:rsidR="005E740D" w:rsidRPr="00915C0A">
        <w:rPr>
          <w:rFonts w:eastAsia="ＭＳ 明朝"/>
          <w:color w:val="000000"/>
        </w:rPr>
        <w:t>unique</w:t>
      </w:r>
      <w:r w:rsidR="005E740D">
        <w:rPr>
          <w:rFonts w:eastAsia="ＭＳ 明朝"/>
          <w:color w:val="000000"/>
        </w:rPr>
        <w:t xml:space="preserve"> </w:t>
      </w:r>
      <w:r w:rsidR="005E740D" w:rsidRPr="00915C0A">
        <w:rPr>
          <w:rFonts w:eastAsia="ＭＳ 明朝"/>
          <w:color w:val="000000"/>
        </w:rPr>
        <w:t>protein</w:t>
      </w:r>
      <w:r w:rsidR="005E740D">
        <w:rPr>
          <w:rFonts w:eastAsia="ＭＳ 明朝"/>
          <w:color w:val="000000"/>
        </w:rPr>
        <w:t xml:space="preserve"> sets, those proteins which fall within the </w:t>
      </w:r>
      <w:r w:rsidR="005E740D" w:rsidRPr="00CF078C">
        <w:rPr>
          <w:rFonts w:eastAsia="ＭＳ 明朝"/>
          <w:i/>
          <w:color w:val="000000"/>
        </w:rPr>
        <w:t>intersection</w:t>
      </w:r>
      <w:r w:rsidR="005E740D">
        <w:rPr>
          <w:rFonts w:eastAsia="ＭＳ 明朝"/>
          <w:color w:val="000000"/>
        </w:rPr>
        <w:t xml:space="preserve"> of the different datasets were used to evaluate </w:t>
      </w:r>
      <w:r w:rsidR="005E740D" w:rsidRPr="00C6674A">
        <w:rPr>
          <w:rFonts w:eastAsia="ＭＳ 明朝"/>
          <w:color w:val="000000"/>
        </w:rPr>
        <w:t xml:space="preserve">∆F </w:t>
      </w:r>
      <w:r w:rsidR="005E740D">
        <w:rPr>
          <w:rFonts w:eastAsia="ＭＳ 明朝"/>
          <w:color w:val="000000"/>
        </w:rPr>
        <w:t>distributions. For instance, the intersection between unique 1000 Genomes and HGMD proteins constitutes a non-redundant set of protein structures in which at least one residue intersects with a 1000 Genomes SNV and at least one residue intersects with an HGMD SNV, thereby providing a semi-</w:t>
      </w:r>
      <w:r w:rsidR="005E740D" w:rsidRPr="00681852">
        <w:rPr>
          <w:rFonts w:eastAsia="ＭＳ 明朝"/>
          <w:color w:val="000000"/>
        </w:rPr>
        <w:t xml:space="preserve">balanced set of </w:t>
      </w:r>
      <w:r w:rsidR="005E740D">
        <w:rPr>
          <w:rFonts w:eastAsia="ＭＳ 明朝"/>
          <w:color w:val="000000"/>
        </w:rPr>
        <w:t xml:space="preserve">SNVs, and thus the ability to draw more direct comparisons with respect to </w:t>
      </w:r>
      <w:r w:rsidR="005E740D" w:rsidRPr="00C6674A">
        <w:rPr>
          <w:rFonts w:eastAsia="ＭＳ 明朝"/>
          <w:color w:val="000000"/>
        </w:rPr>
        <w:t xml:space="preserve">∆F </w:t>
      </w:r>
      <w:r w:rsidR="005E740D">
        <w:rPr>
          <w:rFonts w:eastAsia="ＭＳ 明朝"/>
          <w:color w:val="000000"/>
        </w:rPr>
        <w:t xml:space="preserve">distributions. Using this approach, we find that the results overall trend for semi-balanced variant datasets are consistent with </w:t>
      </w:r>
      <w:r w:rsidR="005E740D" w:rsidRPr="00C6674A">
        <w:rPr>
          <w:rFonts w:eastAsia="ＭＳ 明朝"/>
          <w:color w:val="000000"/>
        </w:rPr>
        <w:t xml:space="preserve">∆F </w:t>
      </w:r>
      <w:r w:rsidR="005E740D">
        <w:rPr>
          <w:rFonts w:eastAsia="ＭＳ 明朝"/>
          <w:color w:val="000000"/>
        </w:rPr>
        <w:t>distributions detailed above (Supp. Fig S5). However, they lack statistical significance, potentially due to lower amount of SNVs included in the semi-balanced dataset</w:t>
      </w:r>
      <w:r w:rsidR="00D0255D">
        <w:rPr>
          <w:rFonts w:eastAsia="ＭＳ 明朝"/>
          <w:color w:val="000000"/>
        </w:rPr>
        <w:t>.</w:t>
      </w:r>
    </w:p>
    <w:p w14:paraId="51A781BE" w14:textId="77777777" w:rsidR="00EA0B8F" w:rsidRDefault="00EA0B8F" w:rsidP="00D0255D">
      <w:pPr>
        <w:spacing w:line="360" w:lineRule="auto"/>
        <w:ind w:firstLine="720"/>
        <w:rPr>
          <w:rFonts w:eastAsia="ＭＳ 明朝"/>
          <w:color w:val="000000"/>
        </w:rPr>
      </w:pPr>
    </w:p>
    <w:p w14:paraId="63219BA4" w14:textId="53373A6C" w:rsidR="00EA0B8F" w:rsidRDefault="00930994" w:rsidP="00EA0B8F">
      <w:pPr>
        <w:spacing w:line="360" w:lineRule="auto"/>
        <w:rPr>
          <w:rFonts w:eastAsia="ＭＳ 明朝"/>
          <w:b/>
          <w:bCs/>
          <w:color w:val="000000"/>
          <w:sz w:val="28"/>
          <w:szCs w:val="28"/>
        </w:rPr>
      </w:pPr>
      <w:r>
        <w:rPr>
          <w:rFonts w:eastAsia="ＭＳ 明朝"/>
          <w:b/>
          <w:bCs/>
          <w:color w:val="000000"/>
          <w:sz w:val="28"/>
          <w:szCs w:val="28"/>
        </w:rPr>
        <w:t xml:space="preserve">S3 </w:t>
      </w:r>
      <w:r w:rsidR="00EA0B8F">
        <w:rPr>
          <w:rFonts w:eastAsia="ＭＳ 明朝"/>
          <w:b/>
          <w:bCs/>
          <w:color w:val="000000"/>
          <w:sz w:val="28"/>
          <w:szCs w:val="28"/>
        </w:rPr>
        <w:t>Threshold to identify potentially deleterious SNVs</w:t>
      </w:r>
    </w:p>
    <w:p w14:paraId="1B5CC36D" w14:textId="44DC6336" w:rsidR="00EA0B8F" w:rsidRPr="00EA0B8F" w:rsidRDefault="00EA0B8F" w:rsidP="00775D68">
      <w:pPr>
        <w:widowControl w:val="0"/>
        <w:autoSpaceDE w:val="0"/>
        <w:autoSpaceDN w:val="0"/>
        <w:adjustRightInd w:val="0"/>
        <w:spacing w:line="360" w:lineRule="auto"/>
        <w:ind w:left="640" w:hanging="640"/>
      </w:pPr>
      <w:r w:rsidRPr="00EA0B8F">
        <w:t xml:space="preserve">As discussed in result section of the main text, disease-associated SNVs from HGMD generally induce more negative ΔF values relative to benign SNVs. Given a newly discovered SNV, is there a specific ΔF threshold that may optimally be used to classify SNVs as benign or deleterious? We address this issue empirically by optimizing a function </w:t>
      </w:r>
      <w:r w:rsidRPr="00EA0B8F">
        <w:rPr>
          <w:i/>
        </w:rPr>
        <w:t>f(x)</w:t>
      </w:r>
      <w:r w:rsidRPr="00EA0B8F">
        <w:t xml:space="preserve"> defined by two distributions</w:t>
      </w:r>
      <w:r w:rsidR="00145CCD">
        <w:fldChar w:fldCharType="begin" w:fldLock="1"/>
      </w:r>
      <w:r w:rsidR="007F0FBA">
        <w:instrText>ADDIN CSL_CITATION { "citationItems" : [ { "id" : "ITEM-1", "itemData" : { "DOI" : "10.1093/bioinformatics/btg494", "ISSN" : "1367-4803", "PMID" : "14752003", "abstract" : "MOTIVATION Homology search is one of the most fundamental tools in Bioinformatics. Typical alignment algorithms use substitution matrices and gap costs. Thus, the improvement of substitution matrices increases accuracy of homology searches. Generally, substitution matrices are derived from aligned sequences whose relationships are known, and gap costs are determined by trial and error. To discriminate relationships more clearly, we are encouraged to optimize the substitution matrices from statistical viewpoints using both positive and negative examples utilizing Bayesian decision theory. RESULTS Using Cluster of Orthologous Group (COG) database, we optimized substitution matrices. The classification accuracy of the obtained matrix is better than that of conventional substitution matrices to COG database. It also achieves good performance in classifying with other databases.", "author" : [ { "dropping-particle" : "", "family" : "Hourai", "given" : "Yuichiro", "non-dropping-particle" : "", "parse-names" : false, "suffix" : "" }, { "dropping-particle" : "", "family" : "Akutsu", "given" : "Tatsuya", "non-dropping-particle" : "", "parse-names" : false, "suffix" : "" }, { "dropping-particle" : "", "family" : "Akiyama", "given" : "Yutaka", "non-dropping-particle" : "", "parse-names" : false, "suffix" : "" } ], "container-title" : "Bioinformatics (Oxford, England)", "id" : "ITEM-1", "issue" : "6", "issued" : { "date-parts" : [ [ "2004", "4", "12" ] ] }, "page" : "863-73", "title" : "Optimizing substitution matrices by separating score distributions.", "type" : "article-journal", "volume" : "20" }, "uris" : [ "http://www.mendeley.com/documents/?uuid=782eb908-b5f4-39a7-97f4-0db4350e1c96" ] } ], "mendeley" : { "formattedCitation" : "(1)", "plainTextFormattedCitation" : "(1)", "previouslyFormattedCitation" : "(1)" }, "properties" : { "noteIndex" : 0 }, "schema" : "https://github.com/citation-style-language/schema/raw/master/csl-citation.json" }</w:instrText>
      </w:r>
      <w:r w:rsidR="00145CCD">
        <w:fldChar w:fldCharType="separate"/>
      </w:r>
      <w:r w:rsidR="00145CCD" w:rsidRPr="00145CCD">
        <w:rPr>
          <w:noProof/>
        </w:rPr>
        <w:t>(1)</w:t>
      </w:r>
      <w:r w:rsidR="00145CCD">
        <w:fldChar w:fldCharType="end"/>
      </w:r>
      <w:r w:rsidR="00775D68">
        <w:t>:</w:t>
      </w:r>
    </w:p>
    <w:p w14:paraId="50C1EA7D" w14:textId="77777777" w:rsidR="00EA0B8F" w:rsidRPr="00EA0B8F" w:rsidRDefault="00EA0B8F" w:rsidP="00EA0B8F"/>
    <w:p w14:paraId="3A4D9899" w14:textId="77777777" w:rsidR="00EA0B8F" w:rsidRPr="00EA0B8F" w:rsidRDefault="00EA0B8F" w:rsidP="00EA0B8F">
      <w:pPr>
        <w:jc w:val="center"/>
        <w:rPr>
          <w:i/>
        </w:rPr>
      </w:pPr>
      <w:r w:rsidRPr="00EA0B8F">
        <w:rPr>
          <w:i/>
        </w:rPr>
        <w:t>f(x) =  h(x) + e(x)</w:t>
      </w:r>
    </w:p>
    <w:p w14:paraId="4DE40198" w14:textId="77777777" w:rsidR="00EA0B8F" w:rsidRPr="00EA0B8F" w:rsidRDefault="00EA0B8F" w:rsidP="00EA0B8F"/>
    <w:p w14:paraId="3F1E0028" w14:textId="77777777" w:rsidR="00EA0B8F" w:rsidRPr="00EA0B8F" w:rsidRDefault="00EA0B8F" w:rsidP="00EA0B8F">
      <w:r w:rsidRPr="00EA0B8F">
        <w:t>Let ΔF</w:t>
      </w:r>
      <w:r w:rsidRPr="00EA0B8F">
        <w:rPr>
          <w:vertAlign w:val="subscript"/>
        </w:rPr>
        <w:t>HGMD</w:t>
      </w:r>
      <w:r w:rsidRPr="00EA0B8F">
        <w:t xml:space="preserve"> denote the distribution of ΔF scores induced by HGMD SNVs. </w:t>
      </w:r>
      <w:r w:rsidRPr="00EA0B8F">
        <w:rPr>
          <w:i/>
        </w:rPr>
        <w:t>h(x)</w:t>
      </w:r>
      <w:r w:rsidRPr="00EA0B8F">
        <w:t xml:space="preserve"> is defined to be the difference between the fraction of ΔF</w:t>
      </w:r>
      <w:r w:rsidRPr="00EA0B8F">
        <w:rPr>
          <w:vertAlign w:val="subscript"/>
        </w:rPr>
        <w:t>HGMD</w:t>
      </w:r>
      <w:r w:rsidRPr="00EA0B8F">
        <w:t xml:space="preserve"> scores less than </w:t>
      </w:r>
      <w:r w:rsidRPr="00EA0B8F">
        <w:rPr>
          <w:i/>
        </w:rPr>
        <w:t>x</w:t>
      </w:r>
      <w:r w:rsidRPr="00EA0B8F">
        <w:t xml:space="preserve"> (</w:t>
      </w:r>
      <w:r w:rsidRPr="00EA0B8F">
        <w:rPr>
          <w:i/>
        </w:rPr>
        <w:t>fract</w:t>
      </w:r>
      <w:r w:rsidRPr="00EA0B8F">
        <w:t>[ΔF</w:t>
      </w:r>
      <w:r w:rsidRPr="00EA0B8F">
        <w:rPr>
          <w:vertAlign w:val="subscript"/>
        </w:rPr>
        <w:t xml:space="preserve">HGMD </w:t>
      </w:r>
      <w:r w:rsidRPr="00EA0B8F">
        <w:t xml:space="preserve">&lt; </w:t>
      </w:r>
      <w:r w:rsidRPr="00EA0B8F">
        <w:rPr>
          <w:i/>
        </w:rPr>
        <w:t>x</w:t>
      </w:r>
      <w:r w:rsidRPr="00EA0B8F">
        <w:t>]) and the fraction of ΔF</w:t>
      </w:r>
      <w:r w:rsidRPr="00EA0B8F">
        <w:rPr>
          <w:vertAlign w:val="subscript"/>
        </w:rPr>
        <w:t>HGMD</w:t>
      </w:r>
      <w:r w:rsidRPr="00EA0B8F">
        <w:t xml:space="preserve"> scores greater than </w:t>
      </w:r>
      <w:r w:rsidRPr="00EA0B8F">
        <w:rPr>
          <w:i/>
        </w:rPr>
        <w:t>x</w:t>
      </w:r>
      <w:r w:rsidRPr="00EA0B8F">
        <w:t xml:space="preserve"> (</w:t>
      </w:r>
      <w:r w:rsidRPr="00EA0B8F">
        <w:rPr>
          <w:i/>
        </w:rPr>
        <w:t>fract</w:t>
      </w:r>
      <w:r w:rsidRPr="00EA0B8F">
        <w:t>[ΔF</w:t>
      </w:r>
      <w:r w:rsidRPr="00EA0B8F">
        <w:rPr>
          <w:vertAlign w:val="subscript"/>
        </w:rPr>
        <w:t xml:space="preserve">HGMD </w:t>
      </w:r>
      <w:r w:rsidRPr="00EA0B8F">
        <w:t xml:space="preserve">&gt; </w:t>
      </w:r>
      <w:r w:rsidRPr="00EA0B8F">
        <w:rPr>
          <w:i/>
        </w:rPr>
        <w:t>x</w:t>
      </w:r>
      <w:r w:rsidRPr="00EA0B8F">
        <w:t>]):</w:t>
      </w:r>
    </w:p>
    <w:p w14:paraId="7CF8D37F" w14:textId="77777777" w:rsidR="00EA0B8F" w:rsidRPr="00EA0B8F" w:rsidRDefault="00EA0B8F" w:rsidP="00EA0B8F"/>
    <w:p w14:paraId="70D6AE96" w14:textId="77777777" w:rsidR="00EA0B8F" w:rsidRPr="00EA0B8F" w:rsidRDefault="00EA0B8F" w:rsidP="00EA0B8F">
      <w:pPr>
        <w:jc w:val="center"/>
        <w:rPr>
          <w:i/>
        </w:rPr>
      </w:pPr>
      <w:r w:rsidRPr="00EA0B8F">
        <w:rPr>
          <w:i/>
        </w:rPr>
        <w:t>h(x)  =  fract</w:t>
      </w:r>
      <w:r w:rsidRPr="00EA0B8F">
        <w:t>[ΔF</w:t>
      </w:r>
      <w:r w:rsidRPr="00EA0B8F">
        <w:rPr>
          <w:vertAlign w:val="subscript"/>
        </w:rPr>
        <w:t>HGMD</w:t>
      </w:r>
      <w:r w:rsidRPr="00EA0B8F">
        <w:rPr>
          <w:i/>
          <w:vertAlign w:val="subscript"/>
        </w:rPr>
        <w:t xml:space="preserve"> </w:t>
      </w:r>
      <w:r w:rsidRPr="00EA0B8F">
        <w:rPr>
          <w:i/>
        </w:rPr>
        <w:t xml:space="preserve">&lt; </w:t>
      </w:r>
      <w:r w:rsidRPr="00EA0B8F">
        <w:t xml:space="preserve">x])  -  </w:t>
      </w:r>
      <w:r w:rsidRPr="00EA0B8F">
        <w:rPr>
          <w:i/>
        </w:rPr>
        <w:t>fract</w:t>
      </w:r>
      <w:r w:rsidRPr="00EA0B8F">
        <w:t>[ΔF</w:t>
      </w:r>
      <w:r w:rsidRPr="00EA0B8F">
        <w:rPr>
          <w:i/>
          <w:vertAlign w:val="subscript"/>
        </w:rPr>
        <w:t xml:space="preserve">HGMD </w:t>
      </w:r>
      <w:r w:rsidRPr="00EA0B8F">
        <w:rPr>
          <w:i/>
        </w:rPr>
        <w:t>&gt; x</w:t>
      </w:r>
      <w:r w:rsidRPr="00EA0B8F">
        <w:t>])</w:t>
      </w:r>
    </w:p>
    <w:p w14:paraId="76F4AFA4" w14:textId="77777777" w:rsidR="00EA0B8F" w:rsidRPr="00EA0B8F" w:rsidRDefault="00EA0B8F" w:rsidP="00EA0B8F"/>
    <w:p w14:paraId="24033039" w14:textId="77777777" w:rsidR="00EA0B8F" w:rsidRPr="00EA0B8F" w:rsidRDefault="00EA0B8F" w:rsidP="00EA0B8F">
      <w:r w:rsidRPr="00EA0B8F">
        <w:t xml:space="preserve">With </w:t>
      </w:r>
      <w:proofErr w:type="spellStart"/>
      <w:r w:rsidRPr="00EA0B8F">
        <w:t>ΔF</w:t>
      </w:r>
      <w:r w:rsidRPr="00EA0B8F">
        <w:rPr>
          <w:vertAlign w:val="subscript"/>
        </w:rPr>
        <w:t>ExAC</w:t>
      </w:r>
      <w:proofErr w:type="spellEnd"/>
      <w:r w:rsidRPr="00EA0B8F">
        <w:t xml:space="preserve"> similarly defined for the distribution of ΔF values associated with ExAC SNVs:</w:t>
      </w:r>
    </w:p>
    <w:p w14:paraId="295DC81C" w14:textId="77777777" w:rsidR="00EA0B8F" w:rsidRPr="00EA0B8F" w:rsidRDefault="00EA0B8F" w:rsidP="00EA0B8F"/>
    <w:p w14:paraId="0DD2A601" w14:textId="77777777" w:rsidR="00EA0B8F" w:rsidRPr="00EA0B8F" w:rsidRDefault="00EA0B8F" w:rsidP="00EA0B8F">
      <w:pPr>
        <w:jc w:val="center"/>
        <w:rPr>
          <w:i/>
        </w:rPr>
      </w:pPr>
      <w:r w:rsidRPr="00EA0B8F">
        <w:rPr>
          <w:i/>
        </w:rPr>
        <w:t>e(x)  =  fract</w:t>
      </w:r>
      <w:r w:rsidRPr="00EA0B8F">
        <w:t>[</w:t>
      </w:r>
      <w:proofErr w:type="spellStart"/>
      <w:r w:rsidRPr="00EA0B8F">
        <w:t>ΔF</w:t>
      </w:r>
      <w:r w:rsidRPr="00EA0B8F">
        <w:rPr>
          <w:vertAlign w:val="subscript"/>
        </w:rPr>
        <w:t>ExAC</w:t>
      </w:r>
      <w:proofErr w:type="spellEnd"/>
      <w:r w:rsidRPr="00EA0B8F">
        <w:t xml:space="preserve"> &gt; </w:t>
      </w:r>
      <w:r w:rsidRPr="00EA0B8F">
        <w:rPr>
          <w:i/>
        </w:rPr>
        <w:t>x</w:t>
      </w:r>
      <w:r w:rsidRPr="00EA0B8F">
        <w:t xml:space="preserve">]) </w:t>
      </w:r>
      <w:r w:rsidRPr="00EA0B8F">
        <w:rPr>
          <w:i/>
        </w:rPr>
        <w:t xml:space="preserve"> -  fract</w:t>
      </w:r>
      <w:r w:rsidRPr="00EA0B8F">
        <w:t>[</w:t>
      </w:r>
      <w:proofErr w:type="spellStart"/>
      <w:r w:rsidRPr="00EA0B8F">
        <w:t>ΔF</w:t>
      </w:r>
      <w:r w:rsidRPr="00EA0B8F">
        <w:rPr>
          <w:vertAlign w:val="subscript"/>
        </w:rPr>
        <w:t>ExAC</w:t>
      </w:r>
      <w:proofErr w:type="spellEnd"/>
      <w:r w:rsidRPr="00EA0B8F">
        <w:t xml:space="preserve"> &lt; </w:t>
      </w:r>
      <w:r w:rsidRPr="00EA0B8F">
        <w:rPr>
          <w:i/>
        </w:rPr>
        <w:t>x</w:t>
      </w:r>
      <w:r w:rsidRPr="00EA0B8F">
        <w:t>])</w:t>
      </w:r>
    </w:p>
    <w:p w14:paraId="653720F2" w14:textId="77777777" w:rsidR="00EA0B8F" w:rsidRPr="00EA0B8F" w:rsidRDefault="00EA0B8F" w:rsidP="00EA0B8F"/>
    <w:p w14:paraId="0EF7C0AE" w14:textId="77777777" w:rsidR="00EA0B8F" w:rsidRPr="00EA0B8F" w:rsidRDefault="00EA0B8F" w:rsidP="00EA0B8F">
      <w:pPr>
        <w:spacing w:line="360" w:lineRule="auto"/>
      </w:pPr>
      <w:r w:rsidRPr="00EA0B8F">
        <w:t>Note that, in building the distribution of ΔF</w:t>
      </w:r>
      <w:r w:rsidRPr="00EA0B8F">
        <w:rPr>
          <w:vertAlign w:val="subscript"/>
        </w:rPr>
        <w:t>HGMD</w:t>
      </w:r>
      <w:r w:rsidRPr="00EA0B8F">
        <w:t xml:space="preserve"> values, a random sample of HGMD SNVs was chosen in order to match the number of SNVs in the </w:t>
      </w:r>
      <w:proofErr w:type="spellStart"/>
      <w:r w:rsidRPr="00EA0B8F">
        <w:t>ΔF</w:t>
      </w:r>
      <w:r w:rsidRPr="00EA0B8F">
        <w:rPr>
          <w:vertAlign w:val="subscript"/>
        </w:rPr>
        <w:t>ExAC</w:t>
      </w:r>
      <w:proofErr w:type="spellEnd"/>
      <w:r w:rsidRPr="00EA0B8F">
        <w:t xml:space="preserve"> distribution. The </w:t>
      </w:r>
      <w:r w:rsidRPr="00EA0B8F">
        <w:rPr>
          <w:i/>
        </w:rPr>
        <w:t>x</w:t>
      </w:r>
      <w:r w:rsidRPr="00EA0B8F">
        <w:t xml:space="preserve"> that maximizes the function </w:t>
      </w:r>
      <w:r w:rsidRPr="00EA0B8F">
        <w:rPr>
          <w:i/>
        </w:rPr>
        <w:t>f(x)</w:t>
      </w:r>
      <w:r w:rsidRPr="00EA0B8F">
        <w:t xml:space="preserve"> is taken as the ΔF threshold for predicting whether a newly discovered SNV is deleterious or benign. Using this approach, we find that this ideal threshold takes a value of ΔF = -1.221.</w:t>
      </w:r>
    </w:p>
    <w:p w14:paraId="0F7C0899" w14:textId="77777777" w:rsidR="00936488" w:rsidRDefault="00936488" w:rsidP="00BA5C80">
      <w:pPr>
        <w:spacing w:line="360" w:lineRule="auto"/>
        <w:rPr>
          <w:rFonts w:eastAsia="ＭＳ 明朝"/>
          <w:color w:val="000000"/>
        </w:rPr>
      </w:pPr>
    </w:p>
    <w:p w14:paraId="4AF2FF8E" w14:textId="77777777" w:rsidR="00BA5C80" w:rsidRDefault="00BA5C80" w:rsidP="00EC41C7">
      <w:pPr>
        <w:spacing w:line="360" w:lineRule="auto"/>
        <w:rPr>
          <w:rFonts w:ascii="Arial Black" w:hAnsi="Arial Black"/>
          <w:b/>
          <w:sz w:val="28"/>
          <w:szCs w:val="28"/>
          <w:u w:val="single"/>
        </w:rPr>
      </w:pPr>
    </w:p>
    <w:p w14:paraId="6699F19A" w14:textId="05BD4BEE" w:rsidR="00B93F61" w:rsidRPr="00EC41C7" w:rsidRDefault="00EC41C7" w:rsidP="00EC41C7">
      <w:pPr>
        <w:spacing w:line="360" w:lineRule="auto"/>
        <w:rPr>
          <w:rFonts w:ascii="Arial Black" w:hAnsi="Arial Black"/>
          <w:b/>
          <w:sz w:val="28"/>
          <w:szCs w:val="28"/>
          <w:u w:val="single"/>
        </w:rPr>
      </w:pPr>
      <w:r>
        <w:rPr>
          <w:rFonts w:ascii="Arial Black" w:hAnsi="Arial Black"/>
          <w:b/>
          <w:sz w:val="28"/>
          <w:szCs w:val="28"/>
          <w:u w:val="single"/>
        </w:rPr>
        <w:t xml:space="preserve">Figure </w:t>
      </w:r>
      <w:r w:rsidR="00E26224">
        <w:rPr>
          <w:rFonts w:ascii="Arial Black" w:hAnsi="Arial Black"/>
          <w:b/>
          <w:sz w:val="28"/>
          <w:szCs w:val="28"/>
          <w:u w:val="single"/>
        </w:rPr>
        <w:t>S1</w:t>
      </w:r>
    </w:p>
    <w:p w14:paraId="26CCE2C5" w14:textId="09BC58DC" w:rsidR="006B5D58" w:rsidRDefault="00B93F61" w:rsidP="00B93F61">
      <w:pPr>
        <w:spacing w:line="360" w:lineRule="auto"/>
        <w:rPr>
          <w:bCs/>
        </w:rPr>
      </w:pPr>
      <w:r>
        <w:rPr>
          <w:b/>
          <w:bCs/>
        </w:rPr>
        <w:t xml:space="preserve">Figure S1: Overview of SNV categories and their relative proportions within the data pool analyzed. </w:t>
      </w:r>
      <w:r w:rsidRPr="004F0C74">
        <w:rPr>
          <w:bCs/>
          <w:i/>
        </w:rPr>
        <w:t xml:space="preserve">A) </w:t>
      </w:r>
      <w:r>
        <w:rPr>
          <w:bCs/>
        </w:rPr>
        <w:t xml:space="preserve">Flowchart representing the different categories and origins of the variants analyzed in this study. A given non-synonymous SNV can be classified as benign or disease-associated on the basis of its provenance (i.e., whether it is taken from 1000 Genomes, ExAC, HGMD or Pan-cancer variant datasets). </w:t>
      </w:r>
      <w:r>
        <w:rPr>
          <w:bCs/>
          <w:i/>
        </w:rPr>
        <w:t>B</w:t>
      </w:r>
      <w:r w:rsidRPr="00137BE7">
        <w:rPr>
          <w:bCs/>
          <w:i/>
        </w:rPr>
        <w:t xml:space="preserve">) </w:t>
      </w:r>
      <w:r>
        <w:rPr>
          <w:bCs/>
        </w:rPr>
        <w:t xml:space="preserve">Relative proportions of SNVs from various datasets </w:t>
      </w:r>
      <w:r w:rsidRPr="004F0C74">
        <w:rPr>
          <w:bCs/>
          <w:i/>
        </w:rPr>
        <w:t xml:space="preserve">prior to </w:t>
      </w:r>
      <w:r>
        <w:rPr>
          <w:bCs/>
        </w:rPr>
        <w:t xml:space="preserve">mapping SNVs to high-resolution PDB structures. </w:t>
      </w:r>
      <w:r w:rsidRPr="0095290C">
        <w:rPr>
          <w:bCs/>
          <w:i/>
        </w:rPr>
        <w:t>C)</w:t>
      </w:r>
      <w:r w:rsidRPr="0095290C">
        <w:rPr>
          <w:bCs/>
        </w:rPr>
        <w:t xml:space="preserve"> Relative proportions of SNVs from various datasets </w:t>
      </w:r>
      <w:r w:rsidRPr="0095290C">
        <w:rPr>
          <w:bCs/>
          <w:i/>
        </w:rPr>
        <w:t>after</w:t>
      </w:r>
      <w:r w:rsidRPr="0095290C">
        <w:rPr>
          <w:bCs/>
        </w:rPr>
        <w:t xml:space="preserve"> mapping SNVs to high-resolution PDB structures. </w:t>
      </w:r>
    </w:p>
    <w:p w14:paraId="49746484" w14:textId="77777777" w:rsidR="00E26224" w:rsidRPr="00A2156F" w:rsidRDefault="00E26224" w:rsidP="00B93F61">
      <w:pPr>
        <w:spacing w:line="360" w:lineRule="auto"/>
        <w:rPr>
          <w:bCs/>
        </w:rPr>
      </w:pPr>
    </w:p>
    <w:p w14:paraId="1E100DE5" w14:textId="77777777" w:rsidR="00BC76A8" w:rsidRDefault="006B5D58" w:rsidP="00BC76A8">
      <w:pPr>
        <w:pStyle w:val="NormalWeb"/>
        <w:spacing w:before="0" w:beforeAutospacing="0" w:after="0" w:afterAutospacing="0" w:line="360" w:lineRule="auto"/>
        <w:rPr>
          <w:rFonts w:ascii="Arial Black" w:hAnsi="Arial Black"/>
          <w:b/>
          <w:sz w:val="28"/>
          <w:szCs w:val="28"/>
          <w:u w:val="single"/>
        </w:rPr>
      </w:pPr>
      <w:r>
        <w:rPr>
          <w:noProof/>
          <w:color w:val="000000"/>
        </w:rPr>
        <w:drawing>
          <wp:inline distT="0" distB="0" distL="0" distR="0" wp14:anchorId="5D26245A" wp14:editId="62F73EF6">
            <wp:extent cx="5486400" cy="318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S1.pdf"/>
                    <pic:cNvPicPr/>
                  </pic:nvPicPr>
                  <pic:blipFill>
                    <a:blip r:embed="rId6">
                      <a:extLst>
                        <a:ext uri="{28A0092B-C50C-407E-A947-70E740481C1C}">
                          <a14:useLocalDpi xmlns:a14="http://schemas.microsoft.com/office/drawing/2010/main" val="0"/>
                        </a:ext>
                      </a:extLst>
                    </a:blip>
                    <a:stretch>
                      <a:fillRect/>
                    </a:stretch>
                  </pic:blipFill>
                  <pic:spPr>
                    <a:xfrm>
                      <a:off x="0" y="0"/>
                      <a:ext cx="5486400" cy="3182620"/>
                    </a:xfrm>
                    <a:prstGeom prst="rect">
                      <a:avLst/>
                    </a:prstGeom>
                  </pic:spPr>
                </pic:pic>
              </a:graphicData>
            </a:graphic>
          </wp:inline>
        </w:drawing>
      </w:r>
    </w:p>
    <w:p w14:paraId="1E31DAB5" w14:textId="68F1CB9A" w:rsidR="00BC6549" w:rsidRPr="00BC76A8" w:rsidRDefault="00BC6549" w:rsidP="00BC76A8">
      <w:pPr>
        <w:pStyle w:val="NormalWeb"/>
        <w:spacing w:before="0" w:beforeAutospacing="0" w:after="0" w:afterAutospacing="0" w:line="360" w:lineRule="auto"/>
        <w:rPr>
          <w:color w:val="000000"/>
        </w:rPr>
      </w:pPr>
      <w:r>
        <w:rPr>
          <w:rFonts w:ascii="Arial Black" w:hAnsi="Arial Black"/>
          <w:b/>
          <w:sz w:val="28"/>
          <w:szCs w:val="28"/>
          <w:u w:val="single"/>
        </w:rPr>
        <w:t>Figure S2</w:t>
      </w:r>
    </w:p>
    <w:p w14:paraId="7D760A4D" w14:textId="31C5312E" w:rsidR="00BC6549" w:rsidRPr="00BC6549" w:rsidRDefault="00BC6549" w:rsidP="00BC6549">
      <w:pPr>
        <w:rPr>
          <w:rFonts w:ascii="Times" w:eastAsia="Times New Roman" w:hAnsi="Times"/>
          <w:sz w:val="20"/>
          <w:szCs w:val="20"/>
        </w:rPr>
      </w:pPr>
      <w:r>
        <w:rPr>
          <w:b/>
          <w:bCs/>
        </w:rPr>
        <w:t xml:space="preserve">Figure S2: Frequency chart of the number of 1KG SNVs against the #of unique proteins </w:t>
      </w:r>
    </w:p>
    <w:p w14:paraId="47D3917B" w14:textId="77777777" w:rsidR="00BC6549" w:rsidRDefault="00BC6549" w:rsidP="00BC6549">
      <w:pPr>
        <w:spacing w:line="360" w:lineRule="auto"/>
        <w:rPr>
          <w:bCs/>
        </w:rPr>
      </w:pPr>
    </w:p>
    <w:p w14:paraId="474F6A2B" w14:textId="4CA8C55E" w:rsidR="00BC6549" w:rsidRDefault="00BC6549" w:rsidP="009230F4">
      <w:pPr>
        <w:spacing w:line="360" w:lineRule="auto"/>
        <w:rPr>
          <w:rFonts w:ascii="Arial Black" w:hAnsi="Arial Black"/>
          <w:b/>
          <w:sz w:val="32"/>
          <w:szCs w:val="32"/>
          <w:u w:val="single"/>
        </w:rPr>
      </w:pPr>
      <w:r>
        <w:rPr>
          <w:rFonts w:ascii="Arial Black" w:hAnsi="Arial Black"/>
          <w:b/>
          <w:noProof/>
          <w:sz w:val="32"/>
          <w:szCs w:val="32"/>
          <w:u w:val="single"/>
        </w:rPr>
        <w:drawing>
          <wp:inline distT="0" distB="0" distL="0" distR="0" wp14:anchorId="4702473A" wp14:editId="320D9902">
            <wp:extent cx="2628900" cy="261006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q_pdbs_and_SNV_summary__1KG.jpg"/>
                    <pic:cNvPicPr/>
                  </pic:nvPicPr>
                  <pic:blipFill>
                    <a:blip r:embed="rId7">
                      <a:extLst>
                        <a:ext uri="{28A0092B-C50C-407E-A947-70E740481C1C}">
                          <a14:useLocalDpi xmlns:a14="http://schemas.microsoft.com/office/drawing/2010/main" val="0"/>
                        </a:ext>
                      </a:extLst>
                    </a:blip>
                    <a:stretch>
                      <a:fillRect/>
                    </a:stretch>
                  </pic:blipFill>
                  <pic:spPr>
                    <a:xfrm>
                      <a:off x="0" y="0"/>
                      <a:ext cx="2629322" cy="2610481"/>
                    </a:xfrm>
                    <a:prstGeom prst="rect">
                      <a:avLst/>
                    </a:prstGeom>
                  </pic:spPr>
                </pic:pic>
              </a:graphicData>
            </a:graphic>
          </wp:inline>
        </w:drawing>
      </w:r>
    </w:p>
    <w:p w14:paraId="1A6CD52C" w14:textId="164F1496" w:rsidR="00BC6549" w:rsidRPr="00EC41C7" w:rsidRDefault="00BC6549" w:rsidP="00BC6549">
      <w:pPr>
        <w:spacing w:line="360" w:lineRule="auto"/>
        <w:rPr>
          <w:rFonts w:ascii="Arial Black" w:hAnsi="Arial Black"/>
          <w:b/>
          <w:sz w:val="28"/>
          <w:szCs w:val="28"/>
          <w:u w:val="single"/>
        </w:rPr>
      </w:pPr>
      <w:r>
        <w:rPr>
          <w:rFonts w:ascii="Arial Black" w:hAnsi="Arial Black"/>
          <w:b/>
          <w:sz w:val="28"/>
          <w:szCs w:val="28"/>
          <w:u w:val="single"/>
        </w:rPr>
        <w:t>Figure S3</w:t>
      </w:r>
    </w:p>
    <w:p w14:paraId="33BD9491" w14:textId="0451BDF7" w:rsidR="00BC6549" w:rsidRDefault="00BC6549" w:rsidP="00BC6549">
      <w:pPr>
        <w:spacing w:line="360" w:lineRule="auto"/>
        <w:rPr>
          <w:b/>
          <w:bCs/>
        </w:rPr>
      </w:pPr>
      <w:r>
        <w:rPr>
          <w:b/>
          <w:bCs/>
        </w:rPr>
        <w:t>Figure S3:  Frequency chart of the number of ExAC SNVs against the # of unique proteins.</w:t>
      </w:r>
    </w:p>
    <w:p w14:paraId="1A80EEDB" w14:textId="1551FEFF" w:rsidR="00BC6549" w:rsidRDefault="00BC6549" w:rsidP="009230F4">
      <w:pPr>
        <w:spacing w:line="360" w:lineRule="auto"/>
        <w:rPr>
          <w:rFonts w:ascii="Arial Black" w:hAnsi="Arial Black"/>
          <w:b/>
          <w:sz w:val="32"/>
          <w:szCs w:val="32"/>
          <w:u w:val="single"/>
        </w:rPr>
      </w:pPr>
      <w:r>
        <w:rPr>
          <w:rFonts w:ascii="Arial Black" w:hAnsi="Arial Black"/>
          <w:b/>
          <w:noProof/>
          <w:sz w:val="32"/>
          <w:szCs w:val="32"/>
          <w:u w:val="single"/>
        </w:rPr>
        <w:drawing>
          <wp:inline distT="0" distB="0" distL="0" distR="0" wp14:anchorId="05B03044" wp14:editId="4070DD5E">
            <wp:extent cx="2743200" cy="273629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q_pdbs_and_SNV_summary__ExAC.jpg"/>
                    <pic:cNvPicPr/>
                  </pic:nvPicPr>
                  <pic:blipFill>
                    <a:blip r:embed="rId8">
                      <a:extLst>
                        <a:ext uri="{28A0092B-C50C-407E-A947-70E740481C1C}">
                          <a14:useLocalDpi xmlns:a14="http://schemas.microsoft.com/office/drawing/2010/main" val="0"/>
                        </a:ext>
                      </a:extLst>
                    </a:blip>
                    <a:stretch>
                      <a:fillRect/>
                    </a:stretch>
                  </pic:blipFill>
                  <pic:spPr>
                    <a:xfrm>
                      <a:off x="0" y="0"/>
                      <a:ext cx="2743574" cy="2736664"/>
                    </a:xfrm>
                    <a:prstGeom prst="rect">
                      <a:avLst/>
                    </a:prstGeom>
                  </pic:spPr>
                </pic:pic>
              </a:graphicData>
            </a:graphic>
          </wp:inline>
        </w:drawing>
      </w:r>
    </w:p>
    <w:p w14:paraId="6FCC05E6" w14:textId="77777777" w:rsidR="00BC6549" w:rsidRDefault="00BC6549" w:rsidP="009230F4">
      <w:pPr>
        <w:spacing w:line="360" w:lineRule="auto"/>
        <w:rPr>
          <w:rFonts w:ascii="Arial Black" w:hAnsi="Arial Black"/>
          <w:b/>
          <w:sz w:val="32"/>
          <w:szCs w:val="32"/>
          <w:u w:val="single"/>
        </w:rPr>
      </w:pPr>
    </w:p>
    <w:p w14:paraId="7FE8F01C" w14:textId="79DC6CA1" w:rsidR="00BC6549" w:rsidRPr="00EC41C7" w:rsidRDefault="00BC6549" w:rsidP="00BC6549">
      <w:pPr>
        <w:spacing w:line="360" w:lineRule="auto"/>
        <w:rPr>
          <w:rFonts w:ascii="Arial Black" w:hAnsi="Arial Black"/>
          <w:b/>
          <w:sz w:val="28"/>
          <w:szCs w:val="28"/>
          <w:u w:val="single"/>
        </w:rPr>
      </w:pPr>
      <w:r>
        <w:rPr>
          <w:rFonts w:ascii="Arial Black" w:hAnsi="Arial Black"/>
          <w:b/>
          <w:sz w:val="28"/>
          <w:szCs w:val="28"/>
          <w:u w:val="single"/>
        </w:rPr>
        <w:t>Figure S4</w:t>
      </w:r>
    </w:p>
    <w:p w14:paraId="265051AB" w14:textId="67320786" w:rsidR="00BC6549" w:rsidRDefault="00BC6549" w:rsidP="00BC6549">
      <w:pPr>
        <w:spacing w:line="360" w:lineRule="auto"/>
        <w:rPr>
          <w:b/>
          <w:bCs/>
        </w:rPr>
      </w:pPr>
      <w:r>
        <w:rPr>
          <w:b/>
          <w:bCs/>
        </w:rPr>
        <w:t xml:space="preserve">Figure S4: Frequency chart of the number of HGMD SNVs against the # </w:t>
      </w:r>
      <w:r w:rsidR="00D43BB6">
        <w:rPr>
          <w:b/>
          <w:bCs/>
        </w:rPr>
        <w:t xml:space="preserve">of unique </w:t>
      </w:r>
      <w:r>
        <w:rPr>
          <w:b/>
          <w:bCs/>
        </w:rPr>
        <w:t>proteins.</w:t>
      </w:r>
    </w:p>
    <w:p w14:paraId="44E92522" w14:textId="77777777" w:rsidR="00BC6549" w:rsidRDefault="00BC6549" w:rsidP="00BC6549">
      <w:pPr>
        <w:spacing w:line="360" w:lineRule="auto"/>
        <w:rPr>
          <w:b/>
          <w:bCs/>
        </w:rPr>
      </w:pPr>
    </w:p>
    <w:p w14:paraId="22B47493" w14:textId="0FAEEF20" w:rsidR="00BC6549" w:rsidRDefault="00BC6549" w:rsidP="009230F4">
      <w:pPr>
        <w:spacing w:line="360" w:lineRule="auto"/>
        <w:rPr>
          <w:rFonts w:ascii="Arial Black" w:hAnsi="Arial Black"/>
          <w:b/>
          <w:sz w:val="32"/>
          <w:szCs w:val="32"/>
          <w:u w:val="single"/>
        </w:rPr>
      </w:pPr>
      <w:r>
        <w:rPr>
          <w:rFonts w:ascii="Arial Black" w:hAnsi="Arial Black"/>
          <w:b/>
          <w:noProof/>
          <w:sz w:val="32"/>
          <w:szCs w:val="32"/>
          <w:u w:val="single"/>
        </w:rPr>
        <w:drawing>
          <wp:inline distT="0" distB="0" distL="0" distR="0" wp14:anchorId="4518516D" wp14:editId="3D1850FD">
            <wp:extent cx="2400300" cy="24193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q_pdbs_and_SNV_summary__HGMD__less_thn_100.jpg"/>
                    <pic:cNvPicPr/>
                  </pic:nvPicPr>
                  <pic:blipFill>
                    <a:blip r:embed="rId9">
                      <a:extLst>
                        <a:ext uri="{28A0092B-C50C-407E-A947-70E740481C1C}">
                          <a14:useLocalDpi xmlns:a14="http://schemas.microsoft.com/office/drawing/2010/main" val="0"/>
                        </a:ext>
                      </a:extLst>
                    </a:blip>
                    <a:stretch>
                      <a:fillRect/>
                    </a:stretch>
                  </pic:blipFill>
                  <pic:spPr>
                    <a:xfrm>
                      <a:off x="0" y="0"/>
                      <a:ext cx="2401569" cy="2420645"/>
                    </a:xfrm>
                    <a:prstGeom prst="rect">
                      <a:avLst/>
                    </a:prstGeom>
                  </pic:spPr>
                </pic:pic>
              </a:graphicData>
            </a:graphic>
          </wp:inline>
        </w:drawing>
      </w:r>
    </w:p>
    <w:p w14:paraId="010B2EE9" w14:textId="77777777" w:rsidR="00BC6549" w:rsidRDefault="00BC6549" w:rsidP="009230F4">
      <w:pPr>
        <w:spacing w:line="360" w:lineRule="auto"/>
        <w:rPr>
          <w:rFonts w:ascii="Arial Black" w:hAnsi="Arial Black"/>
          <w:b/>
          <w:sz w:val="32"/>
          <w:szCs w:val="32"/>
          <w:u w:val="single"/>
        </w:rPr>
      </w:pPr>
    </w:p>
    <w:p w14:paraId="6F964FDD" w14:textId="77777777" w:rsidR="0039137D" w:rsidRDefault="0039137D" w:rsidP="009230F4">
      <w:pPr>
        <w:spacing w:line="360" w:lineRule="auto"/>
        <w:rPr>
          <w:rFonts w:ascii="Arial Black" w:hAnsi="Arial Black"/>
          <w:b/>
          <w:sz w:val="32"/>
          <w:szCs w:val="32"/>
          <w:u w:val="single"/>
        </w:rPr>
      </w:pPr>
    </w:p>
    <w:p w14:paraId="0F47D74A" w14:textId="11691883" w:rsidR="008529A2" w:rsidRPr="00EC41C7" w:rsidRDefault="008529A2" w:rsidP="008529A2">
      <w:pPr>
        <w:spacing w:line="360" w:lineRule="auto"/>
        <w:rPr>
          <w:rFonts w:ascii="Arial Black" w:hAnsi="Arial Black"/>
          <w:b/>
          <w:sz w:val="28"/>
          <w:szCs w:val="28"/>
          <w:u w:val="single"/>
        </w:rPr>
      </w:pPr>
      <w:r>
        <w:rPr>
          <w:rFonts w:ascii="Arial Black" w:hAnsi="Arial Black"/>
          <w:b/>
          <w:sz w:val="28"/>
          <w:szCs w:val="28"/>
          <w:u w:val="single"/>
        </w:rPr>
        <w:t>Figure S5</w:t>
      </w:r>
    </w:p>
    <w:p w14:paraId="521AFB03" w14:textId="7C43E243" w:rsidR="008529A2" w:rsidRDefault="008529A2" w:rsidP="008529A2">
      <w:pPr>
        <w:spacing w:line="360" w:lineRule="auto"/>
        <w:rPr>
          <w:b/>
          <w:bCs/>
        </w:rPr>
      </w:pPr>
      <w:r>
        <w:rPr>
          <w:b/>
          <w:bCs/>
        </w:rPr>
        <w:t>Figure S4: Comparison of frustration changes for circular SNVs impacting PDB structures</w:t>
      </w:r>
    </w:p>
    <w:p w14:paraId="7482D5FB" w14:textId="2934507D" w:rsidR="0039137D" w:rsidRDefault="008529A2" w:rsidP="009230F4">
      <w:pPr>
        <w:spacing w:line="360" w:lineRule="auto"/>
        <w:rPr>
          <w:rFonts w:ascii="Arial Black" w:hAnsi="Arial Black"/>
          <w:b/>
          <w:sz w:val="32"/>
          <w:szCs w:val="32"/>
          <w:u w:val="single"/>
        </w:rPr>
      </w:pPr>
      <w:r>
        <w:rPr>
          <w:rFonts w:ascii="Arial Black" w:hAnsi="Arial Black"/>
          <w:b/>
          <w:noProof/>
          <w:sz w:val="32"/>
          <w:szCs w:val="32"/>
          <w:u w:val="single"/>
        </w:rPr>
        <w:drawing>
          <wp:inline distT="0" distB="0" distL="0" distR="0" wp14:anchorId="570097B0" wp14:editId="04982B24">
            <wp:extent cx="6060034" cy="1423126"/>
            <wp:effectExtent l="0" t="0" r="1079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entation1.pdf"/>
                    <pic:cNvPicPr/>
                  </pic:nvPicPr>
                  <pic:blipFill>
                    <a:blip r:embed="rId10">
                      <a:extLst>
                        <a:ext uri="{28A0092B-C50C-407E-A947-70E740481C1C}">
                          <a14:useLocalDpi xmlns:a14="http://schemas.microsoft.com/office/drawing/2010/main" val="0"/>
                        </a:ext>
                      </a:extLst>
                    </a:blip>
                    <a:stretch>
                      <a:fillRect/>
                    </a:stretch>
                  </pic:blipFill>
                  <pic:spPr>
                    <a:xfrm>
                      <a:off x="0" y="0"/>
                      <a:ext cx="6060809" cy="1423308"/>
                    </a:xfrm>
                    <a:prstGeom prst="rect">
                      <a:avLst/>
                    </a:prstGeom>
                  </pic:spPr>
                </pic:pic>
              </a:graphicData>
            </a:graphic>
          </wp:inline>
        </w:drawing>
      </w:r>
    </w:p>
    <w:p w14:paraId="5A57F265" w14:textId="77777777" w:rsidR="0039137D" w:rsidRDefault="0039137D" w:rsidP="009230F4">
      <w:pPr>
        <w:spacing w:line="360" w:lineRule="auto"/>
        <w:rPr>
          <w:rFonts w:ascii="Arial Black" w:hAnsi="Arial Black"/>
          <w:b/>
          <w:sz w:val="32"/>
          <w:szCs w:val="32"/>
          <w:u w:val="single"/>
        </w:rPr>
      </w:pPr>
    </w:p>
    <w:p w14:paraId="6C911A96" w14:textId="77777777" w:rsidR="0039137D" w:rsidRDefault="0039137D" w:rsidP="009230F4">
      <w:pPr>
        <w:spacing w:line="360" w:lineRule="auto"/>
        <w:rPr>
          <w:rFonts w:ascii="Arial Black" w:hAnsi="Arial Black"/>
          <w:b/>
          <w:sz w:val="32"/>
          <w:szCs w:val="32"/>
          <w:u w:val="single"/>
        </w:rPr>
      </w:pPr>
    </w:p>
    <w:p w14:paraId="1EF0567E" w14:textId="58DBA3FE" w:rsidR="00EA0B8F" w:rsidRPr="0075143D" w:rsidRDefault="00573C42" w:rsidP="00EA0B8F">
      <w:pPr>
        <w:spacing w:line="360" w:lineRule="auto"/>
        <w:rPr>
          <w:rFonts w:ascii="Arial Black" w:hAnsi="Arial Black"/>
          <w:b/>
          <w:sz w:val="28"/>
          <w:szCs w:val="28"/>
          <w:u w:val="single"/>
        </w:rPr>
      </w:pPr>
      <w:r w:rsidRPr="0075143D">
        <w:rPr>
          <w:rFonts w:ascii="Arial Black" w:hAnsi="Arial Black"/>
          <w:b/>
          <w:sz w:val="28"/>
          <w:szCs w:val="28"/>
          <w:u w:val="single"/>
        </w:rPr>
        <w:t>Figure S6</w:t>
      </w:r>
    </w:p>
    <w:p w14:paraId="0532DE44" w14:textId="4148F15E" w:rsidR="00EA0B8F" w:rsidRPr="00F4026B" w:rsidRDefault="00EA0B8F" w:rsidP="00EA0B8F">
      <w:pPr>
        <w:spacing w:line="360" w:lineRule="auto"/>
        <w:rPr>
          <w:b/>
          <w:bCs/>
        </w:rPr>
      </w:pPr>
      <w:r>
        <w:rPr>
          <w:b/>
          <w:bCs/>
        </w:rPr>
        <w:t>Figure S6: Empirical distribution to identify deleterious SNVs</w:t>
      </w:r>
    </w:p>
    <w:p w14:paraId="1FE1780E" w14:textId="5CEA04AA" w:rsidR="00EA0B8F" w:rsidRDefault="00EA0B8F" w:rsidP="009230F4">
      <w:pPr>
        <w:spacing w:line="360" w:lineRule="auto"/>
        <w:rPr>
          <w:rFonts w:ascii="Arial Black" w:hAnsi="Arial Black"/>
          <w:b/>
          <w:sz w:val="32"/>
          <w:szCs w:val="32"/>
          <w:u w:val="single"/>
        </w:rPr>
      </w:pPr>
      <w:r>
        <w:rPr>
          <w:rFonts w:ascii="Arial Black" w:hAnsi="Arial Black"/>
          <w:b/>
          <w:noProof/>
          <w:sz w:val="32"/>
          <w:szCs w:val="32"/>
          <w:u w:val="single"/>
        </w:rPr>
        <w:drawing>
          <wp:inline distT="0" distB="0" distL="0" distR="0" wp14:anchorId="7B852E13" wp14:editId="5FE70ED4">
            <wp:extent cx="5486400" cy="3465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nsities_v2.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465195"/>
                    </a:xfrm>
                    <a:prstGeom prst="rect">
                      <a:avLst/>
                    </a:prstGeom>
                  </pic:spPr>
                </pic:pic>
              </a:graphicData>
            </a:graphic>
          </wp:inline>
        </w:drawing>
      </w:r>
    </w:p>
    <w:p w14:paraId="55FCA478" w14:textId="1404E7FC" w:rsidR="00F4026B" w:rsidRPr="0075143D" w:rsidRDefault="00573C42" w:rsidP="00F4026B">
      <w:pPr>
        <w:spacing w:line="360" w:lineRule="auto"/>
        <w:rPr>
          <w:rFonts w:ascii="Arial Black" w:hAnsi="Arial Black"/>
          <w:b/>
          <w:sz w:val="28"/>
          <w:szCs w:val="28"/>
          <w:u w:val="single"/>
        </w:rPr>
      </w:pPr>
      <w:r w:rsidRPr="0075143D">
        <w:rPr>
          <w:rFonts w:ascii="Arial Black" w:hAnsi="Arial Black"/>
          <w:b/>
          <w:sz w:val="28"/>
          <w:szCs w:val="28"/>
          <w:u w:val="single"/>
        </w:rPr>
        <w:t>Figure S7</w:t>
      </w:r>
    </w:p>
    <w:p w14:paraId="58126D6C" w14:textId="2D14A7F4" w:rsidR="00F4026B" w:rsidRDefault="00EA0B8F" w:rsidP="009230F4">
      <w:pPr>
        <w:spacing w:line="360" w:lineRule="auto"/>
        <w:rPr>
          <w:b/>
          <w:bCs/>
        </w:rPr>
      </w:pPr>
      <w:r>
        <w:rPr>
          <w:b/>
          <w:bCs/>
        </w:rPr>
        <w:t xml:space="preserve">Figure </w:t>
      </w:r>
      <w:r w:rsidR="00573C42">
        <w:rPr>
          <w:b/>
          <w:bCs/>
        </w:rPr>
        <w:t>S7</w:t>
      </w:r>
      <w:r w:rsidR="00F4026B">
        <w:rPr>
          <w:b/>
          <w:bCs/>
        </w:rPr>
        <w:t>: Example of False negatively annotated HGMD variants mapping onto protein structure by Polyphen2 &amp; SIFT</w:t>
      </w:r>
    </w:p>
    <w:p w14:paraId="07612F0B" w14:textId="77777777" w:rsidR="00BC76A8" w:rsidRPr="00F4026B" w:rsidRDefault="00BC76A8" w:rsidP="009230F4">
      <w:pPr>
        <w:spacing w:line="360" w:lineRule="auto"/>
        <w:rPr>
          <w:b/>
          <w:bCs/>
        </w:rPr>
      </w:pPr>
    </w:p>
    <w:p w14:paraId="5ED57FB9" w14:textId="55D6EA67" w:rsidR="007F0FBA" w:rsidRDefault="00BC76A8" w:rsidP="00BB6B58">
      <w:pPr>
        <w:spacing w:line="360" w:lineRule="auto"/>
        <w:rPr>
          <w:rFonts w:ascii="Arial Black" w:hAnsi="Arial Black"/>
          <w:b/>
          <w:sz w:val="32"/>
          <w:szCs w:val="32"/>
          <w:u w:val="single"/>
        </w:rPr>
      </w:pPr>
      <w:r>
        <w:rPr>
          <w:rFonts w:ascii="Arial Black" w:hAnsi="Arial Black"/>
          <w:b/>
          <w:noProof/>
          <w:sz w:val="32"/>
          <w:szCs w:val="32"/>
          <w:u w:val="single"/>
        </w:rPr>
        <w:drawing>
          <wp:inline distT="0" distB="0" distL="0" distR="0" wp14:anchorId="2197FE55" wp14:editId="59630FB0">
            <wp:extent cx="5486400" cy="1358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v4s_highlight_good_case.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1358265"/>
                    </a:xfrm>
                    <a:prstGeom prst="rect">
                      <a:avLst/>
                    </a:prstGeom>
                  </pic:spPr>
                </pic:pic>
              </a:graphicData>
            </a:graphic>
          </wp:inline>
        </w:drawing>
      </w:r>
    </w:p>
    <w:p w14:paraId="3F91C2DC" w14:textId="55ED45EA" w:rsidR="007F0FBA" w:rsidRDefault="007F0FBA" w:rsidP="00BB6B58">
      <w:pPr>
        <w:spacing w:line="360" w:lineRule="auto"/>
        <w:rPr>
          <w:rFonts w:ascii="Arial Black" w:hAnsi="Arial Black"/>
          <w:b/>
          <w:sz w:val="32"/>
          <w:szCs w:val="32"/>
          <w:u w:val="single"/>
        </w:rPr>
      </w:pPr>
      <w:r>
        <w:rPr>
          <w:rFonts w:ascii="Arial Black" w:hAnsi="Arial Black"/>
          <w:b/>
          <w:sz w:val="32"/>
          <w:szCs w:val="32"/>
          <w:u w:val="single"/>
        </w:rPr>
        <w:t>Reference</w:t>
      </w:r>
    </w:p>
    <w:p w14:paraId="0922F923" w14:textId="1DBC60AD" w:rsidR="007F0FBA" w:rsidRPr="007F0FBA" w:rsidRDefault="007F0FBA" w:rsidP="007F0FBA">
      <w:pPr>
        <w:widowControl w:val="0"/>
        <w:autoSpaceDE w:val="0"/>
        <w:autoSpaceDN w:val="0"/>
        <w:adjustRightInd w:val="0"/>
        <w:spacing w:line="360" w:lineRule="auto"/>
        <w:ind w:left="640" w:hanging="640"/>
        <w:rPr>
          <w:noProof/>
          <w:sz w:val="22"/>
          <w:szCs w:val="22"/>
        </w:rPr>
      </w:pPr>
      <w:r>
        <w:rPr>
          <w:rFonts w:ascii="Arial Black" w:hAnsi="Arial Black"/>
          <w:b/>
          <w:sz w:val="32"/>
          <w:szCs w:val="32"/>
          <w:u w:val="single"/>
        </w:rPr>
        <w:fldChar w:fldCharType="begin" w:fldLock="1"/>
      </w:r>
      <w:r>
        <w:rPr>
          <w:rFonts w:ascii="Arial Black" w:hAnsi="Arial Black"/>
          <w:b/>
          <w:sz w:val="32"/>
          <w:szCs w:val="32"/>
          <w:u w:val="single"/>
        </w:rPr>
        <w:instrText xml:space="preserve">ADDIN Mendeley Bibliography CSL_BIBLIOGRAPHY </w:instrText>
      </w:r>
      <w:r>
        <w:rPr>
          <w:rFonts w:ascii="Arial Black" w:hAnsi="Arial Black"/>
          <w:b/>
          <w:sz w:val="32"/>
          <w:szCs w:val="32"/>
          <w:u w:val="single"/>
        </w:rPr>
        <w:fldChar w:fldCharType="separate"/>
      </w:r>
      <w:r w:rsidRPr="007F0FBA">
        <w:rPr>
          <w:rFonts w:eastAsia="Times New Roman"/>
          <w:noProof/>
          <w:sz w:val="22"/>
          <w:szCs w:val="22"/>
        </w:rPr>
        <w:t xml:space="preserve">1. </w:t>
      </w:r>
      <w:r w:rsidRPr="007F0FBA">
        <w:rPr>
          <w:rFonts w:eastAsia="Times New Roman"/>
          <w:noProof/>
          <w:sz w:val="22"/>
          <w:szCs w:val="22"/>
        </w:rPr>
        <w:tab/>
        <w:t>Hourai Y, Akutsu T, Akiyama Y (2004) Optimizing substitution matrices by separating score distributio</w:t>
      </w:r>
      <w:bookmarkStart w:id="0" w:name="_GoBack"/>
      <w:bookmarkEnd w:id="0"/>
      <w:r w:rsidRPr="007F0FBA">
        <w:rPr>
          <w:rFonts w:eastAsia="Times New Roman"/>
          <w:noProof/>
          <w:sz w:val="22"/>
          <w:szCs w:val="22"/>
        </w:rPr>
        <w:t xml:space="preserve">ns. </w:t>
      </w:r>
      <w:r w:rsidRPr="007F0FBA">
        <w:rPr>
          <w:rFonts w:eastAsia="Times New Roman"/>
          <w:i/>
          <w:iCs/>
          <w:noProof/>
          <w:sz w:val="22"/>
          <w:szCs w:val="22"/>
        </w:rPr>
        <w:t>Bioinformatics</w:t>
      </w:r>
      <w:r w:rsidRPr="007F0FBA">
        <w:rPr>
          <w:rFonts w:eastAsia="Times New Roman"/>
          <w:noProof/>
          <w:sz w:val="22"/>
          <w:szCs w:val="22"/>
        </w:rPr>
        <w:t xml:space="preserve"> 20(6):863–73.</w:t>
      </w:r>
    </w:p>
    <w:p w14:paraId="0854BEC8" w14:textId="6AFA60C9" w:rsidR="007F0FBA" w:rsidRPr="00BB6B58" w:rsidRDefault="007F0FBA" w:rsidP="00BB6B58">
      <w:pPr>
        <w:spacing w:line="360" w:lineRule="auto"/>
        <w:rPr>
          <w:rFonts w:ascii="Arial Black" w:hAnsi="Arial Black"/>
          <w:b/>
          <w:sz w:val="32"/>
          <w:szCs w:val="32"/>
          <w:u w:val="single"/>
        </w:rPr>
      </w:pPr>
      <w:r>
        <w:rPr>
          <w:rFonts w:ascii="Arial Black" w:hAnsi="Arial Black"/>
          <w:b/>
          <w:sz w:val="32"/>
          <w:szCs w:val="32"/>
          <w:u w:val="single"/>
        </w:rPr>
        <w:fldChar w:fldCharType="end"/>
      </w:r>
    </w:p>
    <w:sectPr w:rsidR="007F0FBA" w:rsidRPr="00BB6B58" w:rsidSect="00B17F7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F960F" w14:textId="77777777" w:rsidR="003E34A7" w:rsidRDefault="003E34A7" w:rsidP="002919C4">
      <w:r>
        <w:separator/>
      </w:r>
    </w:p>
  </w:endnote>
  <w:endnote w:type="continuationSeparator" w:id="0">
    <w:p w14:paraId="63F14C59" w14:textId="77777777" w:rsidR="003E34A7" w:rsidRDefault="003E34A7" w:rsidP="00291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87934" w14:textId="77777777" w:rsidR="003E34A7" w:rsidRDefault="003E34A7" w:rsidP="002919C4">
      <w:r>
        <w:separator/>
      </w:r>
    </w:p>
  </w:footnote>
  <w:footnote w:type="continuationSeparator" w:id="0">
    <w:p w14:paraId="3869BE66" w14:textId="77777777" w:rsidR="003E34A7" w:rsidRDefault="003E34A7" w:rsidP="002919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A1F"/>
    <w:rsid w:val="0002614D"/>
    <w:rsid w:val="00145CCD"/>
    <w:rsid w:val="00246A1F"/>
    <w:rsid w:val="002919C4"/>
    <w:rsid w:val="003166BF"/>
    <w:rsid w:val="0039137D"/>
    <w:rsid w:val="003E34A7"/>
    <w:rsid w:val="00475AA1"/>
    <w:rsid w:val="00573C42"/>
    <w:rsid w:val="0058532D"/>
    <w:rsid w:val="005E740D"/>
    <w:rsid w:val="00666901"/>
    <w:rsid w:val="006B5D58"/>
    <w:rsid w:val="0075143D"/>
    <w:rsid w:val="00775D68"/>
    <w:rsid w:val="0079456D"/>
    <w:rsid w:val="007F0FBA"/>
    <w:rsid w:val="008529A2"/>
    <w:rsid w:val="008F56D1"/>
    <w:rsid w:val="009230F4"/>
    <w:rsid w:val="00930994"/>
    <w:rsid w:val="00936488"/>
    <w:rsid w:val="009D2AA5"/>
    <w:rsid w:val="00AE1268"/>
    <w:rsid w:val="00AF4B20"/>
    <w:rsid w:val="00B17F70"/>
    <w:rsid w:val="00B93F61"/>
    <w:rsid w:val="00BA5C80"/>
    <w:rsid w:val="00BB3E78"/>
    <w:rsid w:val="00BB6B58"/>
    <w:rsid w:val="00BC6549"/>
    <w:rsid w:val="00BC76A8"/>
    <w:rsid w:val="00C74B54"/>
    <w:rsid w:val="00CB39A6"/>
    <w:rsid w:val="00D0255D"/>
    <w:rsid w:val="00D43BB6"/>
    <w:rsid w:val="00E26224"/>
    <w:rsid w:val="00E36176"/>
    <w:rsid w:val="00E91B27"/>
    <w:rsid w:val="00EA0B8F"/>
    <w:rsid w:val="00EC41C7"/>
    <w:rsid w:val="00F4026B"/>
    <w:rsid w:val="00FF3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7E745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A1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6A1F"/>
    <w:pPr>
      <w:spacing w:before="100" w:beforeAutospacing="1" w:after="100" w:afterAutospacing="1"/>
    </w:pPr>
  </w:style>
  <w:style w:type="table" w:styleId="TableGrid">
    <w:name w:val="Table Grid"/>
    <w:basedOn w:val="TableNormal"/>
    <w:uiPriority w:val="59"/>
    <w:rsid w:val="00E361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2A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2AA5"/>
    <w:rPr>
      <w:rFonts w:ascii="Lucida Grande" w:hAnsi="Lucida Grande" w:cs="Lucida Grande"/>
      <w:sz w:val="18"/>
      <w:szCs w:val="18"/>
    </w:rPr>
  </w:style>
  <w:style w:type="paragraph" w:styleId="Header">
    <w:name w:val="header"/>
    <w:basedOn w:val="Normal"/>
    <w:link w:val="HeaderChar"/>
    <w:uiPriority w:val="99"/>
    <w:unhideWhenUsed/>
    <w:rsid w:val="002919C4"/>
    <w:pPr>
      <w:tabs>
        <w:tab w:val="center" w:pos="4680"/>
        <w:tab w:val="right" w:pos="9360"/>
      </w:tabs>
    </w:pPr>
  </w:style>
  <w:style w:type="character" w:customStyle="1" w:styleId="HeaderChar">
    <w:name w:val="Header Char"/>
    <w:basedOn w:val="DefaultParagraphFont"/>
    <w:link w:val="Header"/>
    <w:uiPriority w:val="99"/>
    <w:rsid w:val="002919C4"/>
    <w:rPr>
      <w:rFonts w:ascii="Times New Roman" w:hAnsi="Times New Roman" w:cs="Times New Roman"/>
    </w:rPr>
  </w:style>
  <w:style w:type="paragraph" w:styleId="Footer">
    <w:name w:val="footer"/>
    <w:basedOn w:val="Normal"/>
    <w:link w:val="FooterChar"/>
    <w:uiPriority w:val="99"/>
    <w:unhideWhenUsed/>
    <w:rsid w:val="002919C4"/>
    <w:pPr>
      <w:tabs>
        <w:tab w:val="center" w:pos="4680"/>
        <w:tab w:val="right" w:pos="9360"/>
      </w:tabs>
    </w:pPr>
  </w:style>
  <w:style w:type="character" w:customStyle="1" w:styleId="FooterChar">
    <w:name w:val="Footer Char"/>
    <w:basedOn w:val="DefaultParagraphFont"/>
    <w:link w:val="Footer"/>
    <w:uiPriority w:val="99"/>
    <w:rsid w:val="002919C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68982">
      <w:bodyDiv w:val="1"/>
      <w:marLeft w:val="0"/>
      <w:marRight w:val="0"/>
      <w:marTop w:val="0"/>
      <w:marBottom w:val="0"/>
      <w:divBdr>
        <w:top w:val="none" w:sz="0" w:space="0" w:color="auto"/>
        <w:left w:val="none" w:sz="0" w:space="0" w:color="auto"/>
        <w:bottom w:val="none" w:sz="0" w:space="0" w:color="auto"/>
        <w:right w:val="none" w:sz="0" w:space="0" w:color="auto"/>
      </w:divBdr>
    </w:div>
    <w:div w:id="11577677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7</Pages>
  <Words>1252</Words>
  <Characters>7140</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sushant</dc:creator>
  <cp:keywords/>
  <dc:description/>
  <cp:lastModifiedBy>Microsoft Office User</cp:lastModifiedBy>
  <cp:revision>29</cp:revision>
  <cp:lastPrinted>2016-04-18T18:23:00Z</cp:lastPrinted>
  <dcterms:created xsi:type="dcterms:W3CDTF">2016-04-18T18:23:00Z</dcterms:created>
  <dcterms:modified xsi:type="dcterms:W3CDTF">2016-07-31T02:06:00Z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sushant.mishraz@gmail.com@www.mendeley.com</vt:lpwstr>
  </property>
  <property fmtid="{D5CDD505-2E9C-101B-9397-08002B2CF9AE}" pid="4" name="Mendeley Citation Style_1">
    <vt:lpwstr>http://www.zotero.org/styles/pnas</vt:lpwstr>
  </property>
</Properties>
</file>