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Proposed goal of paper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Provide uniform functional annotations for germline and somatic variants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Utilize these functional annotations to evaluate functional burdening of germline and somatic genomes across pan-cancer dataset.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Impact of genomic variation on TF binding sites (gain &amp; loss of TF motifs)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Impact of genomic variation on promoter and enhancer region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      3) Relating functional burdening with other genomic signatures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  <w:t xml:space="preserve">Replication timing, histone marks and mutation signatures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 xml:space="preserve">      4) Relating functional burdening for samples where gene expression data is available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u w:val="single"/>
          <w:rtl w:val="0"/>
        </w:rPr>
        <w:t xml:space="preserve">Proposed Analyses for the functional impact paper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functional impact of SNVs/Indels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FunSeq based scoring scheme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 xml:space="preserve">Comparing functional impact of germline and somatic mutations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Impact of SNVs on TF binding motifs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Landscape of TFBS alterations over all cancer types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kinases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Functional impact of mutations in protein kinases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functional impact of SVs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Scoring impact of large SV and CNVs in germline and cancer genome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latent driver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Identifying latent-driver(“deleterious” passenger) based on functional impact score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Identifying passenger mutations leading to differential gene expression based on RNA-Seq data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Quantifying negative selection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Closely looking at essential genes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aggregating statistics over given functional element( promoter, enhancer, ncRNA)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ab/>
        <w:tab/>
        <w:t xml:space="preserve">functional impact measure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</w:t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