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9AE4D" w14:textId="1FC3D0E3" w:rsidR="006265D3" w:rsidRPr="00A64246" w:rsidRDefault="006265D3">
      <w:pPr>
        <w:rPr>
          <w:b/>
        </w:rPr>
      </w:pPr>
      <w:bookmarkStart w:id="0" w:name="_GoBack"/>
      <w:bookmarkEnd w:id="0"/>
      <w:r w:rsidRPr="00A64246">
        <w:rPr>
          <w:b/>
        </w:rPr>
        <w:t>Introduction</w:t>
      </w:r>
    </w:p>
    <w:p w14:paraId="5EF82F4E" w14:textId="77777777" w:rsidR="006265D3" w:rsidRDefault="006265D3" w:rsidP="006265D3">
      <w:pPr>
        <w:pStyle w:val="ListParagraph"/>
      </w:pPr>
    </w:p>
    <w:p w14:paraId="723BB9F2" w14:textId="3EB78328" w:rsidR="006265D3" w:rsidRDefault="006265D3" w:rsidP="006265D3">
      <w:r>
        <w:t>###Cut out from Result 1###</w:t>
      </w:r>
    </w:p>
    <w:p w14:paraId="536D362A" w14:textId="3DE03866" w:rsidR="006265D3" w:rsidRDefault="006265D3" w:rsidP="006265D3">
      <w:r>
        <w:t>Multiple endogenous and environmental mutation processes shape the somatic mutation spectrum observed in cancers. Whole genome sequencing, by probing the entire genome, gives richer information on mutation landscape and minimizes the potential effect of clone selection.</w:t>
      </w:r>
    </w:p>
    <w:p w14:paraId="1C908F8D" w14:textId="77777777" w:rsidR="006265D3" w:rsidRDefault="006265D3"/>
    <w:p w14:paraId="70DFC3F3" w14:textId="77777777" w:rsidR="006265D3" w:rsidRDefault="006265D3"/>
    <w:p w14:paraId="3F3D0F0F" w14:textId="77777777" w:rsidR="006C3C0E" w:rsidRPr="00A64246" w:rsidRDefault="00CB02AE">
      <w:pPr>
        <w:rPr>
          <w:b/>
        </w:rPr>
      </w:pPr>
      <w:r w:rsidRPr="00A64246">
        <w:rPr>
          <w:b/>
        </w:rPr>
        <w:t>Results</w:t>
      </w:r>
    </w:p>
    <w:p w14:paraId="24777630" w14:textId="77777777" w:rsidR="00CB02AE" w:rsidRDefault="00CB02AE"/>
    <w:p w14:paraId="15FDCAB5" w14:textId="77777777" w:rsidR="005C052E" w:rsidRDefault="00F05BFF" w:rsidP="005C052E">
      <w:pPr>
        <w:pStyle w:val="ListParagraph"/>
        <w:numPr>
          <w:ilvl w:val="0"/>
          <w:numId w:val="1"/>
        </w:numPr>
      </w:pPr>
      <w:r>
        <w:t>M</w:t>
      </w:r>
      <w:r w:rsidR="00CB02AE">
        <w:t xml:space="preserve">utation </w:t>
      </w:r>
      <w:r>
        <w:t>spectrum of</w:t>
      </w:r>
      <w:r w:rsidR="00CB02AE">
        <w:t xml:space="preserve"> </w:t>
      </w:r>
      <w:r w:rsidR="005C052E">
        <w:t>PRCC</w:t>
      </w:r>
    </w:p>
    <w:p w14:paraId="44564F3B" w14:textId="77777777" w:rsidR="00C81AB6" w:rsidRDefault="00C81AB6" w:rsidP="00C81AB6">
      <w:pPr>
        <w:pStyle w:val="ListParagraph"/>
      </w:pPr>
    </w:p>
    <w:p w14:paraId="3E2A5D3B" w14:textId="0C514EE9" w:rsidR="004834EE" w:rsidRDefault="006265D3" w:rsidP="00F05BFF">
      <w:pPr>
        <w:pStyle w:val="ListParagraph"/>
      </w:pPr>
      <w:r>
        <w:t>W</w:t>
      </w:r>
      <w:r w:rsidR="00D2308A">
        <w:t>e summarized the mutation spectrum of 32 whole genome sequenced PRCC s</w:t>
      </w:r>
      <w:r w:rsidR="004834EE">
        <w:t xml:space="preserve">amples (Fig 1A). C&gt;T in </w:t>
      </w:r>
      <w:proofErr w:type="spellStart"/>
      <w:r w:rsidR="004834EE">
        <w:t>CpGs</w:t>
      </w:r>
      <w:proofErr w:type="spellEnd"/>
      <w:r w:rsidR="004834EE">
        <w:t xml:space="preserve"> shows</w:t>
      </w:r>
      <w:r w:rsidR="00D2308A">
        <w:t xml:space="preserve"> the highest mutation rate</w:t>
      </w:r>
      <w:r w:rsidR="00E02E38">
        <w:t>s</w:t>
      </w:r>
      <w:r w:rsidR="00D2308A">
        <w:t xml:space="preserve">, which </w:t>
      </w:r>
      <w:r w:rsidR="00E02E38">
        <w:t>are</w:t>
      </w:r>
      <w:r w:rsidR="00D2308A">
        <w:t xml:space="preserve"> roughly ten to twen</w:t>
      </w:r>
      <w:r w:rsidR="00E02E38">
        <w:t>ty folds higher than mutation rates</w:t>
      </w:r>
      <w:r w:rsidR="00D2308A">
        <w:t xml:space="preserve"> in other nucleotide context. </w:t>
      </w:r>
    </w:p>
    <w:p w14:paraId="7A476F41" w14:textId="77777777" w:rsidR="004834EE" w:rsidRDefault="004834EE" w:rsidP="00F05BFF">
      <w:pPr>
        <w:pStyle w:val="ListParagraph"/>
      </w:pPr>
    </w:p>
    <w:p w14:paraId="2184141D" w14:textId="77777777" w:rsidR="00D2308A" w:rsidRDefault="004834EE" w:rsidP="00F05BFF">
      <w:pPr>
        <w:pStyle w:val="ListParagraph"/>
      </w:pPr>
      <w:r>
        <w:t xml:space="preserve">We used principle components analysis (PCA) to reveal the factors that </w:t>
      </w:r>
      <w:r w:rsidR="009D1794">
        <w:t>explain the most</w:t>
      </w:r>
      <w:r w:rsidR="00101025">
        <w:t xml:space="preserve"> inter-sample variation</w:t>
      </w:r>
      <w:r>
        <w:t xml:space="preserve">. The first principle component (PC1) </w:t>
      </w:r>
      <w:r w:rsidR="009D1794">
        <w:t>explains 12.5% of the variation</w:t>
      </w:r>
      <w:r>
        <w:t xml:space="preserve">. The loadings on PC1 demonstrate C&gt;T in </w:t>
      </w:r>
      <w:proofErr w:type="spellStart"/>
      <w:r>
        <w:t>CpGs</w:t>
      </w:r>
      <w:proofErr w:type="spellEnd"/>
      <w:r>
        <w:t xml:space="preserve"> c</w:t>
      </w:r>
      <w:r w:rsidR="00101025">
        <w:t>ontributes the most to inter-sample</w:t>
      </w:r>
      <w:r>
        <w:t xml:space="preserve"> </w:t>
      </w:r>
      <w:r w:rsidR="00101025">
        <w:t xml:space="preserve">variation </w:t>
      </w:r>
      <w:r>
        <w:t xml:space="preserve">(Fig 1B). </w:t>
      </w:r>
      <w:r w:rsidR="00101025">
        <w:t xml:space="preserve">C&gt;T in </w:t>
      </w:r>
      <w:proofErr w:type="spellStart"/>
      <w:r w:rsidR="00101025">
        <w:t>CpGs</w:t>
      </w:r>
      <w:proofErr w:type="spellEnd"/>
      <w:r w:rsidR="00101025">
        <w:t xml:space="preserve"> reflects the spontaneous</w:t>
      </w:r>
      <w:r w:rsidR="00101025" w:rsidRPr="00101025">
        <w:t xml:space="preserve"> deamination of 5-methylcytosine</w:t>
      </w:r>
      <w:r w:rsidR="00101025">
        <w:t xml:space="preserve"> in </w:t>
      </w:r>
      <w:proofErr w:type="spellStart"/>
      <w:r w:rsidR="00101025">
        <w:t>CpGs</w:t>
      </w:r>
      <w:proofErr w:type="spellEnd"/>
      <w:r w:rsidR="00101025">
        <w:t>. We confirmed this by showing samples from methylation cluster 1 (</w:t>
      </w:r>
      <w:proofErr w:type="spellStart"/>
      <w:r w:rsidR="00101025">
        <w:t>hypermethylated</w:t>
      </w:r>
      <w:proofErr w:type="spellEnd"/>
      <w:r w:rsidR="00101025">
        <w:t xml:space="preserve"> group) have higher </w:t>
      </w:r>
      <w:r w:rsidR="009D1794">
        <w:t xml:space="preserve">scores on </w:t>
      </w:r>
      <w:r w:rsidR="00101025">
        <w:t>PC1 as well as higher C&gt;T mutation count</w:t>
      </w:r>
      <w:r w:rsidR="009D1794">
        <w:t>s</w:t>
      </w:r>
      <w:r w:rsidR="00101025">
        <w:t xml:space="preserve"> and rate</w:t>
      </w:r>
      <w:r w:rsidR="009D1794">
        <w:t>s</w:t>
      </w:r>
      <w:r w:rsidR="00101025">
        <w:t xml:space="preserve"> in </w:t>
      </w:r>
      <w:proofErr w:type="spellStart"/>
      <w:r w:rsidR="00101025">
        <w:t>CpGs</w:t>
      </w:r>
      <w:proofErr w:type="spellEnd"/>
      <w:r w:rsidR="00101025">
        <w:t xml:space="preserve"> (Fig 1C). Therefore, </w:t>
      </w:r>
      <w:r w:rsidR="00BA680F">
        <w:t>methylation status is the most prominent factor that shapes the mutation spectrums across patients.</w:t>
      </w:r>
    </w:p>
    <w:p w14:paraId="63046DFB" w14:textId="77777777" w:rsidR="00D2308A" w:rsidRDefault="00D2308A" w:rsidP="00F05BFF">
      <w:pPr>
        <w:pStyle w:val="ListParagraph"/>
      </w:pPr>
    </w:p>
    <w:p w14:paraId="4F9AC1C4" w14:textId="796F0402" w:rsidR="006265D3" w:rsidRDefault="006265D3" w:rsidP="00F05BFF">
      <w:pPr>
        <w:pStyle w:val="ListParagraph"/>
      </w:pPr>
      <w:r>
        <w:t>Using an in-house tool (more details to come) to identify mutation signatures in both WGS and WXS samples, we found</w:t>
      </w:r>
      <w:r w:rsidR="00D224D3">
        <w:t xml:space="preserve"> </w:t>
      </w:r>
      <w:r w:rsidR="00D224D3" w:rsidRPr="000D6EDE">
        <w:rPr>
          <w:highlight w:val="yellow"/>
        </w:rPr>
        <w:t xml:space="preserve">5/154 (3.25%) </w:t>
      </w:r>
      <w:r w:rsidR="000D6EDE">
        <w:rPr>
          <w:highlight w:val="yellow"/>
        </w:rPr>
        <w:t>[[</w:t>
      </w:r>
      <w:proofErr w:type="gramStart"/>
      <w:r w:rsidR="000D6EDE">
        <w:rPr>
          <w:highlight w:val="yellow"/>
        </w:rPr>
        <w:t>so</w:t>
      </w:r>
      <w:proofErr w:type="gramEnd"/>
      <w:r w:rsidR="000D6EDE">
        <w:rPr>
          <w:highlight w:val="yellow"/>
        </w:rPr>
        <w:t xml:space="preserve"> low? more on majority]]</w:t>
      </w:r>
      <w:r w:rsidR="000D6EDE">
        <w:t xml:space="preserve"> </w:t>
      </w:r>
      <w:r w:rsidR="002A7447">
        <w:t>samples</w:t>
      </w:r>
      <w:r w:rsidR="002A7447">
        <w:rPr>
          <w:rFonts w:hint="eastAsia"/>
          <w:lang w:eastAsia="zh-CN"/>
        </w:rPr>
        <w:t xml:space="preserve"> </w:t>
      </w:r>
      <w:r w:rsidR="00D224D3">
        <w:rPr>
          <w:lang w:eastAsia="zh-CN"/>
        </w:rPr>
        <w:t xml:space="preserve">that have at least one signature identified </w:t>
      </w:r>
      <w:r w:rsidR="00D224D3">
        <w:rPr>
          <w:rFonts w:hint="eastAsia"/>
          <w:lang w:eastAsia="zh-CN"/>
        </w:rPr>
        <w:t xml:space="preserve">using </w:t>
      </w:r>
      <w:r w:rsidR="002A7447">
        <w:rPr>
          <w:lang w:eastAsia="zh-CN"/>
        </w:rPr>
        <w:t>WXS</w:t>
      </w:r>
      <w:r w:rsidR="00D224D3">
        <w:rPr>
          <w:lang w:eastAsia="zh-CN"/>
        </w:rPr>
        <w:t xml:space="preserve"> data</w:t>
      </w:r>
      <w:r w:rsidR="002A7447">
        <w:t xml:space="preserve"> </w:t>
      </w:r>
      <w:r>
        <w:t xml:space="preserve">showed </w:t>
      </w:r>
      <w:r w:rsidR="00D224D3">
        <w:t>either signature 2 or</w:t>
      </w:r>
      <w:r>
        <w:t xml:space="preserve"> 1</w:t>
      </w:r>
      <w:r w:rsidR="00E02E38">
        <w:t>3</w:t>
      </w:r>
      <w:r>
        <w:t>.</w:t>
      </w:r>
      <w:r w:rsidR="00E02E38">
        <w:t xml:space="preserve"> Three samples show</w:t>
      </w:r>
      <w:r w:rsidR="00D224D3">
        <w:t xml:space="preserve"> both signature 2 and 13.</w:t>
      </w:r>
      <w:r>
        <w:t xml:space="preserve"> These two signatures are</w:t>
      </w:r>
      <w:r w:rsidR="00D224D3">
        <w:t xml:space="preserve"> linked with </w:t>
      </w:r>
      <w:proofErr w:type="spellStart"/>
      <w:r w:rsidR="00D224D3">
        <w:t>ApoBEC</w:t>
      </w:r>
      <w:proofErr w:type="spellEnd"/>
      <w:r w:rsidR="00D224D3">
        <w:t xml:space="preserve"> activities. </w:t>
      </w:r>
      <w:proofErr w:type="spellStart"/>
      <w:r w:rsidR="00FD5600">
        <w:t>ApoBEC</w:t>
      </w:r>
      <w:proofErr w:type="spellEnd"/>
      <w:r w:rsidR="00FD5600">
        <w:t xml:space="preserve"> mutation pattern enrichment </w:t>
      </w:r>
      <w:r w:rsidR="00E02E38">
        <w:t xml:space="preserve">analysis </w:t>
      </w:r>
      <w:r w:rsidR="00FD5600">
        <w:t>(See Method)</w:t>
      </w:r>
      <w:r w:rsidR="00E02E38">
        <w:t xml:space="preserve"> further confirms</w:t>
      </w:r>
      <w:r w:rsidR="00FD5600">
        <w:t xml:space="preserve"> the presence of </w:t>
      </w:r>
      <w:proofErr w:type="spellStart"/>
      <w:r w:rsidR="00FD5600">
        <w:t>ApoBEC</w:t>
      </w:r>
      <w:proofErr w:type="spellEnd"/>
      <w:r w:rsidR="00FD5600">
        <w:t xml:space="preserve"> activity in PRCC</w:t>
      </w:r>
      <w:r w:rsidR="00E02E38">
        <w:t xml:space="preserve"> </w:t>
      </w:r>
      <w:r w:rsidR="005954C9">
        <w:t>(Fig 4D)</w:t>
      </w:r>
      <w:r w:rsidR="00FD5600">
        <w:t xml:space="preserve">. The </w:t>
      </w:r>
      <w:proofErr w:type="spellStart"/>
      <w:r w:rsidR="00E02E38">
        <w:t>ApoBEC</w:t>
      </w:r>
      <w:proofErr w:type="spellEnd"/>
      <w:r w:rsidR="00E02E38">
        <w:t xml:space="preserve"> pattern enrichment fold correlates</w:t>
      </w:r>
      <w:r w:rsidR="00FD5600">
        <w:t xml:space="preserve"> well with the identified </w:t>
      </w:r>
      <w:proofErr w:type="spellStart"/>
      <w:r w:rsidR="00FD5600">
        <w:t>ApoBEC</w:t>
      </w:r>
      <w:proofErr w:type="spellEnd"/>
      <w:r w:rsidR="00FD5600">
        <w:t xml:space="preserve"> signatures percentage (Sp</w:t>
      </w:r>
      <w:r w:rsidR="001266AC">
        <w:t>earman’s correlation = 0.9). The</w:t>
      </w:r>
      <w:r w:rsidR="00E02E38">
        <w:t xml:space="preserve"> enrichment fold plot indicates</w:t>
      </w:r>
      <w:r w:rsidR="001266AC">
        <w:t xml:space="preserve"> potentially more samples influenced by </w:t>
      </w:r>
      <w:proofErr w:type="spellStart"/>
      <w:r w:rsidR="001266AC">
        <w:t>ApoBEC</w:t>
      </w:r>
      <w:proofErr w:type="spellEnd"/>
      <w:r w:rsidR="001266AC">
        <w:t xml:space="preserve"> activities. </w:t>
      </w:r>
      <w:r w:rsidR="00FD5600">
        <w:t>Due to low signature detecting power in sa</w:t>
      </w:r>
      <w:r w:rsidR="001266AC">
        <w:t xml:space="preserve">mples with low mutation count, we were not able to confidentially warrant </w:t>
      </w:r>
      <w:proofErr w:type="spellStart"/>
      <w:r w:rsidR="001266AC">
        <w:t>ApoBEC</w:t>
      </w:r>
      <w:proofErr w:type="spellEnd"/>
      <w:r w:rsidR="001266AC">
        <w:t xml:space="preserve"> signatures presence in all of them. </w:t>
      </w:r>
    </w:p>
    <w:p w14:paraId="12D1D452" w14:textId="77777777" w:rsidR="00FD2F26" w:rsidRDefault="00FD2F26" w:rsidP="00F05BFF">
      <w:pPr>
        <w:pStyle w:val="ListParagraph"/>
      </w:pPr>
    </w:p>
    <w:p w14:paraId="16CAF8BA" w14:textId="55D829DE" w:rsidR="00FD2F26" w:rsidRDefault="00FD2F26" w:rsidP="00F05BFF">
      <w:pPr>
        <w:pStyle w:val="ListParagraph"/>
      </w:pPr>
      <w:r>
        <w:t xml:space="preserve">Interestingly, although being considered to have similar cellular origin with PRCC, we could not detect </w:t>
      </w:r>
      <w:proofErr w:type="spellStart"/>
      <w:r>
        <w:t>ApoBEC</w:t>
      </w:r>
      <w:proofErr w:type="spellEnd"/>
      <w:r>
        <w:t xml:space="preserve"> activities in </w:t>
      </w:r>
      <w:proofErr w:type="spellStart"/>
      <w:r>
        <w:t>ccRCC</w:t>
      </w:r>
      <w:proofErr w:type="spellEnd"/>
      <w:r>
        <w:t xml:space="preserve">. This is in agreement with previous </w:t>
      </w:r>
      <w:r w:rsidR="005954C9">
        <w:t>studies (</w:t>
      </w:r>
      <w:r>
        <w:t xml:space="preserve">REF). </w:t>
      </w:r>
      <w:r w:rsidR="005954C9">
        <w:t>DISCUSSION?</w:t>
      </w:r>
    </w:p>
    <w:p w14:paraId="3BFC2108" w14:textId="77777777" w:rsidR="00D2308A" w:rsidRDefault="00D2308A" w:rsidP="00F05BFF">
      <w:pPr>
        <w:pStyle w:val="ListParagraph"/>
      </w:pPr>
    </w:p>
    <w:p w14:paraId="528C0A7E" w14:textId="77777777" w:rsidR="00F05BFF" w:rsidRDefault="00D2308A" w:rsidP="00F05BFF">
      <w:pPr>
        <w:pStyle w:val="ListParagraph"/>
      </w:pPr>
      <w:r>
        <w:lastRenderedPageBreak/>
        <w:t xml:space="preserve"> </w:t>
      </w:r>
    </w:p>
    <w:p w14:paraId="617B74C3" w14:textId="77777777" w:rsidR="005C052E" w:rsidRDefault="005C052E" w:rsidP="005C052E">
      <w:pPr>
        <w:pStyle w:val="ListParagraph"/>
        <w:numPr>
          <w:ilvl w:val="0"/>
          <w:numId w:val="1"/>
        </w:numPr>
      </w:pPr>
      <w:r>
        <w:t>M</w:t>
      </w:r>
      <w:r w:rsidR="00BA680F">
        <w:t xml:space="preserve">utations </w:t>
      </w:r>
      <w:r>
        <w:t>in non-coding region</w:t>
      </w:r>
    </w:p>
    <w:p w14:paraId="583B59BF" w14:textId="77777777" w:rsidR="00BA680F" w:rsidRDefault="00BA680F" w:rsidP="00BA680F">
      <w:pPr>
        <w:ind w:left="720"/>
      </w:pPr>
    </w:p>
    <w:p w14:paraId="77EEC65B" w14:textId="32F9B1F2" w:rsidR="00BA680F" w:rsidRDefault="00BA680F" w:rsidP="00BA680F">
      <w:pPr>
        <w:ind w:left="720"/>
      </w:pPr>
      <w:r>
        <w:t>Mutations in non-coding region have been demonstrated to play a critical role in cancer. We ran FunSeq2 to identify potentially</w:t>
      </w:r>
      <w:r w:rsidR="006265D3">
        <w:t xml:space="preserve"> high-impact</w:t>
      </w:r>
      <w:r>
        <w:t xml:space="preserve"> non-coding </w:t>
      </w:r>
      <w:r w:rsidR="006265D3">
        <w:t xml:space="preserve">variants </w:t>
      </w:r>
      <w:r>
        <w:t xml:space="preserve">in PRCC. First, we identified a mutation hotspot on chromosome 1. 6/32 </w:t>
      </w:r>
      <w:r w:rsidR="005B11F3">
        <w:t>(18.8%)</w:t>
      </w:r>
      <w:r w:rsidR="00DE6034">
        <w:t xml:space="preserve"> samples have mutations within this</w:t>
      </w:r>
      <w:r w:rsidR="005B11F3">
        <w:t xml:space="preserve"> 6.5kb region</w:t>
      </w:r>
      <w:r w:rsidR="0049167A">
        <w:t xml:space="preserve"> (Fig 2A)</w:t>
      </w:r>
      <w:r w:rsidR="005B11F3">
        <w:t>. This hotspot locates at the upstream of ERRFI1 (</w:t>
      </w:r>
      <w:r w:rsidR="005B11F3" w:rsidRPr="005B11F3">
        <w:t>ER</w:t>
      </w:r>
      <w:r w:rsidR="005B11F3">
        <w:t>BB Receptor Feedback Inhibitor 1) and it overlaps with the predicted promoter</w:t>
      </w:r>
      <w:r w:rsidR="00DE6034">
        <w:t xml:space="preserve"> region</w:t>
      </w:r>
      <w:r w:rsidR="005B11F3">
        <w:t>. ERRFI1 is the negative regulator of EGFR family members including EGFR, HER2 and HER3. However, we didn’t observe statistically significant changes caus</w:t>
      </w:r>
      <w:r w:rsidR="00DE6034">
        <w:t>ed by mutations</w:t>
      </w:r>
      <w:r w:rsidR="005B11F3">
        <w:t xml:space="preserve"> in ERRFI1 </w:t>
      </w:r>
      <w:r w:rsidR="006265D3">
        <w:t xml:space="preserve">on </w:t>
      </w:r>
      <w:r w:rsidR="00DE6034">
        <w:t>m</w:t>
      </w:r>
      <w:r w:rsidR="005B11F3">
        <w:t xml:space="preserve">RNA expression level, protein level and </w:t>
      </w:r>
      <w:r w:rsidR="005B11F3" w:rsidRPr="005B11F3">
        <w:t>phosphorylation</w:t>
      </w:r>
      <w:r w:rsidR="005B11F3">
        <w:t xml:space="preserve"> level of EGFR, HER2 and HER3</w:t>
      </w:r>
      <w:r w:rsidR="00DE6034">
        <w:t xml:space="preserve"> </w:t>
      </w:r>
      <w:r w:rsidR="005B11F3">
        <w:t>(Supplements X)</w:t>
      </w:r>
      <w:proofErr w:type="gramStart"/>
      <w:r w:rsidR="005B11F3">
        <w:t>.</w:t>
      </w:r>
      <w:r w:rsidR="000D6EDE" w:rsidRPr="000D6EDE">
        <w:rPr>
          <w:highlight w:val="yellow"/>
        </w:rPr>
        <w:t>[</w:t>
      </w:r>
      <w:proofErr w:type="gramEnd"/>
      <w:r w:rsidR="000D6EDE" w:rsidRPr="000D6EDE">
        <w:rPr>
          <w:highlight w:val="yellow"/>
        </w:rPr>
        <w:t>[b/c too few samples]]</w:t>
      </w:r>
    </w:p>
    <w:p w14:paraId="1E3C8653" w14:textId="77777777" w:rsidR="005B11F3" w:rsidRDefault="005B11F3" w:rsidP="00BA680F">
      <w:pPr>
        <w:ind w:left="720"/>
      </w:pPr>
    </w:p>
    <w:p w14:paraId="12F9DBF9" w14:textId="202D047B" w:rsidR="005B11F3" w:rsidRDefault="005B11F3" w:rsidP="00BA680F">
      <w:pPr>
        <w:ind w:left="720"/>
      </w:pPr>
      <w:r>
        <w:t xml:space="preserve">We also observed one </w:t>
      </w:r>
      <w:r w:rsidR="0049167A">
        <w:t xml:space="preserve">mutation in MET promoter region in a type 1 PRCC sample (Fig 2B). This sample has no </w:t>
      </w:r>
      <w:proofErr w:type="spellStart"/>
      <w:r w:rsidR="0049167A">
        <w:t>non</w:t>
      </w:r>
      <w:r w:rsidR="0049167A" w:rsidRPr="0049167A">
        <w:t>synonymous</w:t>
      </w:r>
      <w:proofErr w:type="spellEnd"/>
      <w:r w:rsidR="00E846BC">
        <w:t xml:space="preserve"> mutation in MET gene but copy number gain of MET. </w:t>
      </w:r>
      <w:r w:rsidR="006265D3">
        <w:t xml:space="preserve">(The MET mRNA level </w:t>
      </w:r>
      <w:r w:rsidR="00DE6034">
        <w:t>is LOW)</w:t>
      </w:r>
    </w:p>
    <w:p w14:paraId="16788D51" w14:textId="77777777" w:rsidR="00BA680F" w:rsidRDefault="00BA680F" w:rsidP="00BA680F"/>
    <w:p w14:paraId="7BAA57B9" w14:textId="77777777" w:rsidR="00BA680F" w:rsidRDefault="00BA680F" w:rsidP="00BA680F"/>
    <w:p w14:paraId="50F4530F" w14:textId="77777777" w:rsidR="00DE6034" w:rsidRDefault="00DE6034" w:rsidP="00BA680F"/>
    <w:p w14:paraId="48235438" w14:textId="2F9548B2" w:rsidR="005C052E" w:rsidRDefault="00663CB7" w:rsidP="005C052E">
      <w:pPr>
        <w:pStyle w:val="ListParagraph"/>
        <w:numPr>
          <w:ilvl w:val="0"/>
          <w:numId w:val="1"/>
        </w:numPr>
      </w:pPr>
      <w:r>
        <w:t>Probing rs11762213</w:t>
      </w:r>
      <w:r w:rsidR="005C052E">
        <w:t xml:space="preserve"> </w:t>
      </w:r>
      <w:r>
        <w:t xml:space="preserve">in </w:t>
      </w:r>
      <w:r w:rsidR="005C052E">
        <w:t>PRCC</w:t>
      </w:r>
      <w:r>
        <w:t xml:space="preserve"> prognosis</w:t>
      </w:r>
    </w:p>
    <w:p w14:paraId="0E62C628" w14:textId="77777777" w:rsidR="00DE6034" w:rsidRDefault="00DE6034" w:rsidP="00DE6034">
      <w:pPr>
        <w:pStyle w:val="ListParagraph"/>
      </w:pPr>
    </w:p>
    <w:p w14:paraId="3559596A" w14:textId="5474A7DA" w:rsidR="007339ED" w:rsidRDefault="00E846BC" w:rsidP="00232C63">
      <w:pPr>
        <w:ind w:left="720"/>
      </w:pPr>
      <w:r>
        <w:t>A germline SNP, rs11762213, has been discovered to be able to predict recurrence and survival in RCC</w:t>
      </w:r>
      <w:r w:rsidR="00663CB7">
        <w:t xml:space="preserve">, mostly constituted by </w:t>
      </w:r>
      <w:proofErr w:type="spellStart"/>
      <w:r w:rsidR="008F43B5">
        <w:t>ccRCCs</w:t>
      </w:r>
      <w:proofErr w:type="spellEnd"/>
      <w:proofErr w:type="gramStart"/>
      <w:r w:rsidR="008F43B5">
        <w:t>.[</w:t>
      </w:r>
      <w:proofErr w:type="gramEnd"/>
      <w:r w:rsidR="008F43B5">
        <w:t>REF]</w:t>
      </w:r>
      <w:r>
        <w:t xml:space="preserve">. It </w:t>
      </w:r>
      <w:r w:rsidR="007339ED">
        <w:t>was</w:t>
      </w:r>
      <w:r>
        <w:t xml:space="preserve"> </w:t>
      </w:r>
      <w:r w:rsidR="007339ED">
        <w:t xml:space="preserve">later </w:t>
      </w:r>
      <w:r>
        <w:t xml:space="preserve">validated in </w:t>
      </w:r>
      <w:proofErr w:type="spellStart"/>
      <w:r>
        <w:t>ccRCC</w:t>
      </w:r>
      <w:proofErr w:type="spellEnd"/>
      <w:r>
        <w:t xml:space="preserve"> but not in PRCC</w:t>
      </w:r>
      <w:r w:rsidR="00232C63">
        <w:t xml:space="preserve"> [REF]</w:t>
      </w:r>
      <w:r>
        <w:t xml:space="preserve">. </w:t>
      </w:r>
      <w:r w:rsidR="00663CB7">
        <w:t xml:space="preserve">We would like to know whether </w:t>
      </w:r>
      <w:r w:rsidR="00232C63">
        <w:t>this SNP</w:t>
      </w:r>
      <w:r w:rsidR="00663CB7">
        <w:t xml:space="preserve"> has a prognostic effect</w:t>
      </w:r>
      <w:r w:rsidR="007339ED">
        <w:t xml:space="preserve"> in PRCC</w:t>
      </w:r>
      <w:r w:rsidR="00663CB7">
        <w:t>. U</w:t>
      </w:r>
      <w:r w:rsidR="007339ED">
        <w:t>sing whol</w:t>
      </w:r>
      <w:r w:rsidR="00663CB7">
        <w:t xml:space="preserve">e </w:t>
      </w:r>
      <w:proofErr w:type="spellStart"/>
      <w:r w:rsidR="00663CB7">
        <w:t>exome</w:t>
      </w:r>
      <w:proofErr w:type="spellEnd"/>
      <w:r w:rsidR="00663CB7">
        <w:t xml:space="preserve"> sequencing data from 202</w:t>
      </w:r>
      <w:r w:rsidR="007339ED">
        <w:t xml:space="preserve"> patients</w:t>
      </w:r>
      <w:r w:rsidR="00663CB7">
        <w:t>, we</w:t>
      </w:r>
      <w:r w:rsidR="007339ED">
        <w:t xml:space="preserve"> found </w:t>
      </w:r>
      <w:r w:rsidR="00663CB7">
        <w:t xml:space="preserve">12 patients </w:t>
      </w:r>
      <w:r w:rsidR="0075744F">
        <w:t>carry</w:t>
      </w:r>
      <w:r w:rsidR="00663CB7">
        <w:t xml:space="preserve"> one </w:t>
      </w:r>
      <w:r w:rsidR="0075744F">
        <w:t xml:space="preserve">risk </w:t>
      </w:r>
      <w:r w:rsidR="00663CB7">
        <w:t>allel</w:t>
      </w:r>
      <w:r w:rsidR="0075744F">
        <w:t>e</w:t>
      </w:r>
      <w:r w:rsidR="007339ED">
        <w:t xml:space="preserve"> of rs11</w:t>
      </w:r>
      <w:r w:rsidR="00663CB7">
        <w:t>762213 (G/A). No homozygous A/A</w:t>
      </w:r>
      <w:r w:rsidR="007339ED">
        <w:t xml:space="preserve"> was observed.</w:t>
      </w:r>
      <w:r w:rsidR="00232C63">
        <w:t xml:space="preserve"> </w:t>
      </w:r>
      <w:r w:rsidR="0075744F">
        <w:t>The cancer-specific survival is significantly worse in patients having the ri</w:t>
      </w:r>
      <w:r w:rsidR="00C80265">
        <w:t>sk allele (p &lt; 0.0</w:t>
      </w:r>
      <w:r w:rsidR="002E2A32">
        <w:t>3</w:t>
      </w:r>
      <w:r w:rsidR="00C80265">
        <w:rPr>
          <w:rFonts w:hint="eastAsia"/>
          <w:lang w:eastAsia="zh-CN"/>
        </w:rPr>
        <w:t>7</w:t>
      </w:r>
      <w:r w:rsidR="002E2A32">
        <w:t xml:space="preserve">, </w:t>
      </w:r>
      <w:proofErr w:type="spellStart"/>
      <w:r w:rsidR="00C80265">
        <w:rPr>
          <w:lang w:eastAsia="zh-CN"/>
        </w:rPr>
        <w:t>Peto</w:t>
      </w:r>
      <w:proofErr w:type="spellEnd"/>
      <w:r w:rsidR="00C80265">
        <w:rPr>
          <w:lang w:eastAsia="zh-CN"/>
        </w:rPr>
        <w:t xml:space="preserve"> &amp; </w:t>
      </w:r>
      <w:proofErr w:type="spellStart"/>
      <w:r w:rsidR="00C80265">
        <w:rPr>
          <w:lang w:eastAsia="zh-CN"/>
        </w:rPr>
        <w:t>Peto</w:t>
      </w:r>
      <w:proofErr w:type="spellEnd"/>
      <w:r w:rsidR="00C80265">
        <w:rPr>
          <w:lang w:eastAsia="zh-CN"/>
        </w:rPr>
        <w:t xml:space="preserve"> modification of the </w:t>
      </w:r>
      <w:proofErr w:type="spellStart"/>
      <w:r w:rsidR="00C80265">
        <w:rPr>
          <w:lang w:eastAsia="zh-CN"/>
        </w:rPr>
        <w:t>Gehan</w:t>
      </w:r>
      <w:proofErr w:type="spellEnd"/>
      <w:r w:rsidR="00C80265">
        <w:rPr>
          <w:lang w:eastAsia="zh-CN"/>
        </w:rPr>
        <w:t xml:space="preserve">-Wilcoxon </w:t>
      </w:r>
      <w:r w:rsidR="0075744F">
        <w:t xml:space="preserve">test). </w:t>
      </w:r>
    </w:p>
    <w:p w14:paraId="3FC8165E" w14:textId="77777777" w:rsidR="007339ED" w:rsidRDefault="007339ED" w:rsidP="00E846BC">
      <w:pPr>
        <w:ind w:left="720"/>
      </w:pPr>
    </w:p>
    <w:p w14:paraId="7A0EEC56" w14:textId="308A64F4" w:rsidR="007339ED" w:rsidRDefault="002E2A32" w:rsidP="00E846BC">
      <w:pPr>
        <w:ind w:left="720"/>
      </w:pPr>
      <w:r>
        <w:t xml:space="preserve">The minor allele (A) frequency in our dataset is 2.90%, slightly lower than the previous studies. However, among patients with African ancestry, the MAF </w:t>
      </w:r>
      <w:r w:rsidR="00A12C6A">
        <w:t xml:space="preserve">is </w:t>
      </w:r>
      <w:r>
        <w:t>3.95</w:t>
      </w:r>
      <w:r w:rsidR="00A12C6A">
        <w:t>%</w:t>
      </w:r>
      <w:r w:rsidR="00DE6BCC">
        <w:t xml:space="preserve">. This is </w:t>
      </w:r>
      <w:r w:rsidR="00EE4300">
        <w:t xml:space="preserve">higher than </w:t>
      </w:r>
      <w:r>
        <w:t>MAF</w:t>
      </w:r>
      <w:r w:rsidR="00EE4300">
        <w:t>s</w:t>
      </w:r>
      <w:r>
        <w:t xml:space="preserve"> </w:t>
      </w:r>
      <w:r w:rsidR="00DE6BCC">
        <w:t xml:space="preserve">previously </w:t>
      </w:r>
      <w:r>
        <w:t>observed</w:t>
      </w:r>
      <w:r w:rsidR="00A12C6A">
        <w:t xml:space="preserve"> in </w:t>
      </w:r>
      <w:r w:rsidR="00DE6BCC">
        <w:t xml:space="preserve">general </w:t>
      </w:r>
      <w:r w:rsidR="00A12C6A">
        <w:t xml:space="preserve">African </w:t>
      </w:r>
      <w:r w:rsidR="00DE6034">
        <w:t xml:space="preserve">populations </w:t>
      </w:r>
      <w:r w:rsidR="00DE6BCC">
        <w:t>in</w:t>
      </w:r>
      <w:r>
        <w:t xml:space="preserve"> </w:t>
      </w:r>
      <w:r w:rsidR="00EE4300">
        <w:t xml:space="preserve">both </w:t>
      </w:r>
      <w:r w:rsidR="00A12C6A">
        <w:t>1000 Genome phase 3 dataset</w:t>
      </w:r>
      <w:r w:rsidR="00EE4300">
        <w:t xml:space="preserve"> (0.2%) and the </w:t>
      </w:r>
      <w:proofErr w:type="spellStart"/>
      <w:r w:rsidR="00EE4300">
        <w:t>ExAC</w:t>
      </w:r>
      <w:proofErr w:type="spellEnd"/>
      <w:r w:rsidR="00EE4300">
        <w:t xml:space="preserve"> dataset</w:t>
      </w:r>
      <w:r w:rsidR="00C80265">
        <w:t xml:space="preserve"> </w:t>
      </w:r>
      <w:r w:rsidR="00EE4300">
        <w:t>(1.27%)</w:t>
      </w:r>
      <w:r w:rsidR="00A12C6A">
        <w:t>. This</w:t>
      </w:r>
      <w:r w:rsidR="00DE6034">
        <w:t xml:space="preserve"> i</w:t>
      </w:r>
      <w:r w:rsidR="00DE6BCC">
        <w:t>mplies</w:t>
      </w:r>
      <w:r w:rsidR="00EE4300">
        <w:t xml:space="preserve"> a possible </w:t>
      </w:r>
      <w:r w:rsidR="00DE6034">
        <w:t>effect</w:t>
      </w:r>
      <w:r w:rsidR="00EE4300">
        <w:t xml:space="preserve"> of rs11762213</w:t>
      </w:r>
      <w:r w:rsidR="00DE6034">
        <w:t xml:space="preserve"> </w:t>
      </w:r>
      <w:r w:rsidR="00A12C6A">
        <w:t xml:space="preserve">on PRCC incidence among African Americans that worth further investigation. </w:t>
      </w:r>
    </w:p>
    <w:p w14:paraId="298D976E" w14:textId="77777777" w:rsidR="00E846BC" w:rsidRDefault="00E846BC" w:rsidP="00E846BC"/>
    <w:p w14:paraId="37F717ED" w14:textId="77777777" w:rsidR="00E846BC" w:rsidRDefault="00E846BC" w:rsidP="00E846BC">
      <w:pPr>
        <w:rPr>
          <w:lang w:eastAsia="zh-CN"/>
        </w:rPr>
      </w:pPr>
    </w:p>
    <w:p w14:paraId="1D5DA515" w14:textId="302C5613" w:rsidR="005C052E" w:rsidRPr="000D6EDE" w:rsidRDefault="005C052E" w:rsidP="005C052E">
      <w:pPr>
        <w:pStyle w:val="ListParagraph"/>
        <w:numPr>
          <w:ilvl w:val="0"/>
          <w:numId w:val="1"/>
        </w:numPr>
        <w:rPr>
          <w:highlight w:val="yellow"/>
        </w:rPr>
      </w:pPr>
      <w:r>
        <w:t xml:space="preserve">Defective chromatin remodeler affects mutation </w:t>
      </w:r>
      <w:proofErr w:type="gramStart"/>
      <w:r>
        <w:t>landscape</w:t>
      </w:r>
      <w:r w:rsidR="000D6EDE" w:rsidRPr="000D6EDE">
        <w:rPr>
          <w:highlight w:val="yellow"/>
        </w:rPr>
        <w:t>[</w:t>
      </w:r>
      <w:proofErr w:type="gramEnd"/>
      <w:r w:rsidR="000D6EDE" w:rsidRPr="000D6EDE">
        <w:rPr>
          <w:highlight w:val="yellow"/>
        </w:rPr>
        <w:t>[move earlier &amp; integrate]]</w:t>
      </w:r>
    </w:p>
    <w:p w14:paraId="4C91EBB8" w14:textId="77777777" w:rsidR="006D006F" w:rsidRDefault="006D006F" w:rsidP="006D006F">
      <w:pPr>
        <w:pStyle w:val="ListParagraph"/>
      </w:pPr>
    </w:p>
    <w:p w14:paraId="2C92E322" w14:textId="77777777" w:rsidR="00A12C6A" w:rsidRDefault="00A12C6A" w:rsidP="00A12C6A">
      <w:pPr>
        <w:pStyle w:val="ListParagraph"/>
        <w:tabs>
          <w:tab w:val="left" w:pos="720"/>
        </w:tabs>
        <w:rPr>
          <w:lang w:eastAsia="zh-CN"/>
        </w:rPr>
      </w:pPr>
      <w:r>
        <w:t>Chromatin remodeling genes are frequently mutated in PRCC and many other cancers. We postulate defects in chromatin remodeling</w:t>
      </w:r>
      <w:r w:rsidR="00F62A50">
        <w:t xml:space="preserve"> cause </w:t>
      </w:r>
      <w:proofErr w:type="spellStart"/>
      <w:r>
        <w:t>dy</w:t>
      </w:r>
      <w:r w:rsidR="00F62A50">
        <w:t>sregulation</w:t>
      </w:r>
      <w:proofErr w:type="spellEnd"/>
      <w:r w:rsidR="00F62A50">
        <w:t xml:space="preserve"> of chromatin status, which further changes the mutation landscape. To test this hypothesis, we calculated the number of mutations in </w:t>
      </w:r>
      <w:proofErr w:type="spellStart"/>
      <w:r w:rsidR="00F62A50">
        <w:t>DNase</w:t>
      </w:r>
      <w:proofErr w:type="spellEnd"/>
      <w:r w:rsidR="00F62A50">
        <w:t xml:space="preserve"> I hypersensitive site (DHS) as defined by HEK293 (human embryonic kidney). Samples with non-silent mutations in eleven chromatin remodeling genes show higher mutation counts in DHS region (p &lt; 0.005) but not in the total mutation count</w:t>
      </w:r>
      <w:r w:rsidR="00DE6034">
        <w:t>s</w:t>
      </w:r>
      <w:r w:rsidR="00F62A50">
        <w:t xml:space="preserve"> (p &gt; 0.05).</w:t>
      </w:r>
    </w:p>
    <w:p w14:paraId="221926B8" w14:textId="77777777" w:rsidR="00F86E36" w:rsidRDefault="00F86E36" w:rsidP="00A12C6A">
      <w:pPr>
        <w:pStyle w:val="ListParagraph"/>
        <w:tabs>
          <w:tab w:val="left" w:pos="720"/>
        </w:tabs>
        <w:rPr>
          <w:lang w:eastAsia="zh-CN"/>
        </w:rPr>
      </w:pPr>
    </w:p>
    <w:p w14:paraId="2885EA70" w14:textId="0AFFB00E" w:rsidR="00F86E36" w:rsidRPr="00A64246" w:rsidRDefault="00F86E36" w:rsidP="00F86E36">
      <w:pPr>
        <w:tabs>
          <w:tab w:val="left" w:pos="720"/>
        </w:tabs>
        <w:rPr>
          <w:b/>
          <w:lang w:eastAsia="zh-CN"/>
        </w:rPr>
      </w:pPr>
      <w:r w:rsidRPr="00A64246">
        <w:rPr>
          <w:rFonts w:hint="eastAsia"/>
          <w:b/>
          <w:lang w:eastAsia="zh-CN"/>
        </w:rPr>
        <w:t>Metho</w:t>
      </w:r>
      <w:r w:rsidR="00A64246">
        <w:rPr>
          <w:b/>
          <w:lang w:eastAsia="zh-CN"/>
        </w:rPr>
        <w:t>ds</w:t>
      </w:r>
    </w:p>
    <w:p w14:paraId="1F872457" w14:textId="77777777" w:rsidR="00F86E36" w:rsidRDefault="00F86E36" w:rsidP="00A12C6A">
      <w:pPr>
        <w:pStyle w:val="ListParagraph"/>
        <w:tabs>
          <w:tab w:val="left" w:pos="720"/>
        </w:tabs>
        <w:rPr>
          <w:lang w:eastAsia="zh-CN"/>
        </w:rPr>
      </w:pPr>
    </w:p>
    <w:p w14:paraId="28212490" w14:textId="2120EFAF" w:rsidR="00F86E36" w:rsidRPr="00F86E36" w:rsidRDefault="00F86E36" w:rsidP="00F86E36">
      <w:pPr>
        <w:tabs>
          <w:tab w:val="left" w:pos="720"/>
        </w:tabs>
        <w:rPr>
          <w:b/>
          <w:lang w:eastAsia="zh-CN"/>
        </w:rPr>
      </w:pPr>
      <w:r w:rsidRPr="00F86E36">
        <w:rPr>
          <w:b/>
          <w:lang w:eastAsia="zh-CN"/>
        </w:rPr>
        <w:tab/>
        <w:t>Testing rs11762213 on prognosis</w:t>
      </w:r>
    </w:p>
    <w:p w14:paraId="0DB24971" w14:textId="46765FFC" w:rsidR="00F86E36" w:rsidRDefault="00F86E36" w:rsidP="00F86E36">
      <w:pPr>
        <w:tabs>
          <w:tab w:val="left" w:pos="720"/>
        </w:tabs>
        <w:ind w:left="720"/>
        <w:rPr>
          <w:lang w:eastAsia="zh-CN"/>
        </w:rPr>
      </w:pPr>
      <w:r>
        <w:rPr>
          <w:lang w:eastAsia="zh-CN"/>
        </w:rPr>
        <w:tab/>
        <w:t xml:space="preserve">We downloaded PRCC whole </w:t>
      </w:r>
      <w:proofErr w:type="spellStart"/>
      <w:r>
        <w:rPr>
          <w:lang w:eastAsia="zh-CN"/>
        </w:rPr>
        <w:t>exome</w:t>
      </w:r>
      <w:proofErr w:type="spellEnd"/>
      <w:r>
        <w:rPr>
          <w:lang w:eastAsia="zh-CN"/>
        </w:rPr>
        <w:t xml:space="preserve"> sequencing</w:t>
      </w:r>
      <w:r w:rsidR="004A15AA">
        <w:rPr>
          <w:lang w:eastAsia="zh-CN"/>
        </w:rPr>
        <w:t>, germline</w:t>
      </w:r>
      <w:r>
        <w:rPr>
          <w:lang w:eastAsia="zh-CN"/>
        </w:rPr>
        <w:t xml:space="preserve"> SNV calling from TCGA Data Portal (</w:t>
      </w:r>
      <w:hyperlink r:id="rId6" w:history="1">
        <w:r w:rsidRPr="00EE3AC9">
          <w:rPr>
            <w:rStyle w:val="Hyperlink"/>
            <w:lang w:eastAsia="zh-CN"/>
          </w:rPr>
          <w:t>https://tcga-data.nci.nih.gov/tcga/tcgaDownload.jsp</w:t>
        </w:r>
      </w:hyperlink>
      <w:r>
        <w:rPr>
          <w:lang w:eastAsia="zh-CN"/>
        </w:rPr>
        <w:t xml:space="preserve">). </w:t>
      </w:r>
      <w:r w:rsidR="0075744F">
        <w:rPr>
          <w:lang w:eastAsia="zh-CN"/>
        </w:rPr>
        <w:t>Excluding criteria</w:t>
      </w:r>
      <w:r w:rsidR="004863AF">
        <w:rPr>
          <w:lang w:eastAsia="zh-CN"/>
        </w:rPr>
        <w:t>: “Follow-up days” not available</w:t>
      </w:r>
      <w:r w:rsidR="0075744F">
        <w:rPr>
          <w:lang w:eastAsia="zh-CN"/>
        </w:rPr>
        <w:t xml:space="preserve"> or </w:t>
      </w:r>
      <w:r w:rsidR="004863AF">
        <w:rPr>
          <w:lang w:eastAsia="zh-CN"/>
        </w:rPr>
        <w:t xml:space="preserve">identified as non-PRCC by </w:t>
      </w:r>
      <w:proofErr w:type="spellStart"/>
      <w:r w:rsidR="004863AF">
        <w:rPr>
          <w:lang w:eastAsia="zh-CN"/>
        </w:rPr>
        <w:t>histopathological</w:t>
      </w:r>
      <w:proofErr w:type="spellEnd"/>
      <w:r w:rsidR="004863AF">
        <w:rPr>
          <w:lang w:eastAsia="zh-CN"/>
        </w:rPr>
        <w:t xml:space="preserve"> review. </w:t>
      </w:r>
      <w:r w:rsidR="002B3BA9">
        <w:rPr>
          <w:lang w:eastAsia="zh-CN"/>
        </w:rPr>
        <w:t>In total, we included</w:t>
      </w:r>
      <w:r w:rsidR="0075744F">
        <w:rPr>
          <w:lang w:eastAsia="zh-CN"/>
        </w:rPr>
        <w:t xml:space="preserve"> 207</w:t>
      </w:r>
      <w:r w:rsidR="004A15AA">
        <w:rPr>
          <w:lang w:eastAsia="zh-CN"/>
        </w:rPr>
        <w:t xml:space="preserve"> </w:t>
      </w:r>
      <w:r w:rsidR="002B3BA9">
        <w:rPr>
          <w:lang w:eastAsia="zh-CN"/>
        </w:rPr>
        <w:t>patients in our analys</w:t>
      </w:r>
      <w:r w:rsidR="002B3BA9">
        <w:rPr>
          <w:rFonts w:hint="eastAsia"/>
          <w:lang w:eastAsia="zh-CN"/>
        </w:rPr>
        <w:t>es</w:t>
      </w:r>
      <w:r w:rsidR="002B3BA9">
        <w:rPr>
          <w:lang w:eastAsia="zh-CN"/>
        </w:rPr>
        <w:t>. The majority of samples, 158 out of 207, were supported by high-quality, curated SNV callings from two centers.</w:t>
      </w:r>
      <w:r w:rsidR="004B161A">
        <w:rPr>
          <w:lang w:eastAsia="zh-CN"/>
        </w:rPr>
        <w:t xml:space="preserve"> 100% genotype concordance rate was observed in s</w:t>
      </w:r>
      <w:r w:rsidR="002B3BA9">
        <w:rPr>
          <w:lang w:eastAsia="zh-CN"/>
        </w:rPr>
        <w:t>a</w:t>
      </w:r>
      <w:r w:rsidR="00663CB7">
        <w:rPr>
          <w:lang w:eastAsia="zh-CN"/>
        </w:rPr>
        <w:t>mples harbor the minor allele (A</w:t>
      </w:r>
      <w:r w:rsidR="004B161A">
        <w:rPr>
          <w:lang w:eastAsia="zh-CN"/>
        </w:rPr>
        <w:t>, 10 samples</w:t>
      </w:r>
      <w:r w:rsidR="002B3BA9">
        <w:rPr>
          <w:lang w:eastAsia="zh-CN"/>
        </w:rPr>
        <w:t>)</w:t>
      </w:r>
      <w:r w:rsidR="004B161A">
        <w:rPr>
          <w:lang w:eastAsia="zh-CN"/>
        </w:rPr>
        <w:t xml:space="preserve"> in germline</w:t>
      </w:r>
      <w:r w:rsidR="002B3BA9">
        <w:rPr>
          <w:lang w:eastAsia="zh-CN"/>
        </w:rPr>
        <w:t xml:space="preserve"> as well as </w:t>
      </w:r>
      <w:r w:rsidR="004B161A">
        <w:rPr>
          <w:lang w:eastAsia="zh-CN"/>
        </w:rPr>
        <w:t>samples with homozygous</w:t>
      </w:r>
      <w:r w:rsidR="00663CB7">
        <w:rPr>
          <w:lang w:eastAsia="zh-CN"/>
        </w:rPr>
        <w:t xml:space="preserve"> reference allele (GG</w:t>
      </w:r>
      <w:r w:rsidR="004B161A">
        <w:rPr>
          <w:lang w:eastAsia="zh-CN"/>
        </w:rPr>
        <w:t xml:space="preserve">, 148 samples). Also, these curated rs11762213 genotypes were in agreement with automated </w:t>
      </w:r>
      <w:proofErr w:type="spellStart"/>
      <w:r w:rsidR="004B161A">
        <w:rPr>
          <w:lang w:eastAsia="zh-CN"/>
        </w:rPr>
        <w:t>callsets</w:t>
      </w:r>
      <w:proofErr w:type="spellEnd"/>
      <w:r w:rsidR="004B161A">
        <w:rPr>
          <w:lang w:eastAsia="zh-CN"/>
        </w:rPr>
        <w:t xml:space="preserve">. With proved high confidence in accuracy of genotyping rs11762213 in germline, we recruited additional 59 samples from automated calls. </w:t>
      </w:r>
    </w:p>
    <w:p w14:paraId="1A03BA82" w14:textId="4808B306" w:rsidR="004B161A" w:rsidRDefault="004B161A" w:rsidP="00F86E36">
      <w:pPr>
        <w:tabs>
          <w:tab w:val="left" w:pos="720"/>
        </w:tabs>
        <w:ind w:left="720"/>
        <w:rPr>
          <w:lang w:eastAsia="zh-CN"/>
        </w:rPr>
      </w:pPr>
      <w:r>
        <w:rPr>
          <w:lang w:eastAsia="zh-CN"/>
        </w:rPr>
        <w:tab/>
        <w:t>Cancer-specific survival was defined using similar method as descri</w:t>
      </w:r>
      <w:r w:rsidR="00D26F62">
        <w:rPr>
          <w:lang w:eastAsia="zh-CN"/>
        </w:rPr>
        <w:t xml:space="preserve">bed in a </w:t>
      </w:r>
      <w:proofErr w:type="spellStart"/>
      <w:r w:rsidR="00D26F62">
        <w:rPr>
          <w:lang w:eastAsia="zh-CN"/>
        </w:rPr>
        <w:t>ccRCC</w:t>
      </w:r>
      <w:proofErr w:type="spellEnd"/>
      <w:r w:rsidR="00D26F62">
        <w:rPr>
          <w:lang w:eastAsia="zh-CN"/>
        </w:rPr>
        <w:t xml:space="preserve"> study (REF). Deaths were considered as cancer-specific if the “</w:t>
      </w:r>
      <w:r w:rsidR="003749F6" w:rsidRPr="003749F6">
        <w:rPr>
          <w:lang w:eastAsia="zh-CN"/>
        </w:rPr>
        <w:t>Personal Neoplasm Cancer Status</w:t>
      </w:r>
      <w:r w:rsidR="003749F6">
        <w:rPr>
          <w:lang w:eastAsia="zh-CN"/>
        </w:rPr>
        <w:t xml:space="preserve">” </w:t>
      </w:r>
      <w:r w:rsidR="00D26F62">
        <w:rPr>
          <w:lang w:eastAsia="zh-CN"/>
        </w:rPr>
        <w:t xml:space="preserve">was “With Tumor”. If “Tumor Status” is not available, then the deceased patients were classified as cancer-specific death if they had metastasis (M1) or </w:t>
      </w:r>
      <w:proofErr w:type="spellStart"/>
      <w:r w:rsidR="008F43B5">
        <w:rPr>
          <w:lang w:eastAsia="zh-CN"/>
        </w:rPr>
        <w:t>lymp</w:t>
      </w:r>
      <w:proofErr w:type="spellEnd"/>
      <w:r w:rsidR="008F43B5">
        <w:rPr>
          <w:lang w:eastAsia="zh-CN"/>
        </w:rPr>
        <w:t xml:space="preserve"> node involvement (&gt;= N1) or died within two years. An R package, “survival”, was used for the survival analysis. </w:t>
      </w:r>
    </w:p>
    <w:p w14:paraId="5E25C02F" w14:textId="77777777" w:rsidR="008F43B5" w:rsidRDefault="008F43B5" w:rsidP="00F86E36">
      <w:pPr>
        <w:tabs>
          <w:tab w:val="left" w:pos="720"/>
        </w:tabs>
        <w:ind w:left="720"/>
        <w:rPr>
          <w:lang w:eastAsia="zh-CN"/>
        </w:rPr>
      </w:pPr>
    </w:p>
    <w:p w14:paraId="1589B01F" w14:textId="77777777" w:rsidR="004B161A" w:rsidRDefault="004B161A" w:rsidP="00F86E36">
      <w:pPr>
        <w:tabs>
          <w:tab w:val="left" w:pos="720"/>
        </w:tabs>
        <w:ind w:left="720"/>
        <w:rPr>
          <w:lang w:eastAsia="zh-CN"/>
        </w:rPr>
      </w:pPr>
    </w:p>
    <w:p w14:paraId="325B3A28" w14:textId="70D2ED84" w:rsidR="00F86E36" w:rsidRPr="00CB02AE" w:rsidRDefault="00F86E36" w:rsidP="00F86E36">
      <w:pPr>
        <w:tabs>
          <w:tab w:val="left" w:pos="720"/>
        </w:tabs>
        <w:rPr>
          <w:lang w:eastAsia="zh-CN"/>
        </w:rPr>
      </w:pPr>
      <w:r>
        <w:rPr>
          <w:lang w:eastAsia="zh-CN"/>
        </w:rPr>
        <w:tab/>
      </w:r>
    </w:p>
    <w:sectPr w:rsidR="00F86E36" w:rsidRPr="00CB02AE" w:rsidSect="006C3C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E15CF"/>
    <w:multiLevelType w:val="hybridMultilevel"/>
    <w:tmpl w:val="3DDA2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2AE"/>
    <w:rsid w:val="000D6EDE"/>
    <w:rsid w:val="00101025"/>
    <w:rsid w:val="001266AC"/>
    <w:rsid w:val="001D2314"/>
    <w:rsid w:val="00232C63"/>
    <w:rsid w:val="002A7447"/>
    <w:rsid w:val="002B3BA9"/>
    <w:rsid w:val="002E2A32"/>
    <w:rsid w:val="003749F6"/>
    <w:rsid w:val="004834EE"/>
    <w:rsid w:val="004863AF"/>
    <w:rsid w:val="0049167A"/>
    <w:rsid w:val="004A15AA"/>
    <w:rsid w:val="004B161A"/>
    <w:rsid w:val="00547C2E"/>
    <w:rsid w:val="005954C9"/>
    <w:rsid w:val="005B11F3"/>
    <w:rsid w:val="005C052E"/>
    <w:rsid w:val="006265D3"/>
    <w:rsid w:val="00663CB7"/>
    <w:rsid w:val="006C3C0E"/>
    <w:rsid w:val="006D006F"/>
    <w:rsid w:val="007339ED"/>
    <w:rsid w:val="0075744F"/>
    <w:rsid w:val="008F43B5"/>
    <w:rsid w:val="009D1794"/>
    <w:rsid w:val="00A12C6A"/>
    <w:rsid w:val="00A64246"/>
    <w:rsid w:val="00AA1CDB"/>
    <w:rsid w:val="00AB1233"/>
    <w:rsid w:val="00BA680F"/>
    <w:rsid w:val="00C663A9"/>
    <w:rsid w:val="00C80265"/>
    <w:rsid w:val="00C81AB6"/>
    <w:rsid w:val="00CB02AE"/>
    <w:rsid w:val="00D224D3"/>
    <w:rsid w:val="00D2308A"/>
    <w:rsid w:val="00D26F62"/>
    <w:rsid w:val="00DE6034"/>
    <w:rsid w:val="00DE6BCC"/>
    <w:rsid w:val="00E02E38"/>
    <w:rsid w:val="00E846BC"/>
    <w:rsid w:val="00EE4300"/>
    <w:rsid w:val="00F05BFF"/>
    <w:rsid w:val="00F62A50"/>
    <w:rsid w:val="00F86E36"/>
    <w:rsid w:val="00FD2F26"/>
    <w:rsid w:val="00FD5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4E52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52E"/>
    <w:pPr>
      <w:ind w:left="720"/>
      <w:contextualSpacing/>
    </w:pPr>
  </w:style>
  <w:style w:type="character" w:styleId="Hyperlink">
    <w:name w:val="Hyperlink"/>
    <w:basedOn w:val="DefaultParagraphFont"/>
    <w:uiPriority w:val="99"/>
    <w:unhideWhenUsed/>
    <w:rsid w:val="00F86E3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52E"/>
    <w:pPr>
      <w:ind w:left="720"/>
      <w:contextualSpacing/>
    </w:pPr>
  </w:style>
  <w:style w:type="character" w:styleId="Hyperlink">
    <w:name w:val="Hyperlink"/>
    <w:basedOn w:val="DefaultParagraphFont"/>
    <w:uiPriority w:val="99"/>
    <w:unhideWhenUsed/>
    <w:rsid w:val="00F86E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728091">
      <w:bodyDiv w:val="1"/>
      <w:marLeft w:val="0"/>
      <w:marRight w:val="0"/>
      <w:marTop w:val="0"/>
      <w:marBottom w:val="0"/>
      <w:divBdr>
        <w:top w:val="none" w:sz="0" w:space="0" w:color="auto"/>
        <w:left w:val="none" w:sz="0" w:space="0" w:color="auto"/>
        <w:bottom w:val="none" w:sz="0" w:space="0" w:color="auto"/>
        <w:right w:val="none" w:sz="0" w:space="0" w:color="auto"/>
      </w:divBdr>
    </w:div>
    <w:div w:id="16854710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tcga-data.nci.nih.gov/tcga/tcgaDownload.jsp"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5371</Characters>
  <Application>Microsoft Macintosh Word</Application>
  <DocSecurity>0</DocSecurity>
  <Lines>44</Lines>
  <Paragraphs>12</Paragraphs>
  <ScaleCrop>false</ScaleCrop>
  <Company>Yale U</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Shantao</dc:creator>
  <cp:keywords/>
  <dc:description/>
  <cp:lastModifiedBy>Shantao</cp:lastModifiedBy>
  <cp:revision>2</cp:revision>
  <dcterms:created xsi:type="dcterms:W3CDTF">2016-05-05T02:16:00Z</dcterms:created>
  <dcterms:modified xsi:type="dcterms:W3CDTF">2016-05-05T02:16:00Z</dcterms:modified>
</cp:coreProperties>
</file>