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4A8" w:rsidRDefault="008B47BE" w:rsidP="006B37B8">
      <w:pPr>
        <w:spacing w:after="0" w:line="240" w:lineRule="auto"/>
        <w:rPr>
          <w:rFonts w:ascii="Times New Roman" w:hAnsi="Times New Roman" w:cs="Times New Roman"/>
          <w:b/>
          <w:sz w:val="24"/>
          <w:szCs w:val="24"/>
        </w:rPr>
      </w:pPr>
      <w:r>
        <w:rPr>
          <w:rFonts w:ascii="Times New Roman" w:hAnsi="Times New Roman" w:cs="Times New Roman"/>
          <w:b/>
          <w:sz w:val="24"/>
          <w:szCs w:val="24"/>
        </w:rPr>
        <w:t>V</w:t>
      </w:r>
      <w:r w:rsidR="00546984">
        <w:rPr>
          <w:rFonts w:ascii="Times New Roman" w:hAnsi="Times New Roman" w:cs="Times New Roman"/>
          <w:b/>
          <w:sz w:val="24"/>
          <w:szCs w:val="24"/>
        </w:rPr>
        <w:t>ariant annotation by i</w:t>
      </w:r>
      <w:r w:rsidR="006374A8">
        <w:rPr>
          <w:rFonts w:ascii="Times New Roman" w:hAnsi="Times New Roman" w:cs="Times New Roman"/>
          <w:b/>
          <w:sz w:val="24"/>
          <w:szCs w:val="24"/>
        </w:rPr>
        <w:t>ntegrating protein and genomic information</w:t>
      </w:r>
      <w:r w:rsidR="00546984">
        <w:rPr>
          <w:rFonts w:ascii="Times New Roman" w:hAnsi="Times New Roman" w:cs="Times New Roman"/>
          <w:b/>
          <w:sz w:val="24"/>
          <w:szCs w:val="24"/>
        </w:rPr>
        <w:t xml:space="preserve"> using repeat domains</w:t>
      </w:r>
    </w:p>
    <w:p w:rsidR="000331E4" w:rsidRDefault="000331E4" w:rsidP="006B37B8">
      <w:pPr>
        <w:spacing w:after="0" w:line="240" w:lineRule="auto"/>
        <w:rPr>
          <w:rFonts w:ascii="Times New Roman" w:hAnsi="Times New Roman" w:cs="Times New Roman"/>
          <w:b/>
          <w:sz w:val="24"/>
          <w:szCs w:val="24"/>
        </w:rPr>
      </w:pPr>
    </w:p>
    <w:p w:rsidR="000331E4" w:rsidRDefault="000331E4" w:rsidP="006B37B8">
      <w:pPr>
        <w:spacing w:after="0" w:line="240" w:lineRule="auto"/>
        <w:rPr>
          <w:rFonts w:ascii="Times New Roman" w:hAnsi="Times New Roman" w:cs="Times New Roman"/>
          <w:b/>
          <w:sz w:val="24"/>
          <w:szCs w:val="24"/>
        </w:rPr>
      </w:pPr>
      <w:r>
        <w:rPr>
          <w:rFonts w:ascii="Times New Roman" w:hAnsi="Times New Roman" w:cs="Times New Roman"/>
          <w:b/>
          <w:sz w:val="24"/>
          <w:szCs w:val="24"/>
        </w:rPr>
        <w:t>Using repeat domains to integrate protein and genomic information and annotate genomic variants</w:t>
      </w:r>
    </w:p>
    <w:p w:rsidR="0079217C" w:rsidRDefault="0079217C" w:rsidP="006B37B8">
      <w:pPr>
        <w:spacing w:after="0" w:line="240" w:lineRule="auto"/>
        <w:rPr>
          <w:rFonts w:ascii="Times New Roman" w:hAnsi="Times New Roman" w:cs="Times New Roman"/>
          <w:b/>
          <w:sz w:val="24"/>
          <w:szCs w:val="24"/>
        </w:rPr>
      </w:pPr>
    </w:p>
    <w:p w:rsidR="0079217C" w:rsidRDefault="0079217C" w:rsidP="006B37B8">
      <w:pPr>
        <w:spacing w:after="0" w:line="240" w:lineRule="auto"/>
        <w:rPr>
          <w:rFonts w:ascii="Times New Roman" w:hAnsi="Times New Roman" w:cs="Times New Roman"/>
          <w:b/>
          <w:sz w:val="24"/>
          <w:szCs w:val="24"/>
        </w:rPr>
      </w:pPr>
      <w:r>
        <w:rPr>
          <w:rFonts w:ascii="Times New Roman" w:hAnsi="Times New Roman" w:cs="Times New Roman"/>
          <w:b/>
          <w:sz w:val="24"/>
          <w:szCs w:val="24"/>
        </w:rPr>
        <w:t>Using repeat domains to integrate protein and genomic information</w:t>
      </w:r>
    </w:p>
    <w:p w:rsidR="006374A8" w:rsidRDefault="006374A8" w:rsidP="006B37B8">
      <w:pPr>
        <w:spacing w:after="0" w:line="240" w:lineRule="auto"/>
        <w:rPr>
          <w:rFonts w:ascii="Times New Roman" w:hAnsi="Times New Roman" w:cs="Times New Roman"/>
          <w:b/>
          <w:sz w:val="24"/>
          <w:szCs w:val="24"/>
        </w:rPr>
      </w:pPr>
    </w:p>
    <w:p w:rsidR="00075193" w:rsidRDefault="00075193" w:rsidP="006B37B8">
      <w:pPr>
        <w:spacing w:after="0" w:line="240" w:lineRule="auto"/>
        <w:rPr>
          <w:rFonts w:ascii="Times New Roman" w:hAnsi="Times New Roman" w:cs="Times New Roman"/>
          <w:b/>
          <w:sz w:val="24"/>
          <w:szCs w:val="24"/>
          <w:u w:val="single"/>
        </w:rPr>
      </w:pPr>
    </w:p>
    <w:p w:rsidR="00AC37F3" w:rsidRPr="00B4343E" w:rsidRDefault="006B37B8" w:rsidP="006B37B8">
      <w:pPr>
        <w:spacing w:after="0" w:line="240" w:lineRule="auto"/>
        <w:rPr>
          <w:rFonts w:ascii="Times New Roman" w:hAnsi="Times New Roman" w:cs="Times New Roman"/>
          <w:b/>
          <w:sz w:val="24"/>
          <w:szCs w:val="24"/>
          <w:u w:val="single"/>
        </w:rPr>
      </w:pPr>
      <w:r w:rsidRPr="00B4343E">
        <w:rPr>
          <w:rFonts w:ascii="Times New Roman" w:hAnsi="Times New Roman" w:cs="Times New Roman"/>
          <w:b/>
          <w:sz w:val="24"/>
          <w:szCs w:val="24"/>
          <w:u w:val="single"/>
        </w:rPr>
        <w:t>Abstract</w:t>
      </w:r>
    </w:p>
    <w:p w:rsidR="000720E8" w:rsidRDefault="000720E8" w:rsidP="000720E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Large-scale </w:t>
      </w:r>
      <w:r w:rsidR="00266C46">
        <w:rPr>
          <w:rFonts w:ascii="Times New Roman" w:hAnsi="Times New Roman" w:cs="Times New Roman"/>
          <w:sz w:val="24"/>
          <w:szCs w:val="24"/>
        </w:rPr>
        <w:t xml:space="preserve">exome </w:t>
      </w:r>
      <w:r>
        <w:rPr>
          <w:rFonts w:ascii="Times New Roman" w:hAnsi="Times New Roman" w:cs="Times New Roman"/>
          <w:sz w:val="24"/>
          <w:szCs w:val="24"/>
        </w:rPr>
        <w:t xml:space="preserve">sequencing has revealed a preponderance of single nucleotide variants </w:t>
      </w:r>
      <w:r w:rsidR="006C5C7D">
        <w:rPr>
          <w:rFonts w:ascii="Times New Roman" w:hAnsi="Times New Roman" w:cs="Times New Roman"/>
          <w:sz w:val="24"/>
          <w:szCs w:val="24"/>
        </w:rPr>
        <w:t xml:space="preserve">(SNVs) </w:t>
      </w:r>
      <w:r>
        <w:rPr>
          <w:rFonts w:ascii="Times New Roman" w:hAnsi="Times New Roman" w:cs="Times New Roman"/>
          <w:sz w:val="24"/>
          <w:szCs w:val="24"/>
        </w:rPr>
        <w:t xml:space="preserve">in protein-coding regions of the human genome. Here, we identify </w:t>
      </w:r>
      <w:r w:rsidR="006C5C7D">
        <w:rPr>
          <w:rFonts w:ascii="Times New Roman" w:hAnsi="Times New Roman" w:cs="Times New Roman"/>
          <w:sz w:val="24"/>
          <w:szCs w:val="24"/>
        </w:rPr>
        <w:t xml:space="preserve">SNVs </w:t>
      </w:r>
      <w:r>
        <w:rPr>
          <w:rFonts w:ascii="Times New Roman" w:hAnsi="Times New Roman" w:cs="Times New Roman"/>
          <w:sz w:val="24"/>
          <w:szCs w:val="24"/>
        </w:rPr>
        <w:t xml:space="preserve">that are important to protein-protein interactions (PPI) by focusing on </w:t>
      </w:r>
      <w:r w:rsidR="00AC37F3">
        <w:rPr>
          <w:rFonts w:ascii="Times New Roman" w:hAnsi="Times New Roman" w:cs="Times New Roman"/>
          <w:sz w:val="24"/>
          <w:szCs w:val="24"/>
        </w:rPr>
        <w:t xml:space="preserve">a class of high impact protein domains that </w:t>
      </w:r>
      <w:r>
        <w:rPr>
          <w:rFonts w:ascii="Times New Roman" w:hAnsi="Times New Roman" w:cs="Times New Roman"/>
          <w:sz w:val="24"/>
          <w:szCs w:val="24"/>
        </w:rPr>
        <w:t>specifically mediate PPI</w:t>
      </w:r>
      <w:r w:rsidR="00AC37F3">
        <w:rPr>
          <w:rFonts w:ascii="Times New Roman" w:hAnsi="Times New Roman" w:cs="Times New Roman"/>
          <w:sz w:val="24"/>
          <w:szCs w:val="24"/>
        </w:rPr>
        <w:t xml:space="preserve"> – repeat protein domains (RPDs)</w:t>
      </w:r>
      <w:r>
        <w:rPr>
          <w:rFonts w:ascii="Times New Roman" w:hAnsi="Times New Roman" w:cs="Times New Roman"/>
          <w:sz w:val="24"/>
          <w:szCs w:val="24"/>
        </w:rPr>
        <w:t xml:space="preserve">. Particularly, we develop a strategy to build a multiple sequence alignment profile based on a repeat protein motif. This approach allows a codon-level accumulation of </w:t>
      </w:r>
      <w:r w:rsidR="006C5C7D">
        <w:rPr>
          <w:rFonts w:ascii="Times New Roman" w:hAnsi="Times New Roman" w:cs="Times New Roman"/>
          <w:sz w:val="24"/>
          <w:szCs w:val="24"/>
        </w:rPr>
        <w:t>SNVs</w:t>
      </w:r>
      <w:r>
        <w:rPr>
          <w:rFonts w:ascii="Times New Roman" w:hAnsi="Times New Roman" w:cs="Times New Roman"/>
          <w:sz w:val="24"/>
          <w:szCs w:val="24"/>
        </w:rPr>
        <w:t xml:space="preserve">, </w:t>
      </w:r>
      <w:r w:rsidR="001473A9">
        <w:rPr>
          <w:rFonts w:ascii="Times New Roman" w:hAnsi="Times New Roman" w:cs="Times New Roman"/>
          <w:sz w:val="24"/>
          <w:szCs w:val="24"/>
        </w:rPr>
        <w:t>which serves</w:t>
      </w:r>
      <w:r>
        <w:rPr>
          <w:rFonts w:ascii="Times New Roman" w:hAnsi="Times New Roman" w:cs="Times New Roman"/>
          <w:sz w:val="24"/>
          <w:szCs w:val="24"/>
        </w:rPr>
        <w:t xml:space="preserve"> as an ideal platform to </w:t>
      </w:r>
      <w:r w:rsidR="001473A9">
        <w:rPr>
          <w:rFonts w:ascii="Times New Roman" w:hAnsi="Times New Roman" w:cs="Times New Roman"/>
          <w:sz w:val="24"/>
          <w:szCs w:val="24"/>
        </w:rPr>
        <w:t xml:space="preserve">utilize </w:t>
      </w:r>
      <w:r>
        <w:rPr>
          <w:rFonts w:ascii="Times New Roman" w:hAnsi="Times New Roman" w:cs="Times New Roman"/>
          <w:sz w:val="24"/>
          <w:szCs w:val="24"/>
        </w:rPr>
        <w:t xml:space="preserve">the </w:t>
      </w:r>
      <w:r w:rsidR="00411BE7">
        <w:rPr>
          <w:rFonts w:ascii="Times New Roman" w:hAnsi="Times New Roman" w:cs="Times New Roman"/>
          <w:sz w:val="24"/>
          <w:szCs w:val="24"/>
        </w:rPr>
        <w:t>copious amount of</w:t>
      </w:r>
      <w:r>
        <w:rPr>
          <w:rFonts w:ascii="Times New Roman" w:hAnsi="Times New Roman" w:cs="Times New Roman"/>
          <w:sz w:val="24"/>
          <w:szCs w:val="24"/>
        </w:rPr>
        <w:t xml:space="preserve"> </w:t>
      </w:r>
      <w:r w:rsidR="001473A9">
        <w:rPr>
          <w:rFonts w:ascii="Times New Roman" w:hAnsi="Times New Roman" w:cs="Times New Roman"/>
          <w:sz w:val="24"/>
          <w:szCs w:val="24"/>
        </w:rPr>
        <w:t xml:space="preserve">available </w:t>
      </w:r>
      <w:r>
        <w:rPr>
          <w:rFonts w:ascii="Times New Roman" w:hAnsi="Times New Roman" w:cs="Times New Roman"/>
          <w:sz w:val="24"/>
          <w:szCs w:val="24"/>
        </w:rPr>
        <w:t xml:space="preserve">variant data </w:t>
      </w:r>
      <w:r w:rsidR="001473A9">
        <w:rPr>
          <w:rFonts w:ascii="Times New Roman" w:hAnsi="Times New Roman" w:cs="Times New Roman"/>
          <w:sz w:val="24"/>
          <w:szCs w:val="24"/>
        </w:rPr>
        <w:t>from sequencing projects. We use the SNVs to</w:t>
      </w:r>
      <w:r>
        <w:rPr>
          <w:rFonts w:ascii="Times New Roman" w:hAnsi="Times New Roman" w:cs="Times New Roman"/>
          <w:sz w:val="24"/>
          <w:szCs w:val="24"/>
        </w:rPr>
        <w:t xml:space="preserve"> calculate genetic metrics that estimate selective constraints. The combination of protein and genomic information</w:t>
      </w:r>
      <w:r w:rsidR="00E812AB">
        <w:rPr>
          <w:rFonts w:ascii="Times New Roman" w:hAnsi="Times New Roman" w:cs="Times New Roman"/>
          <w:sz w:val="24"/>
          <w:szCs w:val="24"/>
        </w:rPr>
        <w:t xml:space="preserve"> enable</w:t>
      </w:r>
      <w:r w:rsidR="006C5C7D">
        <w:rPr>
          <w:rFonts w:ascii="Times New Roman" w:hAnsi="Times New Roman" w:cs="Times New Roman"/>
          <w:sz w:val="24"/>
          <w:szCs w:val="24"/>
        </w:rPr>
        <w:t>s</w:t>
      </w:r>
      <w:r w:rsidR="00E812AB">
        <w:rPr>
          <w:rFonts w:ascii="Times New Roman" w:hAnsi="Times New Roman" w:cs="Times New Roman"/>
          <w:sz w:val="24"/>
          <w:szCs w:val="24"/>
        </w:rPr>
        <w:t xml:space="preserve"> the identification of potentially functional positions </w:t>
      </w:r>
      <w:r w:rsidR="006C5C7D">
        <w:rPr>
          <w:rFonts w:ascii="Times New Roman" w:hAnsi="Times New Roman" w:cs="Times New Roman"/>
          <w:sz w:val="24"/>
          <w:szCs w:val="24"/>
        </w:rPr>
        <w:t xml:space="preserve">in RPDs </w:t>
      </w:r>
      <w:r w:rsidR="00E812AB">
        <w:rPr>
          <w:rFonts w:ascii="Times New Roman" w:hAnsi="Times New Roman" w:cs="Times New Roman"/>
          <w:sz w:val="24"/>
          <w:szCs w:val="24"/>
        </w:rPr>
        <w:t xml:space="preserve">that are under high selective constraints. While we use the RPD, </w:t>
      </w:r>
      <w:proofErr w:type="spellStart"/>
      <w:r w:rsidR="00E812AB">
        <w:rPr>
          <w:rFonts w:ascii="Times New Roman" w:hAnsi="Times New Roman" w:cs="Times New Roman"/>
          <w:sz w:val="24"/>
          <w:szCs w:val="24"/>
        </w:rPr>
        <w:t>tetratricopeptide</w:t>
      </w:r>
      <w:proofErr w:type="spellEnd"/>
      <w:r w:rsidR="00E812AB">
        <w:rPr>
          <w:rFonts w:ascii="Times New Roman" w:hAnsi="Times New Roman" w:cs="Times New Roman"/>
          <w:sz w:val="24"/>
          <w:szCs w:val="24"/>
        </w:rPr>
        <w:t xml:space="preserve"> repeat, as an</w:t>
      </w:r>
      <w:r w:rsidR="00A44630">
        <w:rPr>
          <w:rFonts w:ascii="Times New Roman" w:hAnsi="Times New Roman" w:cs="Times New Roman"/>
          <w:sz w:val="24"/>
          <w:szCs w:val="24"/>
        </w:rPr>
        <w:t xml:space="preserve"> illustrating</w:t>
      </w:r>
      <w:r w:rsidR="00E812AB">
        <w:rPr>
          <w:rFonts w:ascii="Times New Roman" w:hAnsi="Times New Roman" w:cs="Times New Roman"/>
          <w:sz w:val="24"/>
          <w:szCs w:val="24"/>
        </w:rPr>
        <w:t xml:space="preserve"> example, we provide our</w:t>
      </w:r>
      <w:r>
        <w:rPr>
          <w:rFonts w:ascii="Times New Roman" w:eastAsia="Times New Roman" w:hAnsi="Times New Roman" w:cs="Times New Roman"/>
          <w:sz w:val="24"/>
          <w:szCs w:val="24"/>
        </w:rPr>
        <w:t xml:space="preserve"> results </w:t>
      </w:r>
      <w:r w:rsidR="00E812AB">
        <w:rPr>
          <w:rFonts w:ascii="Times New Roman" w:eastAsia="Times New Roman" w:hAnsi="Times New Roman" w:cs="Times New Roman"/>
          <w:sz w:val="24"/>
          <w:szCs w:val="24"/>
        </w:rPr>
        <w:t>for all RPDs</w:t>
      </w:r>
      <w:r>
        <w:rPr>
          <w:rFonts w:ascii="Times New Roman" w:eastAsia="Times New Roman" w:hAnsi="Times New Roman" w:cs="Times New Roman"/>
          <w:sz w:val="24"/>
          <w:szCs w:val="24"/>
        </w:rPr>
        <w:t xml:space="preserve"> as an online resource</w:t>
      </w:r>
      <w:r w:rsidR="006E76FA">
        <w:rPr>
          <w:rFonts w:ascii="Times New Roman" w:eastAsia="Times New Roman" w:hAnsi="Times New Roman" w:cs="Times New Roman"/>
          <w:sz w:val="24"/>
          <w:szCs w:val="24"/>
        </w:rPr>
        <w:t xml:space="preserve">, </w:t>
      </w:r>
      <w:proofErr w:type="spellStart"/>
      <w:r w:rsidR="006E76FA">
        <w:rPr>
          <w:rFonts w:ascii="Times New Roman" w:eastAsia="Times New Roman" w:hAnsi="Times New Roman" w:cs="Times New Roman"/>
          <w:sz w:val="24"/>
          <w:szCs w:val="24"/>
        </w:rPr>
        <w:t>MotifVar</w:t>
      </w:r>
      <w:proofErr w:type="spellEnd"/>
      <w:r>
        <w:rPr>
          <w:rFonts w:ascii="Times New Roman" w:eastAsia="Times New Roman" w:hAnsi="Times New Roman" w:cs="Times New Roman"/>
          <w:sz w:val="24"/>
          <w:szCs w:val="24"/>
        </w:rPr>
        <w:t xml:space="preserve"> (</w:t>
      </w:r>
      <w:hyperlink r:id="rId5" w:history="1">
        <w:r w:rsidR="00E812AB">
          <w:rPr>
            <w:rStyle w:val="Hyperlink"/>
            <w:rFonts w:ascii="Times New Roman" w:eastAsia="Times New Roman" w:hAnsi="Times New Roman" w:cs="Times New Roman"/>
            <w:sz w:val="24"/>
            <w:szCs w:val="24"/>
          </w:rPr>
          <w:t>motifvar</w:t>
        </w:r>
        <w:r>
          <w:rPr>
            <w:rStyle w:val="Hyperlink"/>
            <w:rFonts w:ascii="Times New Roman" w:eastAsia="Times New Roman" w:hAnsi="Times New Roman" w:cs="Times New Roman"/>
            <w:sz w:val="24"/>
            <w:szCs w:val="24"/>
          </w:rPr>
          <w:t>.gersteinlab.org</w:t>
        </w:r>
      </w:hyperlink>
      <w:r>
        <w:rPr>
          <w:rFonts w:ascii="Times New Roman" w:eastAsia="Times New Roman" w:hAnsi="Times New Roman" w:cs="Times New Roman"/>
          <w:sz w:val="24"/>
          <w:szCs w:val="24"/>
        </w:rPr>
        <w:t>).</w:t>
      </w:r>
    </w:p>
    <w:p w:rsidR="006B37B8" w:rsidRDefault="006B37B8" w:rsidP="006B37B8">
      <w:pPr>
        <w:spacing w:after="0" w:line="240" w:lineRule="auto"/>
        <w:rPr>
          <w:rFonts w:ascii="Times New Roman" w:hAnsi="Times New Roman" w:cs="Times New Roman"/>
          <w:b/>
          <w:sz w:val="24"/>
          <w:szCs w:val="24"/>
        </w:rPr>
      </w:pPr>
    </w:p>
    <w:p w:rsidR="006B37B8" w:rsidRPr="00B4343E" w:rsidRDefault="006B37B8" w:rsidP="006B37B8">
      <w:pPr>
        <w:spacing w:after="0" w:line="240" w:lineRule="auto"/>
        <w:rPr>
          <w:rFonts w:ascii="Times New Roman" w:hAnsi="Times New Roman" w:cs="Times New Roman"/>
          <w:sz w:val="24"/>
          <w:szCs w:val="24"/>
          <w:u w:val="single"/>
        </w:rPr>
      </w:pPr>
      <w:r w:rsidRPr="00B4343E">
        <w:rPr>
          <w:rFonts w:ascii="Times New Roman" w:hAnsi="Times New Roman" w:cs="Times New Roman"/>
          <w:b/>
          <w:sz w:val="24"/>
          <w:szCs w:val="24"/>
          <w:u w:val="single"/>
        </w:rPr>
        <w:t>Introduction</w:t>
      </w:r>
    </w:p>
    <w:p w:rsidR="00461AB6" w:rsidRDefault="00082EFE" w:rsidP="001349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87799E">
        <w:rPr>
          <w:rFonts w:ascii="Times New Roman" w:hAnsi="Times New Roman" w:cs="Times New Roman"/>
          <w:sz w:val="24"/>
          <w:szCs w:val="24"/>
        </w:rPr>
        <w:t>combined</w:t>
      </w:r>
      <w:r>
        <w:rPr>
          <w:rFonts w:ascii="Times New Roman" w:hAnsi="Times New Roman" w:cs="Times New Roman"/>
          <w:sz w:val="24"/>
          <w:szCs w:val="24"/>
        </w:rPr>
        <w:t xml:space="preserve"> efforts from large-scale sequencing projects and clinical sequencing </w:t>
      </w:r>
      <w:r w:rsidR="006B37B8">
        <w:rPr>
          <w:rFonts w:ascii="Times New Roman" w:hAnsi="Times New Roman" w:cs="Times New Roman"/>
          <w:sz w:val="24"/>
          <w:szCs w:val="24"/>
        </w:rPr>
        <w:t xml:space="preserve">have given rise to an exponentially increasing number of </w:t>
      </w:r>
      <w:r w:rsidR="00347CAF">
        <w:rPr>
          <w:rFonts w:ascii="Times New Roman" w:hAnsi="Times New Roman" w:cs="Times New Roman"/>
          <w:sz w:val="24"/>
          <w:szCs w:val="24"/>
        </w:rPr>
        <w:t xml:space="preserve">human </w:t>
      </w:r>
      <w:r w:rsidR="006B37B8">
        <w:rPr>
          <w:rFonts w:ascii="Times New Roman" w:hAnsi="Times New Roman" w:cs="Times New Roman"/>
          <w:sz w:val="24"/>
          <w:szCs w:val="24"/>
        </w:rPr>
        <w:t>sequences in recent years</w:t>
      </w:r>
      <w:r>
        <w:rPr>
          <w:rFonts w:ascii="Times New Roman" w:hAnsi="Times New Roman" w:cs="Times New Roman"/>
          <w:sz w:val="24"/>
          <w:szCs w:val="24"/>
        </w:rPr>
        <w:t xml:space="preserve"> [</w:t>
      </w:r>
      <w:r w:rsidR="000156B2">
        <w:rPr>
          <w:rFonts w:ascii="Times New Roman" w:hAnsi="Times New Roman" w:cs="Times New Roman"/>
          <w:color w:val="FF0000"/>
          <w:sz w:val="24"/>
          <w:szCs w:val="24"/>
        </w:rPr>
        <w:t>cite ExAC</w:t>
      </w:r>
      <w:r>
        <w:rPr>
          <w:rFonts w:ascii="Times New Roman" w:hAnsi="Times New Roman" w:cs="Times New Roman"/>
          <w:sz w:val="24"/>
          <w:szCs w:val="24"/>
        </w:rPr>
        <w:t>]</w:t>
      </w:r>
      <w:r w:rsidR="006B37B8">
        <w:rPr>
          <w:rFonts w:ascii="Times New Roman" w:hAnsi="Times New Roman" w:cs="Times New Roman"/>
          <w:sz w:val="24"/>
          <w:szCs w:val="24"/>
        </w:rPr>
        <w:t>.</w:t>
      </w:r>
      <w:r w:rsidR="00864492">
        <w:rPr>
          <w:rFonts w:ascii="Times New Roman" w:hAnsi="Times New Roman" w:cs="Times New Roman"/>
          <w:sz w:val="24"/>
          <w:szCs w:val="24"/>
        </w:rPr>
        <w:fldChar w:fldCharType="begin" w:fldLock="1"/>
      </w:r>
      <w:r w:rsidR="00864492">
        <w:rPr>
          <w:rFonts w:ascii="Times New Roman" w:hAnsi="Times New Roman" w:cs="Times New Roman"/>
          <w:sz w:val="24"/>
          <w:szCs w:val="24"/>
        </w:rPr>
        <w:instrText>ADDIN CSL_CITATION { "citationItems" : [ { "id" : "ITEM-1", "itemData" : { "DOI" : "10.1038/nature15393", "ISSN" : "1476-4687", "PMID" : "26432245", "abstract" : "The 1000 Genomes Project set out to provide a comprehensive description of common human genetic variation by applying whole-genome sequencing to a diverse set of individuals from multiple populations. Here we report completion of the project, having reconstructed the genomes of 2,504 individuals from 26 populations using a combination of low-coverage whole-genome sequencing, deep exome sequencing, and dense microarray genotyping. We characterized a broad spectrum of genetic variation, in total over 88 million variants (84.7 million single nucleotide polymorphisms (SNPs), 3.6 million short insertions/deletions (indels), and 60,000 structural variants), all phased onto high-quality haplotypes. This resource includes &gt;99% of SNP variants with a frequency of &gt;1% for a variety of ancestries. We describe the distribution of genetic variation across the global sample, and discuss the implications for common disease studies.", "author" : [ { "dropping-particle" : "", "family" : "1000 Genomes Project Consortium", "given" : "", "non-dropping-particle" : "", "parse-names" : false, "suffix" : "" }, { "dropping-particle" : "", "family" : "Auton", "given" : "Adam", "non-dropping-particle" : "", "parse-names" : false, "suffix" : "" }, { "dropping-particle" : "", "family" : "Brooks", "given" : "Lisa D", "non-dropping-particle" : "", "parse-names" : false, "suffix" : "" }, { "dropping-particle" : "", "family" : "Durbin", "given" : "Richard M", "non-dropping-particle" : "", "parse-names" : false, "suffix" : "" }, { "dropping-particle" : "", "family" : "Garrison", "given" : "Erik P", "non-dropping-particle" : "", "parse-names" : false, "suffix" : "" }, { "dropping-particle" : "", "family" : "Kang", "given" : "Hyun Min", "non-dropping-particle" : "", "parse-names" : false, "suffix" : "" }, { "dropping-particle" : "", "family" : "Korbel", "given" : "Jan O", "non-dropping-particle" : "", "parse-names" : false, "suffix" : "" }, { "dropping-particle" : "", "family" : "Marchini", "given" : "Jonathan L", "non-dropping-particle" : "", "parse-names" : false, "suffix" : "" }, { "dropping-particle" : "", "family" : "McCarthy", "given" : "Shane", "non-dropping-particle" : "", "parse-names" : false, "suffix" : "" }, { "dropping-particle" : "", "family" : "McVean", "given" : "Gil A", "non-dropping-particle" : "", "parse-names" : false, "suffix" : "" }, { "dropping-particle" : "", "family" : "Abecasis", "given" : "Gon\u00e7alo R", "non-dropping-particle" : "", "parse-names" : false, "suffix" : "" } ], "container-title" : "Nature", "id" : "ITEM-1", "issue" : "7571", "issued" : { "date-parts" : [ [ "2015", "10", "1" ] ] }, "page" : "68-74", "title" : "A global reference for human genetic variation.", "type" : "article-journal", "volume" : "526" }, "uris" : [ "http://www.mendeley.com/documents/?uuid=da85b169-7eb7-42a1-aacb-ee2eb79bffdf" ] }, { "id" : "ITEM-2", "itemData" : { "DOI" : "10.1186/gm504", "ISSN" : "1756-994X", "PMID" : "24229443", "abstract" : "This paper outlines the history behind open access principles and describes the development of a managed access data-sharing process for the UK10K Project, currently Britain's largest genomic sequencing consortium (2010 to 2013). Funded by the Wellcome Trust, the purpose of UK10K was two-fold: to investigate how low-frequency and rare genetic variants contribute to human disease, and to provide an enduring data resource for future research into human genetics. In this paper, we discuss the challenge of reconciling data-sharing principles with the practicalities of delivering a sequencing project of UK10K's scope and magnitude. We describe the development of a sustainable, easy-to-use managed access system that allowed rapid access to UK10K data, while protecting the interests of participants and data generators alike. Specifically, we focus in depth on the three key issues that emerge in the data pipeline: study recruitment, data release and data access.", "author" : [ { "dropping-particle" : "", "family" : "Muddyman", "given" : "Dawn", "non-dropping-particle" : "", "parse-names" : false, "suffix" : "" }, { "dropping-particle" : "", "family" : "Smee", "given" : "Carol", "non-dropping-particle" : "", "parse-names" : false, "suffix" : "" }, { "dropping-particle" : "", "family" : "Griffin", "given" : "Heather", "non-dropping-particle" : "", "parse-names" : false, "suffix" : "" }, { "dropping-particle" : "", "family" : "Kaye", "given" : "Jane", "non-dropping-particle" : "", "parse-names" : false, "suffix" : "" } ], "container-title" : "Genome medicine", "id" : "ITEM-2", "issue" : "11", "issued" : { "date-parts" : [ [ "2013" ] ] }, "page" : "100", "title" : "Implementing a successful data-management framework: the UK10K managed access model.", "type" : "article-journal", "volume" : "5" }, "uris" : [ "http://www.mendeley.com/documents/?uuid=d6851774-19f8-418d-bfdf-cf65d1b1fb1c" ] } ], "mendeley" : { "formattedCitation" : "&lt;sup&gt;1,2&lt;/sup&gt;", "plainTextFormattedCitation" : "1,2", "previouslyFormattedCitation" : "&lt;sup&gt;1,2&lt;/sup&gt;" }, "properties" : { "noteIndex" : 0 }, "schema" : "https://github.com/citation-style-language/schema/raw/master/csl-citation.json" }</w:instrText>
      </w:r>
      <w:r w:rsidR="00864492">
        <w:rPr>
          <w:rFonts w:ascii="Times New Roman" w:hAnsi="Times New Roman" w:cs="Times New Roman"/>
          <w:sz w:val="24"/>
          <w:szCs w:val="24"/>
        </w:rPr>
        <w:fldChar w:fldCharType="separate"/>
      </w:r>
      <w:r w:rsidR="00864492" w:rsidRPr="000156B2">
        <w:rPr>
          <w:rFonts w:ascii="Times New Roman" w:hAnsi="Times New Roman" w:cs="Times New Roman"/>
          <w:noProof/>
          <w:sz w:val="24"/>
          <w:szCs w:val="24"/>
          <w:vertAlign w:val="superscript"/>
        </w:rPr>
        <w:t>1,2</w:t>
      </w:r>
      <w:r w:rsidR="00864492">
        <w:rPr>
          <w:rFonts w:ascii="Times New Roman" w:hAnsi="Times New Roman" w:cs="Times New Roman"/>
          <w:sz w:val="24"/>
          <w:szCs w:val="24"/>
        </w:rPr>
        <w:fldChar w:fldCharType="end"/>
      </w:r>
      <w:r w:rsidR="009B7C54">
        <w:rPr>
          <w:rFonts w:ascii="Times New Roman" w:hAnsi="Times New Roman" w:cs="Times New Roman"/>
          <w:sz w:val="24"/>
          <w:szCs w:val="24"/>
        </w:rPr>
        <w:t xml:space="preserve"> </w:t>
      </w:r>
      <w:proofErr w:type="gramStart"/>
      <w:r>
        <w:rPr>
          <w:rFonts w:ascii="Times New Roman" w:hAnsi="Times New Roman" w:cs="Times New Roman"/>
          <w:sz w:val="24"/>
          <w:szCs w:val="24"/>
        </w:rPr>
        <w:t>With</w:t>
      </w:r>
      <w:proofErr w:type="gramEnd"/>
      <w:r>
        <w:rPr>
          <w:rFonts w:ascii="Times New Roman" w:hAnsi="Times New Roman" w:cs="Times New Roman"/>
          <w:sz w:val="24"/>
          <w:szCs w:val="24"/>
        </w:rPr>
        <w:t xml:space="preserve"> </w:t>
      </w:r>
      <w:r w:rsidR="00774FCD">
        <w:rPr>
          <w:rFonts w:ascii="Times New Roman" w:hAnsi="Times New Roman" w:cs="Times New Roman"/>
          <w:sz w:val="24"/>
          <w:szCs w:val="24"/>
        </w:rPr>
        <w:t xml:space="preserve">substantial drop in the sequencing cost and improvement in sequencing technologies and </w:t>
      </w:r>
      <w:r>
        <w:rPr>
          <w:rFonts w:ascii="Times New Roman" w:hAnsi="Times New Roman" w:cs="Times New Roman"/>
          <w:sz w:val="24"/>
          <w:szCs w:val="24"/>
        </w:rPr>
        <w:t xml:space="preserve">data processing capabilities, we now have the ability to generate </w:t>
      </w:r>
      <w:r w:rsidR="009B7C54">
        <w:rPr>
          <w:rFonts w:ascii="Times New Roman" w:hAnsi="Times New Roman" w:cs="Times New Roman"/>
          <w:sz w:val="24"/>
          <w:szCs w:val="24"/>
        </w:rPr>
        <w:t>a huge catalog of variants that exist in the human population</w:t>
      </w:r>
      <w:r>
        <w:rPr>
          <w:rFonts w:ascii="Times New Roman" w:hAnsi="Times New Roman" w:cs="Times New Roman"/>
          <w:sz w:val="24"/>
          <w:szCs w:val="24"/>
        </w:rPr>
        <w:t xml:space="preserve"> in a fairly rapid and high-throughput </w:t>
      </w:r>
      <w:r w:rsidR="0073173B">
        <w:rPr>
          <w:rFonts w:ascii="Times New Roman" w:hAnsi="Times New Roman" w:cs="Times New Roman"/>
          <w:sz w:val="24"/>
          <w:szCs w:val="24"/>
        </w:rPr>
        <w:t>fashion</w:t>
      </w:r>
      <w:r w:rsidR="009B7C54">
        <w:rPr>
          <w:rFonts w:ascii="Times New Roman" w:hAnsi="Times New Roman" w:cs="Times New Roman"/>
          <w:sz w:val="24"/>
          <w:szCs w:val="24"/>
        </w:rPr>
        <w:t xml:space="preserve">. </w:t>
      </w:r>
      <w:r>
        <w:rPr>
          <w:rFonts w:ascii="Times New Roman" w:hAnsi="Times New Roman" w:cs="Times New Roman"/>
          <w:sz w:val="24"/>
          <w:szCs w:val="24"/>
        </w:rPr>
        <w:t xml:space="preserve">One of the ensuing challenges is </w:t>
      </w:r>
      <w:r w:rsidR="00B4343E">
        <w:rPr>
          <w:rFonts w:ascii="Times New Roman" w:hAnsi="Times New Roman" w:cs="Times New Roman"/>
          <w:sz w:val="24"/>
          <w:szCs w:val="24"/>
        </w:rPr>
        <w:t xml:space="preserve">then </w:t>
      </w:r>
      <w:r>
        <w:rPr>
          <w:rFonts w:ascii="Times New Roman" w:hAnsi="Times New Roman" w:cs="Times New Roman"/>
          <w:sz w:val="24"/>
          <w:szCs w:val="24"/>
        </w:rPr>
        <w:t>to provide functional annotations for these variants efficiently and accurately [</w:t>
      </w:r>
      <w:r w:rsidRPr="00082EFE">
        <w:rPr>
          <w:rFonts w:ascii="Times New Roman" w:hAnsi="Times New Roman" w:cs="Times New Roman"/>
          <w:color w:val="FF0000"/>
          <w:sz w:val="24"/>
          <w:szCs w:val="24"/>
        </w:rPr>
        <w:t>cite</w:t>
      </w:r>
      <w:r>
        <w:rPr>
          <w:rFonts w:ascii="Times New Roman" w:hAnsi="Times New Roman" w:cs="Times New Roman"/>
          <w:sz w:val="24"/>
          <w:szCs w:val="24"/>
        </w:rPr>
        <w:t>].</w:t>
      </w:r>
      <w:r w:rsidR="00461AB6">
        <w:rPr>
          <w:rFonts w:ascii="Times New Roman" w:hAnsi="Times New Roman" w:cs="Times New Roman"/>
          <w:sz w:val="24"/>
          <w:szCs w:val="24"/>
        </w:rPr>
        <w:t xml:space="preserve"> </w:t>
      </w:r>
    </w:p>
    <w:p w:rsidR="00461AB6" w:rsidRDefault="00461AB6" w:rsidP="00134900">
      <w:pPr>
        <w:spacing w:after="0" w:line="240" w:lineRule="auto"/>
        <w:rPr>
          <w:rFonts w:ascii="Times New Roman" w:hAnsi="Times New Roman" w:cs="Times New Roman"/>
          <w:sz w:val="24"/>
          <w:szCs w:val="24"/>
        </w:rPr>
      </w:pPr>
    </w:p>
    <w:p w:rsidR="00461AB6" w:rsidRDefault="006A1EB1" w:rsidP="00134900">
      <w:pPr>
        <w:spacing w:after="0" w:line="240" w:lineRule="auto"/>
        <w:rPr>
          <w:rFonts w:ascii="Times New Roman" w:hAnsi="Times New Roman" w:cs="Times New Roman"/>
          <w:sz w:val="24"/>
          <w:szCs w:val="24"/>
        </w:rPr>
      </w:pPr>
      <w:r>
        <w:rPr>
          <w:rFonts w:ascii="Times New Roman" w:hAnsi="Times New Roman" w:cs="Times New Roman"/>
          <w:sz w:val="24"/>
          <w:szCs w:val="24"/>
        </w:rPr>
        <w:t>Much</w:t>
      </w:r>
      <w:r w:rsidR="001677F1">
        <w:rPr>
          <w:rFonts w:ascii="Times New Roman" w:hAnsi="Times New Roman" w:cs="Times New Roman"/>
          <w:sz w:val="24"/>
          <w:szCs w:val="24"/>
        </w:rPr>
        <w:t xml:space="preserve"> of the variant annotation</w:t>
      </w:r>
      <w:r>
        <w:rPr>
          <w:rFonts w:ascii="Times New Roman" w:hAnsi="Times New Roman" w:cs="Times New Roman"/>
          <w:sz w:val="24"/>
          <w:szCs w:val="24"/>
        </w:rPr>
        <w:t xml:space="preserve"> work </w:t>
      </w:r>
      <w:r w:rsidR="001677F1">
        <w:rPr>
          <w:rFonts w:ascii="Times New Roman" w:hAnsi="Times New Roman" w:cs="Times New Roman"/>
          <w:sz w:val="24"/>
          <w:szCs w:val="24"/>
        </w:rPr>
        <w:t xml:space="preserve">in </w:t>
      </w:r>
      <w:r w:rsidR="0073173B">
        <w:rPr>
          <w:rFonts w:ascii="Times New Roman" w:hAnsi="Times New Roman" w:cs="Times New Roman"/>
          <w:sz w:val="24"/>
          <w:szCs w:val="24"/>
        </w:rPr>
        <w:t xml:space="preserve">the </w:t>
      </w:r>
      <w:r w:rsidR="001677F1">
        <w:rPr>
          <w:rFonts w:ascii="Times New Roman" w:hAnsi="Times New Roman" w:cs="Times New Roman"/>
          <w:sz w:val="24"/>
          <w:szCs w:val="24"/>
        </w:rPr>
        <w:t xml:space="preserve">protein-coding regions have been focused on </w:t>
      </w:r>
      <w:r w:rsidR="00461AB6">
        <w:rPr>
          <w:rFonts w:ascii="Times New Roman" w:hAnsi="Times New Roman" w:cs="Times New Roman"/>
          <w:sz w:val="24"/>
          <w:szCs w:val="24"/>
        </w:rPr>
        <w:t xml:space="preserve">first </w:t>
      </w:r>
      <w:r w:rsidR="00A9568C">
        <w:rPr>
          <w:rFonts w:ascii="Times New Roman" w:hAnsi="Times New Roman" w:cs="Times New Roman"/>
          <w:sz w:val="24"/>
          <w:szCs w:val="24"/>
        </w:rPr>
        <w:t xml:space="preserve">identifying </w:t>
      </w:r>
      <w:r w:rsidR="00461AB6">
        <w:rPr>
          <w:rFonts w:ascii="Times New Roman" w:hAnsi="Times New Roman" w:cs="Times New Roman"/>
          <w:sz w:val="24"/>
          <w:szCs w:val="24"/>
        </w:rPr>
        <w:t xml:space="preserve">amino acid residues that </w:t>
      </w:r>
      <w:r w:rsidR="00AD3FCB">
        <w:rPr>
          <w:rFonts w:ascii="Times New Roman" w:hAnsi="Times New Roman" w:cs="Times New Roman"/>
          <w:sz w:val="24"/>
          <w:szCs w:val="24"/>
        </w:rPr>
        <w:t xml:space="preserve">might </w:t>
      </w:r>
      <w:r w:rsidR="00461AB6">
        <w:rPr>
          <w:rFonts w:ascii="Times New Roman" w:hAnsi="Times New Roman" w:cs="Times New Roman"/>
          <w:sz w:val="24"/>
          <w:szCs w:val="24"/>
        </w:rPr>
        <w:t>play important roles in proteins</w:t>
      </w:r>
      <w:r w:rsidR="00B44FC5">
        <w:rPr>
          <w:rFonts w:ascii="Times New Roman" w:hAnsi="Times New Roman" w:cs="Times New Roman"/>
          <w:sz w:val="24"/>
          <w:szCs w:val="24"/>
        </w:rPr>
        <w:t>,</w:t>
      </w:r>
      <w:r w:rsidR="00A9568C">
        <w:rPr>
          <w:rFonts w:ascii="Times New Roman" w:hAnsi="Times New Roman" w:cs="Times New Roman"/>
          <w:sz w:val="24"/>
          <w:szCs w:val="24"/>
        </w:rPr>
        <w:t xml:space="preserve"> mainly </w:t>
      </w:r>
      <w:r w:rsidR="00461AB6">
        <w:rPr>
          <w:rFonts w:ascii="Times New Roman" w:hAnsi="Times New Roman" w:cs="Times New Roman"/>
          <w:sz w:val="24"/>
          <w:szCs w:val="24"/>
        </w:rPr>
        <w:t xml:space="preserve">via </w:t>
      </w:r>
      <w:r w:rsidR="00FA05FA">
        <w:rPr>
          <w:rFonts w:ascii="Times New Roman" w:hAnsi="Times New Roman" w:cs="Times New Roman"/>
          <w:sz w:val="24"/>
          <w:szCs w:val="24"/>
        </w:rPr>
        <w:t xml:space="preserve">protein </w:t>
      </w:r>
      <w:r w:rsidR="00A9568C">
        <w:rPr>
          <w:rFonts w:ascii="Times New Roman" w:hAnsi="Times New Roman" w:cs="Times New Roman"/>
          <w:sz w:val="24"/>
          <w:szCs w:val="24"/>
        </w:rPr>
        <w:t>sequence</w:t>
      </w:r>
      <w:r w:rsidR="00461AB6">
        <w:rPr>
          <w:rFonts w:ascii="Times New Roman" w:hAnsi="Times New Roman" w:cs="Times New Roman"/>
          <w:sz w:val="24"/>
          <w:szCs w:val="24"/>
        </w:rPr>
        <w:t xml:space="preserve"> and structural</w:t>
      </w:r>
      <w:r w:rsidR="00A9568C">
        <w:rPr>
          <w:rFonts w:ascii="Times New Roman" w:hAnsi="Times New Roman" w:cs="Times New Roman"/>
          <w:sz w:val="24"/>
          <w:szCs w:val="24"/>
        </w:rPr>
        <w:t xml:space="preserve"> conservation across species, or a combination </w:t>
      </w:r>
      <w:r w:rsidR="00B4343E">
        <w:rPr>
          <w:rFonts w:ascii="Times New Roman" w:hAnsi="Times New Roman" w:cs="Times New Roman"/>
          <w:sz w:val="24"/>
          <w:szCs w:val="24"/>
        </w:rPr>
        <w:t>of both</w:t>
      </w:r>
      <w:r w:rsidR="00A9568C">
        <w:rPr>
          <w:rFonts w:ascii="Times New Roman" w:hAnsi="Times New Roman" w:cs="Times New Roman"/>
          <w:sz w:val="24"/>
          <w:szCs w:val="24"/>
        </w:rPr>
        <w:t>.</w:t>
      </w:r>
      <w:r w:rsidR="0001337C">
        <w:rPr>
          <w:rFonts w:ascii="Times New Roman" w:hAnsi="Times New Roman" w:cs="Times New Roman"/>
          <w:sz w:val="24"/>
          <w:szCs w:val="24"/>
        </w:rPr>
        <w:fldChar w:fldCharType="begin" w:fldLock="1"/>
      </w:r>
      <w:r w:rsidR="002F0AA0">
        <w:rPr>
          <w:rFonts w:ascii="Times New Roman" w:hAnsi="Times New Roman" w:cs="Times New Roman"/>
          <w:sz w:val="24"/>
          <w:szCs w:val="24"/>
        </w:rPr>
        <w:instrText>ADDIN CSL_CITATION { "citationItems" : [ { "id" : "ITEM-1", "itemData" : { "DOI" : "10.1038/nprot.2009.86", "ISSN" : "1750-2799", "PMID" : "19561590", "abstract" : "The effect of genetic mutation on phenotype is of significant interest in genetics. The type of genetic mutation that causes a single amino acid substitution (AAS) in a protein sequence is called a non-synonymous single nucleotide polymorphism (nsSNP). An nsSNP could potentially affect the function of the protein, subsequently altering the carrier's phenotype. This protocol describes the use of the 'Sorting Tolerant From Intolerant' (SIFT) algorithm in predicting whether an AAS affects protein function. To assess the effect of a substitution, SIFT assumes that important positions in a protein sequence have been conserved throughout evolution and therefore substitutions at these positions may affect protein function. Thus, by using sequence homology, SIFT predicts the effects of all possible substitutions at each position in the protein sequence. The protocol typically takes 5-20 min, depending on the input. SIFT is available as an online tool (http://sift.jcvi.org).", "author" : [ { "dropping-particle" : "", "family" : "Kumar", "given" : "Prateek", "non-dropping-particle" : "", "parse-names" : false, "suffix" : "" }, { "dropping-particle" : "", "family" : "Henikoff", "given" : "Steven", "non-dropping-particle" : "", "parse-names" : false, "suffix" : "" }, { "dropping-particle" : "", "family" : "Ng", "given" : "Pauline C", "non-dropping-particle" : "", "parse-names" : false, "suffix" : "" } ], "container-title" : "Nature protocols", "id" : "ITEM-1", "issue" : "7", "issued" : { "date-parts" : [ [ "2009" ] ] }, "page" : "1073-81", "title" : "Predicting the effects of coding non-synonymous variants on protein function using the SIFT algorithm.", "type" : "article-journal", "volume" : "4" }, "uris" : [ "http://www.mendeley.com/documents/?uuid=97e22dd1-814b-40d7-a741-731de568572c" ] }, { "id" : "ITEM-2", "itemData" : { "DOI" : "10.1002/0471142905.hg0720s76", "ISSN" : "1934-8258", "PMID" : "23315928", "abstract" : "PolyPhen-2 (Polymorphism Phenotyping v2), available as software and via a Web server, predicts the possible impact of amino acid substitutions on the stability and function of human proteins using structural and comparative evolutionary considerations. It performs functional annotation of single-nucleotide polymorphisms (SNPs), maps coding SNPs to gene transcripts, extracts protein sequence annotations and structural attributes, and builds conservation profiles. It then estimates the probability of the missense mutation being damaging based on a combination of all these properties. PolyPhen-2 features include a high-quality multiple protein sequence alignment pipeline and a prediction method employing machine-learning classification. The software also integrates the UCSC Genome Browser's human genome annotations and MultiZ multiple alignments of vertebrate genomes with the human genome. PolyPhen-2 is capable of analyzing large volumes of data produced by next-generation sequencing projects, thanks to built-in support for high-performance computing environments like Grid Engine and Platform LSF.", "author" : [ { "dropping-particle" : "", "family" : "Adzhubei", "given" : "Ivan", "non-dropping-particle" : "", "parse-names" : false, "suffix" : "" }, { "dropping-particle" : "", "family" : "Jordan", "given" : "Daniel M", "non-dropping-particle" : "", "parse-names" : false, "suffix" : "" }, { "dropping-particle" : "", "family" : "Sunyaev", "given" : "Shamil R", "non-dropping-particle" : "", "parse-names" : false, "suffix" : "" } ], "container-title" : "Current protocols in human genetics / editorial board, Jonathan L. Haines ... [et al.]", "id" : "ITEM-2", "issued" : { "date-parts" : [ [ "2013", "1" ] ] }, "page" : "Unit7.20", "title" : "Predicting functional effect of human missense mutations using PolyPhen-2.", "type" : "article-journal", "volume" : "Chapter 7" }, "uris" : [ "http://www.mendeley.com/documents/?uuid=104199fa-ee4a-4c6b-b80c-95647c537a9b" ] }, { "id" : "ITEM-3", "itemData" : { "DOI" : "10.1016/j.ajhg.2011.03.004", "ISSN" : "1537-6605", "PMID" : "21457909", "abstract" : "Several large ongoing initiatives that profit from next-generation sequencing technologies have driven--and in coming years will continue to drive--the emergence of long catalogs of missense single-nucleotide variants (SNVs) in the human genome. As a consequence, researchers have developed various methods and their related computational tools to classify these missense SNVs as probably deleterious or probably neutral polymorphisms. The outputs produced by each of these computational tools are of different natures and thus difficult to compare and integrate. Taking advantage of the possible complementarity between different tools might allow more accurate classifications. Here we propose an effective approach to integrating the output of some of these tools into a unified classification; this approach is based on a weighted average of the normalized scores of the individual methods (WAS). (In this paper, the approach is illustrated for the integration of five tools.) We show that this WAS outperforms each individual method in the task of classifying missense SNVs as deleterious or neutral. Furthermore, we demonstrate that this WAS can be used not only for classification purposes (deleterious versus neutral mutation) but also as an indicator of the impact of the mutation on the functionality of the mutant protein. In other words, it may be used as a deleteriousness score of missense SNVs. Therefore, we recommend the use of this WAS as a consensus deleteriousness score of missense mutations (Condel).", "author" : [ { "dropping-particle" : "", "family" : "Gonz\u00e1lez-P\u00e9rez", "given" : "Abel", "non-dropping-particle" : "", "parse-names" : false, "suffix" : "" }, { "dropping-particle" : "", "family" : "L\u00f3pez-Bigas", "given" : "Nuria", "non-dropping-particle" : "", "parse-names" : false, "suffix" : "" } ], "container-title" : "American journal of human genetics", "id" : "ITEM-3", "issue" : "4", "issued" : { "date-parts" : [ [ "2011", "4", "8" ] ] }, "page" : "440-9", "title" : "Improving the assessment of the outcome of nonsynonymous SNVs with a consensus deleteriousness score, Condel.", "type" : "article-journal", "volume" : "88" }, "uris" : [ "http://www.mendeley.com/documents/?uuid=ac767039-7199-4320-b2f1-ca25b05045d5" ] } ], "mendeley" : { "formattedCitation" : "&lt;sup&gt;3\u20135&lt;/sup&gt;", "plainTextFormattedCitation" : "3\u20135", "previouslyFormattedCitation" : "&lt;sup&gt;3\u20135&lt;/sup&gt;" }, "properties" : { "noteIndex" : 0 }, "schema" : "https://github.com/citation-style-language/schema/raw/master/csl-citation.json" }</w:instrText>
      </w:r>
      <w:r w:rsidR="0001337C">
        <w:rPr>
          <w:rFonts w:ascii="Times New Roman" w:hAnsi="Times New Roman" w:cs="Times New Roman"/>
          <w:sz w:val="24"/>
          <w:szCs w:val="24"/>
        </w:rPr>
        <w:fldChar w:fldCharType="separate"/>
      </w:r>
      <w:r w:rsidR="0001337C" w:rsidRPr="0001337C">
        <w:rPr>
          <w:rFonts w:ascii="Times New Roman" w:hAnsi="Times New Roman" w:cs="Times New Roman"/>
          <w:noProof/>
          <w:sz w:val="24"/>
          <w:szCs w:val="24"/>
          <w:vertAlign w:val="superscript"/>
        </w:rPr>
        <w:t>3–5</w:t>
      </w:r>
      <w:r w:rsidR="0001337C">
        <w:rPr>
          <w:rFonts w:ascii="Times New Roman" w:hAnsi="Times New Roman" w:cs="Times New Roman"/>
          <w:sz w:val="24"/>
          <w:szCs w:val="24"/>
        </w:rPr>
        <w:fldChar w:fldCharType="end"/>
      </w:r>
      <w:r w:rsidR="00A9568C">
        <w:rPr>
          <w:rFonts w:ascii="Times New Roman" w:hAnsi="Times New Roman" w:cs="Times New Roman"/>
          <w:sz w:val="24"/>
          <w:szCs w:val="24"/>
        </w:rPr>
        <w:t xml:space="preserve"> </w:t>
      </w:r>
      <w:r w:rsidR="00616FD1">
        <w:rPr>
          <w:rFonts w:ascii="Times New Roman" w:hAnsi="Times New Roman" w:cs="Times New Roman"/>
          <w:sz w:val="24"/>
          <w:szCs w:val="24"/>
        </w:rPr>
        <w:t>T</w:t>
      </w:r>
      <w:r w:rsidR="00461AB6">
        <w:rPr>
          <w:rFonts w:ascii="Times New Roman" w:hAnsi="Times New Roman" w:cs="Times New Roman"/>
          <w:sz w:val="24"/>
          <w:szCs w:val="24"/>
        </w:rPr>
        <w:t xml:space="preserve">he key idea </w:t>
      </w:r>
      <w:r w:rsidR="00616FD1">
        <w:rPr>
          <w:rFonts w:ascii="Times New Roman" w:hAnsi="Times New Roman" w:cs="Times New Roman"/>
          <w:sz w:val="24"/>
          <w:szCs w:val="24"/>
        </w:rPr>
        <w:t xml:space="preserve">is </w:t>
      </w:r>
      <w:r w:rsidR="00461AB6">
        <w:rPr>
          <w:rFonts w:ascii="Times New Roman" w:hAnsi="Times New Roman" w:cs="Times New Roman"/>
          <w:sz w:val="24"/>
          <w:szCs w:val="24"/>
        </w:rPr>
        <w:t xml:space="preserve">that if </w:t>
      </w:r>
      <w:r w:rsidR="00FA05FA">
        <w:rPr>
          <w:rFonts w:ascii="Times New Roman" w:hAnsi="Times New Roman" w:cs="Times New Roman"/>
          <w:sz w:val="24"/>
          <w:szCs w:val="24"/>
        </w:rPr>
        <w:t>a non-synonymous mutation occur</w:t>
      </w:r>
      <w:r w:rsidR="00461AB6">
        <w:rPr>
          <w:rFonts w:ascii="Times New Roman" w:hAnsi="Times New Roman" w:cs="Times New Roman"/>
          <w:sz w:val="24"/>
          <w:szCs w:val="24"/>
        </w:rPr>
        <w:t xml:space="preserve">s </w:t>
      </w:r>
      <w:r w:rsidR="00FA05FA">
        <w:rPr>
          <w:rFonts w:ascii="Times New Roman" w:hAnsi="Times New Roman" w:cs="Times New Roman"/>
          <w:sz w:val="24"/>
          <w:szCs w:val="24"/>
        </w:rPr>
        <w:t xml:space="preserve">on </w:t>
      </w:r>
      <w:r w:rsidR="00A9568C">
        <w:rPr>
          <w:rFonts w:ascii="Times New Roman" w:hAnsi="Times New Roman" w:cs="Times New Roman"/>
          <w:sz w:val="24"/>
          <w:szCs w:val="24"/>
        </w:rPr>
        <w:t xml:space="preserve">amino acid residue positions that are highly conserved </w:t>
      </w:r>
      <w:r w:rsidR="00204DA7">
        <w:rPr>
          <w:rFonts w:ascii="Times New Roman" w:hAnsi="Times New Roman" w:cs="Times New Roman"/>
          <w:sz w:val="24"/>
          <w:szCs w:val="24"/>
        </w:rPr>
        <w:t>over a long evolutionary time</w:t>
      </w:r>
      <w:r w:rsidR="0073173B">
        <w:rPr>
          <w:rFonts w:ascii="Times New Roman" w:hAnsi="Times New Roman" w:cs="Times New Roman"/>
          <w:sz w:val="24"/>
          <w:szCs w:val="24"/>
        </w:rPr>
        <w:t>scale</w:t>
      </w:r>
      <w:r w:rsidR="00204DA7">
        <w:rPr>
          <w:rFonts w:ascii="Times New Roman" w:hAnsi="Times New Roman" w:cs="Times New Roman"/>
          <w:sz w:val="24"/>
          <w:szCs w:val="24"/>
        </w:rPr>
        <w:t xml:space="preserve"> (structurally </w:t>
      </w:r>
      <w:r w:rsidR="00461AB6">
        <w:rPr>
          <w:rFonts w:ascii="Times New Roman" w:hAnsi="Times New Roman" w:cs="Times New Roman"/>
          <w:sz w:val="24"/>
          <w:szCs w:val="24"/>
        </w:rPr>
        <w:t>and/</w:t>
      </w:r>
      <w:r w:rsidR="00204DA7">
        <w:rPr>
          <w:rFonts w:ascii="Times New Roman" w:hAnsi="Times New Roman" w:cs="Times New Roman"/>
          <w:sz w:val="24"/>
          <w:szCs w:val="24"/>
        </w:rPr>
        <w:t>or sequence-wise)</w:t>
      </w:r>
      <w:r w:rsidR="00FA05FA">
        <w:rPr>
          <w:rFonts w:ascii="Times New Roman" w:hAnsi="Times New Roman" w:cs="Times New Roman"/>
          <w:sz w:val="24"/>
          <w:szCs w:val="24"/>
        </w:rPr>
        <w:t>,</w:t>
      </w:r>
      <w:r w:rsidR="00204DA7">
        <w:rPr>
          <w:rFonts w:ascii="Times New Roman" w:hAnsi="Times New Roman" w:cs="Times New Roman"/>
          <w:sz w:val="24"/>
          <w:szCs w:val="24"/>
        </w:rPr>
        <w:t xml:space="preserve"> </w:t>
      </w:r>
      <w:r w:rsidR="00461AB6">
        <w:rPr>
          <w:rFonts w:ascii="Times New Roman" w:hAnsi="Times New Roman" w:cs="Times New Roman"/>
          <w:sz w:val="24"/>
          <w:szCs w:val="24"/>
        </w:rPr>
        <w:t xml:space="preserve">it </w:t>
      </w:r>
      <w:r w:rsidR="00616FD1">
        <w:rPr>
          <w:rFonts w:ascii="Times New Roman" w:hAnsi="Times New Roman" w:cs="Times New Roman"/>
          <w:sz w:val="24"/>
          <w:szCs w:val="24"/>
        </w:rPr>
        <w:t xml:space="preserve">is </w:t>
      </w:r>
      <w:r w:rsidR="00864363">
        <w:rPr>
          <w:rFonts w:ascii="Times New Roman" w:hAnsi="Times New Roman" w:cs="Times New Roman"/>
          <w:sz w:val="24"/>
          <w:szCs w:val="24"/>
        </w:rPr>
        <w:t xml:space="preserve">more likely </w:t>
      </w:r>
      <w:r w:rsidR="00616FD1">
        <w:rPr>
          <w:rFonts w:ascii="Times New Roman" w:hAnsi="Times New Roman" w:cs="Times New Roman"/>
          <w:sz w:val="24"/>
          <w:szCs w:val="24"/>
        </w:rPr>
        <w:t xml:space="preserve">to </w:t>
      </w:r>
      <w:r w:rsidR="00864363">
        <w:rPr>
          <w:rFonts w:ascii="Times New Roman" w:hAnsi="Times New Roman" w:cs="Times New Roman"/>
          <w:sz w:val="24"/>
          <w:szCs w:val="24"/>
        </w:rPr>
        <w:t xml:space="preserve">be functionally disruptive, especially </w:t>
      </w:r>
      <w:r w:rsidR="00FA05FA">
        <w:rPr>
          <w:rFonts w:ascii="Times New Roman" w:hAnsi="Times New Roman" w:cs="Times New Roman"/>
          <w:sz w:val="24"/>
          <w:szCs w:val="24"/>
        </w:rPr>
        <w:t xml:space="preserve">when it </w:t>
      </w:r>
      <w:r w:rsidR="00864363">
        <w:rPr>
          <w:rFonts w:ascii="Times New Roman" w:hAnsi="Times New Roman" w:cs="Times New Roman"/>
          <w:sz w:val="24"/>
          <w:szCs w:val="24"/>
        </w:rPr>
        <w:t xml:space="preserve">changes an electrochemical property </w:t>
      </w:r>
      <w:r w:rsidR="00FA05FA">
        <w:rPr>
          <w:rFonts w:ascii="Times New Roman" w:hAnsi="Times New Roman" w:cs="Times New Roman"/>
          <w:sz w:val="24"/>
          <w:szCs w:val="24"/>
        </w:rPr>
        <w:t xml:space="preserve">of the amino acid </w:t>
      </w:r>
      <w:r w:rsidR="00461AB6">
        <w:rPr>
          <w:rFonts w:ascii="Times New Roman" w:hAnsi="Times New Roman" w:cs="Times New Roman"/>
          <w:sz w:val="24"/>
          <w:szCs w:val="24"/>
        </w:rPr>
        <w:t>drastically</w:t>
      </w:r>
      <w:r w:rsidR="00864363">
        <w:rPr>
          <w:rFonts w:ascii="Times New Roman" w:hAnsi="Times New Roman" w:cs="Times New Roman"/>
          <w:sz w:val="24"/>
          <w:szCs w:val="24"/>
        </w:rPr>
        <w:t>.</w:t>
      </w:r>
      <w:r w:rsidR="00616FD1">
        <w:rPr>
          <w:rFonts w:ascii="Times New Roman" w:hAnsi="Times New Roman" w:cs="Times New Roman"/>
          <w:sz w:val="24"/>
          <w:szCs w:val="24"/>
        </w:rPr>
        <w:fldChar w:fldCharType="begin" w:fldLock="1"/>
      </w:r>
      <w:r w:rsidR="00616FD1">
        <w:rPr>
          <w:rFonts w:ascii="Times New Roman" w:hAnsi="Times New Roman" w:cs="Times New Roman"/>
          <w:sz w:val="24"/>
          <w:szCs w:val="24"/>
        </w:rPr>
        <w:instrText>ADDIN CSL_CITATION { "citationItems" : [ { "id" : "ITEM-1", "itemData" : { "DOI" : "10.1146/annurev.genom.7.080505.115630", "ISSN" : "1527-8204", "PMID" : "16824020", "abstract" : "Nonsynonymous single nucleotide polymorphisms (nsSNPs) are coding variants that introduce amino acid changes in their corresponding proteins. Because nsSNPs can affect protein function, they are believed to have the largest impact on human health compared with SNPs in other regions of the genome. Therefore, it is important to distinguish those nsSNPs that affect protein function from those that are functionally neutral. Here we provide an overview of amino acid substitution (AAS) prediction methods, which use sequence and/or structure to predict the effect of an AAS on protein function. Most methods predict approximately 25-30% of human nsSNPs to negatively affect protein function, and such nsSNPs tend to be rare in the population. We discuss the utility of AAS prediction methods for Mendelian and complex diseases as well as their broader applications for understanding protein function.", "author" : [ { "dropping-particle" : "", "family" : "Ng", "given" : "Pauline C", "non-dropping-particle" : "", "parse-names" : false, "suffix" : "" }, { "dropping-particle" : "", "family" : "Henikoff", "given" : "Steven", "non-dropping-particle" : "", "parse-names" : false, "suffix" : "" } ], "container-title" : "Annual review of genomics and human genetics", "id" : "ITEM-1", "issued" : { "date-parts" : [ [ "2006" ] ] }, "page" : "61-80", "title" : "Predicting the effects of amino acid substitutions on protein function.", "type" : "article-journal", "volume" : "7" }, "uris" : [ "http://www.mendeley.com/documents/?uuid=16eeb65a-5d10-4e49-8310-43c1e0382571" ] } ], "mendeley" : { "formattedCitation" : "&lt;sup&gt;6&lt;/sup&gt;", "plainTextFormattedCitation" : "6" }, "properties" : { "noteIndex" : 0 }, "schema" : "https://github.com/citation-style-language/schema/raw/master/csl-citation.json" }</w:instrText>
      </w:r>
      <w:r w:rsidR="00616FD1">
        <w:rPr>
          <w:rFonts w:ascii="Times New Roman" w:hAnsi="Times New Roman" w:cs="Times New Roman"/>
          <w:sz w:val="24"/>
          <w:szCs w:val="24"/>
        </w:rPr>
        <w:fldChar w:fldCharType="separate"/>
      </w:r>
      <w:r w:rsidR="00616FD1" w:rsidRPr="00616FD1">
        <w:rPr>
          <w:rFonts w:ascii="Times New Roman" w:hAnsi="Times New Roman" w:cs="Times New Roman"/>
          <w:noProof/>
          <w:sz w:val="24"/>
          <w:szCs w:val="24"/>
          <w:vertAlign w:val="superscript"/>
        </w:rPr>
        <w:t>6</w:t>
      </w:r>
      <w:r w:rsidR="00616FD1">
        <w:rPr>
          <w:rFonts w:ascii="Times New Roman" w:hAnsi="Times New Roman" w:cs="Times New Roman"/>
          <w:sz w:val="24"/>
          <w:szCs w:val="24"/>
        </w:rPr>
        <w:fldChar w:fldCharType="end"/>
      </w:r>
      <w:r w:rsidR="000F14A5">
        <w:rPr>
          <w:rFonts w:ascii="Times New Roman" w:hAnsi="Times New Roman" w:cs="Times New Roman"/>
          <w:sz w:val="24"/>
          <w:szCs w:val="24"/>
        </w:rPr>
        <w:t xml:space="preserve"> </w:t>
      </w:r>
      <w:r w:rsidR="00B4533E">
        <w:rPr>
          <w:rFonts w:ascii="Times New Roman" w:hAnsi="Times New Roman" w:cs="Times New Roman"/>
          <w:sz w:val="24"/>
          <w:szCs w:val="24"/>
        </w:rPr>
        <w:t>For example, at a residue position that is a highly conserved alanine across multiple species, a mutation to a larger aromatic tryptophan should be considered more disruptive than a mutation to a glycine, which is more comparable to alanine electrochemically and size-wise [</w:t>
      </w:r>
      <w:r w:rsidR="00B4533E" w:rsidRPr="00864363">
        <w:rPr>
          <w:rFonts w:ascii="Times New Roman" w:hAnsi="Times New Roman" w:cs="Times New Roman"/>
          <w:color w:val="FF0000"/>
          <w:sz w:val="24"/>
          <w:szCs w:val="24"/>
        </w:rPr>
        <w:t>cite an concrete example?</w:t>
      </w:r>
      <w:r w:rsidR="00B4533E">
        <w:rPr>
          <w:rFonts w:ascii="Times New Roman" w:hAnsi="Times New Roman" w:cs="Times New Roman"/>
          <w:sz w:val="24"/>
          <w:szCs w:val="24"/>
        </w:rPr>
        <w:t xml:space="preserve">]. </w:t>
      </w:r>
      <w:r w:rsidR="000F14A5">
        <w:rPr>
          <w:rFonts w:ascii="Times New Roman" w:hAnsi="Times New Roman" w:cs="Times New Roman"/>
          <w:sz w:val="24"/>
          <w:szCs w:val="24"/>
        </w:rPr>
        <w:t>Sequence conservation has been shown to be one of the most powerful predictors of deleteriousness</w:t>
      </w:r>
      <w:r w:rsidR="00B4533E">
        <w:rPr>
          <w:rFonts w:ascii="Times New Roman" w:hAnsi="Times New Roman" w:cs="Times New Roman"/>
          <w:sz w:val="24"/>
          <w:szCs w:val="24"/>
        </w:rPr>
        <w:t>.</w:t>
      </w:r>
      <w:r w:rsidR="002F0AA0">
        <w:rPr>
          <w:rFonts w:ascii="Times New Roman" w:hAnsi="Times New Roman" w:cs="Times New Roman"/>
          <w:sz w:val="24"/>
          <w:szCs w:val="24"/>
        </w:rPr>
        <w:fldChar w:fldCharType="begin" w:fldLock="1"/>
      </w:r>
      <w:r w:rsidR="00DD5A3D">
        <w:rPr>
          <w:rFonts w:ascii="Times New Roman" w:hAnsi="Times New Roman" w:cs="Times New Roman"/>
          <w:sz w:val="24"/>
          <w:szCs w:val="24"/>
        </w:rPr>
        <w:instrText>ADDIN CSL_CITATION { "citationItems" : [ { "id" : "ITEM-1", "itemData" : { "DOI" : "10.1146/annurev.genom.7.080505.115630", "ISSN" : "1527-8204", "PMID" : "16824020", "abstract" : "Nonsynonymous single nucleotide polymorphisms (nsSNPs) are coding variants that introduce amino acid changes in their corresponding proteins. Because nsSNPs can affect protein function, they are believed to have the largest impact on human health compared with SNPs in other regions of the genome. Therefore, it is important to distinguish those nsSNPs that affect protein function from those that are functionally neutral. Here we provide an overview of amino acid substitution (AAS) prediction methods, which use sequence and/or structure to predict the effect of an AAS on protein function. Most methods predict approximately 25-30% of human nsSNPs to negatively affect protein function, and such nsSNPs tend to be rare in the population. We discuss the utility of AAS prediction methods for Mendelian and complex diseases as well as their broader applications for understanding protein function.", "author" : [ { "dropping-particle" : "", "family" : "Ng", "given" : "Pauline C", "non-dropping-particle" : "", "parse-names" : false, "suffix" : "" }, { "dropping-particle" : "", "family" : "Henikoff", "given" : "Steven", "non-dropping-particle" : "", "parse-names" : false, "suffix" : "" } ], "container-title" : "Annual review of genomics and human genetics", "id" : "ITEM-1", "issued" : { "date-parts" : [ [ "2006" ] ] }, "page" : "61-80", "title" : "Predicting the effects of amino acid substitutions on protein function.", "type" : "article-journal", "volume" : "7" }, "uris" : [ "http://www.mendeley.com/documents/?uuid=16eeb65a-5d10-4e49-8310-43c1e0382571" ] } ], "mendeley" : { "formattedCitation" : "&lt;sup&gt;6&lt;/sup&gt;", "plainTextFormattedCitation" : "6", "previouslyFormattedCitation" : "&lt;sup&gt;6&lt;/sup&gt;" }, "properties" : { "noteIndex" : 0 }, "schema" : "https://github.com/citation-style-language/schema/raw/master/csl-citation.json" }</w:instrText>
      </w:r>
      <w:r w:rsidR="002F0AA0">
        <w:rPr>
          <w:rFonts w:ascii="Times New Roman" w:hAnsi="Times New Roman" w:cs="Times New Roman"/>
          <w:sz w:val="24"/>
          <w:szCs w:val="24"/>
        </w:rPr>
        <w:fldChar w:fldCharType="separate"/>
      </w:r>
      <w:r w:rsidR="002F0AA0" w:rsidRPr="002F0AA0">
        <w:rPr>
          <w:rFonts w:ascii="Times New Roman" w:hAnsi="Times New Roman" w:cs="Times New Roman"/>
          <w:noProof/>
          <w:sz w:val="24"/>
          <w:szCs w:val="24"/>
          <w:vertAlign w:val="superscript"/>
        </w:rPr>
        <w:t>6</w:t>
      </w:r>
      <w:r w:rsidR="002F0AA0">
        <w:rPr>
          <w:rFonts w:ascii="Times New Roman" w:hAnsi="Times New Roman" w:cs="Times New Roman"/>
          <w:sz w:val="24"/>
          <w:szCs w:val="24"/>
        </w:rPr>
        <w:fldChar w:fldCharType="end"/>
      </w:r>
    </w:p>
    <w:p w:rsidR="00461AB6" w:rsidRDefault="00461AB6" w:rsidP="00134900">
      <w:pPr>
        <w:spacing w:after="0" w:line="240" w:lineRule="auto"/>
        <w:rPr>
          <w:rFonts w:ascii="Times New Roman" w:hAnsi="Times New Roman" w:cs="Times New Roman"/>
          <w:sz w:val="24"/>
          <w:szCs w:val="24"/>
        </w:rPr>
      </w:pPr>
    </w:p>
    <w:p w:rsidR="00354FDF" w:rsidRDefault="00FA05FA" w:rsidP="00771F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However, </w:t>
      </w:r>
      <w:r w:rsidR="006D09B2">
        <w:rPr>
          <w:rFonts w:ascii="Times New Roman" w:hAnsi="Times New Roman" w:cs="Times New Roman"/>
          <w:sz w:val="24"/>
          <w:szCs w:val="24"/>
        </w:rPr>
        <w:t>protein-coding regions ar</w:t>
      </w:r>
      <w:r>
        <w:rPr>
          <w:rFonts w:ascii="Times New Roman" w:hAnsi="Times New Roman" w:cs="Times New Roman"/>
          <w:sz w:val="24"/>
          <w:szCs w:val="24"/>
        </w:rPr>
        <w:t>e</w:t>
      </w:r>
      <w:r w:rsidR="00AD3FCB">
        <w:rPr>
          <w:rFonts w:ascii="Times New Roman" w:hAnsi="Times New Roman" w:cs="Times New Roman"/>
          <w:sz w:val="24"/>
          <w:szCs w:val="24"/>
        </w:rPr>
        <w:t>, in</w:t>
      </w:r>
      <w:r>
        <w:rPr>
          <w:rFonts w:ascii="Times New Roman" w:hAnsi="Times New Roman" w:cs="Times New Roman"/>
          <w:sz w:val="24"/>
          <w:szCs w:val="24"/>
        </w:rPr>
        <w:t xml:space="preserve"> </w:t>
      </w:r>
      <w:r w:rsidR="00D6653A">
        <w:rPr>
          <w:rFonts w:ascii="Times New Roman" w:hAnsi="Times New Roman" w:cs="Times New Roman"/>
          <w:sz w:val="24"/>
          <w:szCs w:val="24"/>
        </w:rPr>
        <w:t>g</w:t>
      </w:r>
      <w:r w:rsidR="00AD3FCB">
        <w:rPr>
          <w:rFonts w:ascii="Times New Roman" w:hAnsi="Times New Roman" w:cs="Times New Roman"/>
          <w:sz w:val="24"/>
          <w:szCs w:val="24"/>
        </w:rPr>
        <w:t>eneral,</w:t>
      </w:r>
      <w:r w:rsidR="00D6653A">
        <w:rPr>
          <w:rFonts w:ascii="Times New Roman" w:hAnsi="Times New Roman" w:cs="Times New Roman"/>
          <w:sz w:val="24"/>
          <w:szCs w:val="24"/>
        </w:rPr>
        <w:t xml:space="preserve"> </w:t>
      </w:r>
      <w:r>
        <w:rPr>
          <w:rFonts w:ascii="Times New Roman" w:hAnsi="Times New Roman" w:cs="Times New Roman"/>
          <w:sz w:val="24"/>
          <w:szCs w:val="24"/>
        </w:rPr>
        <w:t xml:space="preserve">under high selection pressure. This is </w:t>
      </w:r>
      <w:r w:rsidR="00616FD1">
        <w:rPr>
          <w:rFonts w:ascii="Times New Roman" w:hAnsi="Times New Roman" w:cs="Times New Roman"/>
          <w:sz w:val="24"/>
          <w:szCs w:val="24"/>
        </w:rPr>
        <w:t>particularly</w:t>
      </w:r>
      <w:r>
        <w:rPr>
          <w:rFonts w:ascii="Times New Roman" w:hAnsi="Times New Roman" w:cs="Times New Roman"/>
          <w:sz w:val="24"/>
          <w:szCs w:val="24"/>
        </w:rPr>
        <w:t xml:space="preserve"> </w:t>
      </w:r>
      <w:r w:rsidR="000F14A5">
        <w:rPr>
          <w:rFonts w:ascii="Times New Roman" w:hAnsi="Times New Roman" w:cs="Times New Roman"/>
          <w:sz w:val="24"/>
          <w:szCs w:val="24"/>
        </w:rPr>
        <w:t>the case</w:t>
      </w:r>
      <w:r>
        <w:rPr>
          <w:rFonts w:ascii="Times New Roman" w:hAnsi="Times New Roman" w:cs="Times New Roman"/>
          <w:sz w:val="24"/>
          <w:szCs w:val="24"/>
        </w:rPr>
        <w:t xml:space="preserve"> </w:t>
      </w:r>
      <w:r w:rsidR="00B4343E">
        <w:rPr>
          <w:rFonts w:ascii="Times New Roman" w:hAnsi="Times New Roman" w:cs="Times New Roman"/>
          <w:sz w:val="24"/>
          <w:szCs w:val="24"/>
        </w:rPr>
        <w:t xml:space="preserve">in </w:t>
      </w:r>
      <w:r w:rsidR="007D56B9">
        <w:rPr>
          <w:rFonts w:ascii="Times New Roman" w:hAnsi="Times New Roman" w:cs="Times New Roman"/>
          <w:sz w:val="24"/>
          <w:szCs w:val="24"/>
        </w:rPr>
        <w:t xml:space="preserve">highly functional </w:t>
      </w:r>
      <w:r w:rsidR="006D09B2">
        <w:rPr>
          <w:rFonts w:ascii="Times New Roman" w:hAnsi="Times New Roman" w:cs="Times New Roman"/>
          <w:sz w:val="24"/>
          <w:szCs w:val="24"/>
        </w:rPr>
        <w:t xml:space="preserve">protein domains, </w:t>
      </w:r>
      <w:r w:rsidR="00771F7A">
        <w:rPr>
          <w:rFonts w:ascii="Times New Roman" w:hAnsi="Times New Roman" w:cs="Times New Roman"/>
          <w:sz w:val="24"/>
          <w:szCs w:val="24"/>
        </w:rPr>
        <w:t xml:space="preserve">so </w:t>
      </w:r>
      <w:r w:rsidR="006D09B2">
        <w:rPr>
          <w:rFonts w:ascii="Times New Roman" w:hAnsi="Times New Roman" w:cs="Times New Roman"/>
          <w:sz w:val="24"/>
          <w:szCs w:val="24"/>
        </w:rPr>
        <w:t xml:space="preserve">that </w:t>
      </w:r>
      <w:r w:rsidR="00616FD1">
        <w:rPr>
          <w:rFonts w:ascii="Times New Roman" w:hAnsi="Times New Roman" w:cs="Times New Roman"/>
          <w:sz w:val="24"/>
          <w:szCs w:val="24"/>
        </w:rPr>
        <w:t>they</w:t>
      </w:r>
      <w:r w:rsidR="00771F7A">
        <w:rPr>
          <w:rFonts w:ascii="Times New Roman" w:hAnsi="Times New Roman" w:cs="Times New Roman"/>
          <w:sz w:val="24"/>
          <w:szCs w:val="24"/>
        </w:rPr>
        <w:t xml:space="preserve"> are preserved </w:t>
      </w:r>
      <w:r w:rsidR="00771F7A">
        <w:rPr>
          <w:rFonts w:ascii="Times New Roman" w:hAnsi="Times New Roman" w:cs="Times New Roman"/>
          <w:sz w:val="24"/>
          <w:szCs w:val="24"/>
        </w:rPr>
        <w:t>over a long evolutionary timescale</w:t>
      </w:r>
      <w:r w:rsidR="00771F7A">
        <w:rPr>
          <w:rFonts w:ascii="Times New Roman" w:hAnsi="Times New Roman" w:cs="Times New Roman"/>
          <w:sz w:val="24"/>
          <w:szCs w:val="24"/>
        </w:rPr>
        <w:t xml:space="preserve">. As such, </w:t>
      </w:r>
      <w:r w:rsidR="0090446B">
        <w:rPr>
          <w:rFonts w:ascii="Times New Roman" w:hAnsi="Times New Roman" w:cs="Times New Roman"/>
          <w:sz w:val="24"/>
          <w:szCs w:val="24"/>
        </w:rPr>
        <w:t>al</w:t>
      </w:r>
      <w:r w:rsidR="006D09B2">
        <w:rPr>
          <w:rFonts w:ascii="Times New Roman" w:hAnsi="Times New Roman" w:cs="Times New Roman"/>
          <w:sz w:val="24"/>
          <w:szCs w:val="24"/>
        </w:rPr>
        <w:t xml:space="preserve">most </w:t>
      </w:r>
      <w:r w:rsidR="0090446B">
        <w:rPr>
          <w:rFonts w:ascii="Times New Roman" w:hAnsi="Times New Roman" w:cs="Times New Roman"/>
          <w:sz w:val="24"/>
          <w:szCs w:val="24"/>
        </w:rPr>
        <w:t xml:space="preserve">all </w:t>
      </w:r>
      <w:r w:rsidR="006D09B2">
        <w:rPr>
          <w:rFonts w:ascii="Times New Roman" w:hAnsi="Times New Roman" w:cs="Times New Roman"/>
          <w:sz w:val="24"/>
          <w:szCs w:val="24"/>
        </w:rPr>
        <w:t xml:space="preserve">positions in these </w:t>
      </w:r>
      <w:r w:rsidR="0073173B">
        <w:rPr>
          <w:rFonts w:ascii="Times New Roman" w:hAnsi="Times New Roman" w:cs="Times New Roman"/>
          <w:sz w:val="24"/>
          <w:szCs w:val="24"/>
        </w:rPr>
        <w:t xml:space="preserve">high-impact </w:t>
      </w:r>
      <w:r w:rsidR="00D6653A">
        <w:rPr>
          <w:rFonts w:ascii="Times New Roman" w:hAnsi="Times New Roman" w:cs="Times New Roman"/>
          <w:sz w:val="24"/>
          <w:szCs w:val="24"/>
        </w:rPr>
        <w:t xml:space="preserve">domains </w:t>
      </w:r>
      <w:r w:rsidR="007D56B9">
        <w:rPr>
          <w:rFonts w:ascii="Times New Roman" w:hAnsi="Times New Roman" w:cs="Times New Roman"/>
          <w:sz w:val="24"/>
          <w:szCs w:val="24"/>
        </w:rPr>
        <w:t xml:space="preserve">tend to be </w:t>
      </w:r>
      <w:r w:rsidR="006D09B2">
        <w:rPr>
          <w:rFonts w:ascii="Times New Roman" w:hAnsi="Times New Roman" w:cs="Times New Roman"/>
          <w:sz w:val="24"/>
          <w:szCs w:val="24"/>
        </w:rPr>
        <w:lastRenderedPageBreak/>
        <w:t>extreme</w:t>
      </w:r>
      <w:r w:rsidR="0038325D">
        <w:rPr>
          <w:rFonts w:ascii="Times New Roman" w:hAnsi="Times New Roman" w:cs="Times New Roman"/>
          <w:sz w:val="24"/>
          <w:szCs w:val="24"/>
        </w:rPr>
        <w:t xml:space="preserve">ly conserved in their </w:t>
      </w:r>
      <w:r w:rsidR="00771F7A">
        <w:rPr>
          <w:rFonts w:ascii="Times New Roman" w:hAnsi="Times New Roman" w:cs="Times New Roman"/>
          <w:sz w:val="24"/>
          <w:szCs w:val="24"/>
        </w:rPr>
        <w:t xml:space="preserve">phylogenetic </w:t>
      </w:r>
      <w:r w:rsidR="0038325D">
        <w:rPr>
          <w:rFonts w:ascii="Times New Roman" w:hAnsi="Times New Roman" w:cs="Times New Roman"/>
          <w:sz w:val="24"/>
          <w:szCs w:val="24"/>
        </w:rPr>
        <w:t>sequences</w:t>
      </w:r>
      <w:r w:rsidR="00771F7A">
        <w:rPr>
          <w:rFonts w:ascii="Times New Roman" w:hAnsi="Times New Roman" w:cs="Times New Roman"/>
          <w:sz w:val="24"/>
          <w:szCs w:val="24"/>
        </w:rPr>
        <w:t xml:space="preserve"> across multiple species</w:t>
      </w:r>
      <w:r w:rsidR="00EA562F">
        <w:rPr>
          <w:rFonts w:ascii="Times New Roman" w:hAnsi="Times New Roman" w:cs="Times New Roman"/>
          <w:sz w:val="24"/>
          <w:szCs w:val="24"/>
        </w:rPr>
        <w:t>, making it hard to pinpoint more important positions</w:t>
      </w:r>
      <w:r w:rsidR="006D09B2">
        <w:rPr>
          <w:rFonts w:ascii="Times New Roman" w:hAnsi="Times New Roman" w:cs="Times New Roman"/>
          <w:sz w:val="24"/>
          <w:szCs w:val="24"/>
        </w:rPr>
        <w:t>.</w:t>
      </w:r>
      <w:r w:rsidR="00A2200D">
        <w:rPr>
          <w:rFonts w:ascii="Times New Roman" w:hAnsi="Times New Roman" w:cs="Times New Roman"/>
          <w:sz w:val="24"/>
          <w:szCs w:val="24"/>
        </w:rPr>
        <w:t xml:space="preserve"> Moreover</w:t>
      </w:r>
      <w:r w:rsidR="000F14A5">
        <w:rPr>
          <w:rFonts w:ascii="Times New Roman" w:hAnsi="Times New Roman" w:cs="Times New Roman"/>
          <w:sz w:val="24"/>
          <w:szCs w:val="24"/>
        </w:rPr>
        <w:t xml:space="preserve">, </w:t>
      </w:r>
      <w:r w:rsidR="00354FDF">
        <w:rPr>
          <w:rFonts w:ascii="Times New Roman" w:hAnsi="Times New Roman" w:cs="Times New Roman"/>
          <w:sz w:val="24"/>
          <w:szCs w:val="24"/>
        </w:rPr>
        <w:t>since all positions are</w:t>
      </w:r>
      <w:r w:rsidR="00FA28AB">
        <w:rPr>
          <w:rFonts w:ascii="Times New Roman" w:hAnsi="Times New Roman" w:cs="Times New Roman"/>
          <w:sz w:val="24"/>
          <w:szCs w:val="24"/>
        </w:rPr>
        <w:t xml:space="preserve"> conserved</w:t>
      </w:r>
      <w:r w:rsidR="00EA562F">
        <w:rPr>
          <w:rFonts w:ascii="Times New Roman" w:hAnsi="Times New Roman" w:cs="Times New Roman"/>
          <w:sz w:val="24"/>
          <w:szCs w:val="24"/>
        </w:rPr>
        <w:t xml:space="preserve">, </w:t>
      </w:r>
      <w:r w:rsidR="00354FDF">
        <w:rPr>
          <w:rFonts w:ascii="Times New Roman" w:hAnsi="Times New Roman" w:cs="Times New Roman"/>
          <w:sz w:val="24"/>
          <w:szCs w:val="24"/>
        </w:rPr>
        <w:t xml:space="preserve">we can </w:t>
      </w:r>
      <w:r w:rsidR="0073173B">
        <w:rPr>
          <w:rFonts w:ascii="Times New Roman" w:hAnsi="Times New Roman" w:cs="Times New Roman"/>
          <w:sz w:val="24"/>
          <w:szCs w:val="24"/>
        </w:rPr>
        <w:t>onl</w:t>
      </w:r>
      <w:r w:rsidR="00771F7A">
        <w:rPr>
          <w:rFonts w:ascii="Times New Roman" w:hAnsi="Times New Roman" w:cs="Times New Roman"/>
          <w:sz w:val="24"/>
          <w:szCs w:val="24"/>
        </w:rPr>
        <w:t xml:space="preserve">y </w:t>
      </w:r>
      <w:r w:rsidR="00354FDF">
        <w:rPr>
          <w:rFonts w:ascii="Times New Roman" w:hAnsi="Times New Roman" w:cs="Times New Roman"/>
          <w:sz w:val="24"/>
          <w:szCs w:val="24"/>
        </w:rPr>
        <w:t xml:space="preserve">determine </w:t>
      </w:r>
      <w:r w:rsidR="00771F7A">
        <w:rPr>
          <w:rFonts w:ascii="Times New Roman" w:hAnsi="Times New Roman" w:cs="Times New Roman"/>
          <w:sz w:val="24"/>
          <w:szCs w:val="24"/>
        </w:rPr>
        <w:t>the general importance of the</w:t>
      </w:r>
      <w:r w:rsidR="0073173B">
        <w:rPr>
          <w:rFonts w:ascii="Times New Roman" w:hAnsi="Times New Roman" w:cs="Times New Roman"/>
          <w:sz w:val="24"/>
          <w:szCs w:val="24"/>
        </w:rPr>
        <w:t xml:space="preserve"> </w:t>
      </w:r>
      <w:r w:rsidR="00EA562F">
        <w:rPr>
          <w:rFonts w:ascii="Times New Roman" w:hAnsi="Times New Roman" w:cs="Times New Roman"/>
          <w:sz w:val="24"/>
          <w:szCs w:val="24"/>
        </w:rPr>
        <w:t>mutation</w:t>
      </w:r>
      <w:r w:rsidR="00771F7A">
        <w:rPr>
          <w:rFonts w:ascii="Times New Roman" w:hAnsi="Times New Roman" w:cs="Times New Roman"/>
          <w:sz w:val="24"/>
          <w:szCs w:val="24"/>
        </w:rPr>
        <w:t xml:space="preserve">, without necessarily knowing what </w:t>
      </w:r>
      <w:r w:rsidR="00354FDF">
        <w:rPr>
          <w:rFonts w:ascii="Times New Roman" w:hAnsi="Times New Roman" w:cs="Times New Roman"/>
          <w:sz w:val="24"/>
          <w:szCs w:val="24"/>
        </w:rPr>
        <w:t xml:space="preserve">specific </w:t>
      </w:r>
      <w:r w:rsidR="00771F7A">
        <w:rPr>
          <w:rFonts w:ascii="Times New Roman" w:hAnsi="Times New Roman" w:cs="Times New Roman"/>
          <w:sz w:val="24"/>
          <w:szCs w:val="24"/>
        </w:rPr>
        <w:t xml:space="preserve">function </w:t>
      </w:r>
      <w:r w:rsidR="00FA28AB">
        <w:rPr>
          <w:rFonts w:ascii="Times New Roman" w:hAnsi="Times New Roman" w:cs="Times New Roman"/>
          <w:sz w:val="24"/>
          <w:szCs w:val="24"/>
        </w:rPr>
        <w:t xml:space="preserve">it </w:t>
      </w:r>
      <w:r w:rsidR="00771F7A">
        <w:rPr>
          <w:rFonts w:ascii="Times New Roman" w:hAnsi="Times New Roman" w:cs="Times New Roman"/>
          <w:sz w:val="24"/>
          <w:szCs w:val="24"/>
        </w:rPr>
        <w:t>might</w:t>
      </w:r>
      <w:r w:rsidR="00354FDF">
        <w:rPr>
          <w:rFonts w:ascii="Times New Roman" w:hAnsi="Times New Roman" w:cs="Times New Roman"/>
          <w:sz w:val="24"/>
          <w:szCs w:val="24"/>
        </w:rPr>
        <w:t xml:space="preserve"> </w:t>
      </w:r>
      <w:r w:rsidR="00FA28AB">
        <w:rPr>
          <w:rFonts w:ascii="Times New Roman" w:hAnsi="Times New Roman" w:cs="Times New Roman"/>
          <w:sz w:val="24"/>
          <w:szCs w:val="24"/>
        </w:rPr>
        <w:t>affect</w:t>
      </w:r>
      <w:r w:rsidR="00771F7A">
        <w:rPr>
          <w:rFonts w:ascii="Times New Roman" w:hAnsi="Times New Roman" w:cs="Times New Roman"/>
          <w:sz w:val="24"/>
          <w:szCs w:val="24"/>
        </w:rPr>
        <w:t xml:space="preserve">. </w:t>
      </w:r>
      <w:r w:rsidR="00354FDF">
        <w:rPr>
          <w:rFonts w:ascii="Times New Roman" w:hAnsi="Times New Roman" w:cs="Times New Roman"/>
          <w:sz w:val="24"/>
          <w:szCs w:val="24"/>
        </w:rPr>
        <w:t xml:space="preserve">One way to elucidate functional roles is via </w:t>
      </w:r>
      <w:r w:rsidR="00771F7A">
        <w:rPr>
          <w:rFonts w:ascii="Times New Roman" w:hAnsi="Times New Roman" w:cs="Times New Roman"/>
          <w:sz w:val="24"/>
          <w:szCs w:val="24"/>
        </w:rPr>
        <w:t>‘guilt-by-association’</w:t>
      </w:r>
      <w:r w:rsidR="00354FDF">
        <w:rPr>
          <w:rFonts w:ascii="Times New Roman" w:hAnsi="Times New Roman" w:cs="Times New Roman"/>
          <w:sz w:val="24"/>
          <w:szCs w:val="24"/>
        </w:rPr>
        <w:t xml:space="preserve">, </w:t>
      </w:r>
      <w:r w:rsidR="00D97D60">
        <w:rPr>
          <w:rFonts w:ascii="Times New Roman" w:hAnsi="Times New Roman" w:cs="Times New Roman"/>
          <w:sz w:val="24"/>
          <w:szCs w:val="24"/>
        </w:rPr>
        <w:t xml:space="preserve">where we can infer the role </w:t>
      </w:r>
      <w:r w:rsidR="00354FDF">
        <w:rPr>
          <w:rFonts w:ascii="Times New Roman" w:hAnsi="Times New Roman" w:cs="Times New Roman"/>
          <w:sz w:val="24"/>
          <w:szCs w:val="24"/>
        </w:rPr>
        <w:t xml:space="preserve">if we </w:t>
      </w:r>
      <w:r w:rsidR="00D97D60">
        <w:rPr>
          <w:rFonts w:ascii="Times New Roman" w:hAnsi="Times New Roman" w:cs="Times New Roman"/>
          <w:sz w:val="24"/>
          <w:szCs w:val="24"/>
        </w:rPr>
        <w:t xml:space="preserve">know </w:t>
      </w:r>
      <w:r w:rsidR="00354FDF">
        <w:rPr>
          <w:rFonts w:ascii="Times New Roman" w:hAnsi="Times New Roman" w:cs="Times New Roman"/>
          <w:sz w:val="24"/>
          <w:szCs w:val="24"/>
        </w:rPr>
        <w:t xml:space="preserve">the </w:t>
      </w:r>
      <w:r w:rsidR="00D97D60">
        <w:rPr>
          <w:rFonts w:ascii="Times New Roman" w:hAnsi="Times New Roman" w:cs="Times New Roman"/>
          <w:sz w:val="24"/>
          <w:szCs w:val="24"/>
        </w:rPr>
        <w:t xml:space="preserve">function of the protein sub-domain that the </w:t>
      </w:r>
      <w:r w:rsidR="00354FDF">
        <w:rPr>
          <w:rFonts w:ascii="Times New Roman" w:hAnsi="Times New Roman" w:cs="Times New Roman"/>
          <w:sz w:val="24"/>
          <w:szCs w:val="24"/>
        </w:rPr>
        <w:t>mutation resides.</w:t>
      </w:r>
    </w:p>
    <w:p w:rsidR="00771F7A" w:rsidRDefault="00A2200D" w:rsidP="00771F7A">
      <w:pPr>
        <w:spacing w:after="0" w:line="240" w:lineRule="auto"/>
        <w:rPr>
          <w:rFonts w:ascii="Times New Roman" w:hAnsi="Times New Roman" w:cs="Times New Roman"/>
          <w:sz w:val="24"/>
          <w:szCs w:val="24"/>
        </w:rPr>
      </w:pPr>
      <w:r>
        <w:rPr>
          <w:rFonts w:ascii="Times New Roman" w:hAnsi="Times New Roman" w:cs="Times New Roman"/>
          <w:sz w:val="24"/>
          <w:szCs w:val="24"/>
        </w:rPr>
        <w:t>Even then</w:t>
      </w:r>
      <w:r w:rsidR="00D97D60">
        <w:rPr>
          <w:rFonts w:ascii="Times New Roman" w:hAnsi="Times New Roman" w:cs="Times New Roman"/>
          <w:sz w:val="24"/>
          <w:szCs w:val="24"/>
        </w:rPr>
        <w:t xml:space="preserve"> though</w:t>
      </w:r>
      <w:r>
        <w:rPr>
          <w:rFonts w:ascii="Times New Roman" w:hAnsi="Times New Roman" w:cs="Times New Roman"/>
          <w:sz w:val="24"/>
          <w:szCs w:val="24"/>
        </w:rPr>
        <w:t xml:space="preserve">, </w:t>
      </w:r>
      <w:r w:rsidR="00EA562F">
        <w:rPr>
          <w:rFonts w:ascii="Times New Roman" w:hAnsi="Times New Roman" w:cs="Times New Roman"/>
          <w:sz w:val="24"/>
          <w:szCs w:val="24"/>
        </w:rPr>
        <w:t xml:space="preserve">there is still </w:t>
      </w:r>
      <w:r w:rsidR="00EA562F">
        <w:rPr>
          <w:rFonts w:ascii="Times New Roman" w:hAnsi="Times New Roman" w:cs="Times New Roman"/>
          <w:sz w:val="24"/>
          <w:szCs w:val="24"/>
        </w:rPr>
        <w:t xml:space="preserve">no clear implication as to how </w:t>
      </w:r>
      <w:r w:rsidR="00EA562F">
        <w:rPr>
          <w:rFonts w:ascii="Times New Roman" w:hAnsi="Times New Roman" w:cs="Times New Roman"/>
          <w:sz w:val="24"/>
          <w:szCs w:val="24"/>
        </w:rPr>
        <w:t xml:space="preserve">the </w:t>
      </w:r>
      <w:r w:rsidR="00EA562F">
        <w:rPr>
          <w:rFonts w:ascii="Times New Roman" w:hAnsi="Times New Roman" w:cs="Times New Roman"/>
          <w:sz w:val="24"/>
          <w:szCs w:val="24"/>
        </w:rPr>
        <w:t xml:space="preserve">non-synonymous </w:t>
      </w:r>
      <w:r w:rsidR="00EA562F">
        <w:rPr>
          <w:rFonts w:ascii="Times New Roman" w:hAnsi="Times New Roman" w:cs="Times New Roman"/>
          <w:sz w:val="24"/>
          <w:szCs w:val="24"/>
        </w:rPr>
        <w:t>mutation</w:t>
      </w:r>
      <w:r w:rsidR="00EA562F">
        <w:rPr>
          <w:rFonts w:ascii="Times New Roman" w:hAnsi="Times New Roman" w:cs="Times New Roman"/>
          <w:sz w:val="24"/>
          <w:szCs w:val="24"/>
        </w:rPr>
        <w:t xml:space="preserve"> might</w:t>
      </w:r>
      <w:r>
        <w:rPr>
          <w:rFonts w:ascii="Times New Roman" w:hAnsi="Times New Roman" w:cs="Times New Roman"/>
          <w:sz w:val="24"/>
          <w:szCs w:val="24"/>
        </w:rPr>
        <w:t xml:space="preserve"> </w:t>
      </w:r>
      <w:r w:rsidR="00D97D60">
        <w:rPr>
          <w:rFonts w:ascii="Times New Roman" w:hAnsi="Times New Roman" w:cs="Times New Roman"/>
          <w:sz w:val="24"/>
          <w:szCs w:val="24"/>
        </w:rPr>
        <w:t xml:space="preserve">more specifically </w:t>
      </w:r>
      <w:r>
        <w:rPr>
          <w:rFonts w:ascii="Times New Roman" w:hAnsi="Times New Roman" w:cs="Times New Roman"/>
          <w:sz w:val="24"/>
          <w:szCs w:val="24"/>
        </w:rPr>
        <w:t xml:space="preserve">affect the </w:t>
      </w:r>
      <w:r w:rsidR="00D97D60">
        <w:rPr>
          <w:rFonts w:ascii="Times New Roman" w:hAnsi="Times New Roman" w:cs="Times New Roman"/>
          <w:sz w:val="24"/>
          <w:szCs w:val="24"/>
        </w:rPr>
        <w:t xml:space="preserve">domain </w:t>
      </w:r>
      <w:r>
        <w:rPr>
          <w:rFonts w:ascii="Times New Roman" w:hAnsi="Times New Roman" w:cs="Times New Roman"/>
          <w:sz w:val="24"/>
          <w:szCs w:val="24"/>
        </w:rPr>
        <w:t>structure,</w:t>
      </w:r>
      <w:r w:rsidR="00EA562F">
        <w:rPr>
          <w:rFonts w:ascii="Times New Roman" w:hAnsi="Times New Roman" w:cs="Times New Roman"/>
          <w:sz w:val="24"/>
          <w:szCs w:val="24"/>
        </w:rPr>
        <w:t xml:space="preserve"> or</w:t>
      </w:r>
      <w:r>
        <w:rPr>
          <w:rFonts w:ascii="Times New Roman" w:hAnsi="Times New Roman" w:cs="Times New Roman"/>
          <w:sz w:val="24"/>
          <w:szCs w:val="24"/>
        </w:rPr>
        <w:t xml:space="preserve"> the function</w:t>
      </w:r>
      <w:r w:rsidR="00EA562F">
        <w:rPr>
          <w:rFonts w:ascii="Times New Roman" w:hAnsi="Times New Roman" w:cs="Times New Roman"/>
          <w:sz w:val="24"/>
          <w:szCs w:val="24"/>
        </w:rPr>
        <w:t>. [</w:t>
      </w:r>
      <w:proofErr w:type="gramStart"/>
      <w:r w:rsidR="00EA562F" w:rsidRPr="003245E5">
        <w:rPr>
          <w:rFonts w:ascii="Times New Roman" w:hAnsi="Times New Roman" w:cs="Times New Roman"/>
          <w:color w:val="FF0000"/>
          <w:sz w:val="24"/>
          <w:szCs w:val="24"/>
        </w:rPr>
        <w:t>cite</w:t>
      </w:r>
      <w:proofErr w:type="gramEnd"/>
      <w:r w:rsidR="00EA562F">
        <w:rPr>
          <w:rFonts w:ascii="Times New Roman" w:hAnsi="Times New Roman" w:cs="Times New Roman"/>
          <w:sz w:val="24"/>
          <w:szCs w:val="24"/>
        </w:rPr>
        <w:t>]</w:t>
      </w:r>
    </w:p>
    <w:p w:rsidR="00771F7A" w:rsidRDefault="00771F7A" w:rsidP="00771F7A">
      <w:pPr>
        <w:spacing w:after="0" w:line="240" w:lineRule="auto"/>
        <w:rPr>
          <w:rFonts w:ascii="Times New Roman" w:hAnsi="Times New Roman" w:cs="Times New Roman"/>
          <w:sz w:val="24"/>
          <w:szCs w:val="24"/>
        </w:rPr>
      </w:pPr>
    </w:p>
    <w:p w:rsidR="00222C9A" w:rsidRDefault="00D97D60" w:rsidP="006B37B8">
      <w:pPr>
        <w:spacing w:after="0" w:line="240" w:lineRule="auto"/>
        <w:rPr>
          <w:rFonts w:ascii="Times New Roman" w:hAnsi="Times New Roman" w:cs="Times New Roman"/>
          <w:sz w:val="24"/>
          <w:szCs w:val="24"/>
        </w:rPr>
      </w:pPr>
      <w:r>
        <w:rPr>
          <w:rFonts w:ascii="Times New Roman" w:hAnsi="Times New Roman" w:cs="Times New Roman"/>
          <w:sz w:val="24"/>
          <w:szCs w:val="24"/>
        </w:rPr>
        <w:t>C</w:t>
      </w:r>
      <w:r w:rsidR="0090446B">
        <w:rPr>
          <w:rFonts w:ascii="Times New Roman" w:hAnsi="Times New Roman" w:cs="Times New Roman"/>
          <w:sz w:val="24"/>
          <w:szCs w:val="24"/>
        </w:rPr>
        <w:t xml:space="preserve">onsequently, it becomes </w:t>
      </w:r>
      <w:r w:rsidR="00D6653A">
        <w:rPr>
          <w:rFonts w:ascii="Times New Roman" w:hAnsi="Times New Roman" w:cs="Times New Roman"/>
          <w:sz w:val="24"/>
          <w:szCs w:val="24"/>
        </w:rPr>
        <w:t xml:space="preserve">very challenging </w:t>
      </w:r>
      <w:r w:rsidR="0090446B">
        <w:rPr>
          <w:rFonts w:ascii="Times New Roman" w:hAnsi="Times New Roman" w:cs="Times New Roman"/>
          <w:sz w:val="24"/>
          <w:szCs w:val="24"/>
        </w:rPr>
        <w:t xml:space="preserve">to </w:t>
      </w:r>
      <w:r w:rsidR="00D6653A">
        <w:rPr>
          <w:rFonts w:ascii="Times New Roman" w:hAnsi="Times New Roman" w:cs="Times New Roman"/>
          <w:sz w:val="24"/>
          <w:szCs w:val="24"/>
        </w:rPr>
        <w:t xml:space="preserve">both </w:t>
      </w:r>
      <w:r w:rsidR="0090446B">
        <w:rPr>
          <w:rFonts w:ascii="Times New Roman" w:hAnsi="Times New Roman" w:cs="Times New Roman"/>
          <w:sz w:val="24"/>
          <w:szCs w:val="24"/>
        </w:rPr>
        <w:t>identify</w:t>
      </w:r>
      <w:r w:rsidR="00134900">
        <w:rPr>
          <w:rFonts w:ascii="Times New Roman" w:hAnsi="Times New Roman" w:cs="Times New Roman"/>
          <w:sz w:val="24"/>
          <w:szCs w:val="24"/>
        </w:rPr>
        <w:t xml:space="preserve"> important</w:t>
      </w:r>
      <w:r w:rsidR="0090446B">
        <w:rPr>
          <w:rFonts w:ascii="Times New Roman" w:hAnsi="Times New Roman" w:cs="Times New Roman"/>
          <w:sz w:val="24"/>
          <w:szCs w:val="24"/>
        </w:rPr>
        <w:t xml:space="preserve"> residue positions </w:t>
      </w:r>
      <w:r w:rsidR="00134900">
        <w:rPr>
          <w:rFonts w:ascii="Times New Roman" w:hAnsi="Times New Roman" w:cs="Times New Roman"/>
          <w:sz w:val="24"/>
          <w:szCs w:val="24"/>
        </w:rPr>
        <w:t xml:space="preserve">and annotate the explicit function that they </w:t>
      </w:r>
      <w:r w:rsidR="00FA05FA">
        <w:rPr>
          <w:rFonts w:ascii="Times New Roman" w:hAnsi="Times New Roman" w:cs="Times New Roman"/>
          <w:sz w:val="24"/>
          <w:szCs w:val="24"/>
        </w:rPr>
        <w:t>perform</w:t>
      </w:r>
      <w:r w:rsidR="0090446B">
        <w:rPr>
          <w:rFonts w:ascii="Times New Roman" w:hAnsi="Times New Roman" w:cs="Times New Roman"/>
          <w:sz w:val="24"/>
          <w:szCs w:val="24"/>
        </w:rPr>
        <w:t xml:space="preserve">. </w:t>
      </w:r>
      <w:r w:rsidR="006A1EB1">
        <w:rPr>
          <w:rFonts w:ascii="Times New Roman" w:hAnsi="Times New Roman" w:cs="Times New Roman"/>
          <w:sz w:val="24"/>
          <w:szCs w:val="24"/>
        </w:rPr>
        <w:t>This is particularly true in protein-protein interactions</w:t>
      </w:r>
      <w:r w:rsidR="00C1312B">
        <w:rPr>
          <w:rFonts w:ascii="Times New Roman" w:hAnsi="Times New Roman" w:cs="Times New Roman"/>
          <w:sz w:val="24"/>
          <w:szCs w:val="24"/>
        </w:rPr>
        <w:t xml:space="preserve"> (PPI)</w:t>
      </w:r>
      <w:r w:rsidR="006A1EB1">
        <w:rPr>
          <w:rFonts w:ascii="Times New Roman" w:hAnsi="Times New Roman" w:cs="Times New Roman"/>
          <w:sz w:val="24"/>
          <w:szCs w:val="24"/>
        </w:rPr>
        <w:t xml:space="preserve">. </w:t>
      </w:r>
      <w:r w:rsidR="002034B0">
        <w:rPr>
          <w:rFonts w:ascii="Times New Roman" w:hAnsi="Times New Roman" w:cs="Times New Roman"/>
          <w:sz w:val="24"/>
          <w:szCs w:val="24"/>
        </w:rPr>
        <w:t>M</w:t>
      </w:r>
      <w:r w:rsidR="006A1EB1">
        <w:rPr>
          <w:rFonts w:ascii="Times New Roman" w:hAnsi="Times New Roman" w:cs="Times New Roman"/>
          <w:sz w:val="24"/>
          <w:szCs w:val="24"/>
        </w:rPr>
        <w:t>any structural and functional studies</w:t>
      </w:r>
      <w:r w:rsidR="002034B0">
        <w:rPr>
          <w:rFonts w:ascii="Times New Roman" w:hAnsi="Times New Roman" w:cs="Times New Roman"/>
          <w:sz w:val="24"/>
          <w:szCs w:val="24"/>
        </w:rPr>
        <w:t xml:space="preserve"> have shown that </w:t>
      </w:r>
      <w:r w:rsidR="006A1EB1">
        <w:rPr>
          <w:rFonts w:ascii="Times New Roman" w:hAnsi="Times New Roman" w:cs="Times New Roman"/>
          <w:sz w:val="24"/>
          <w:szCs w:val="24"/>
        </w:rPr>
        <w:t>there exists only a subset of residues that are important to protein-protein binding, either as ‘hotspot’ residues that directly participates in the protein interaction,</w:t>
      </w:r>
      <w:r w:rsidR="00DD5A3D">
        <w:rPr>
          <w:rFonts w:ascii="Times New Roman" w:hAnsi="Times New Roman" w:cs="Times New Roman"/>
          <w:sz w:val="24"/>
          <w:szCs w:val="24"/>
        </w:rPr>
        <w:fldChar w:fldCharType="begin" w:fldLock="1"/>
      </w:r>
      <w:r w:rsidR="00D37051">
        <w:rPr>
          <w:rFonts w:ascii="Times New Roman" w:hAnsi="Times New Roman" w:cs="Times New Roman"/>
          <w:sz w:val="24"/>
          <w:szCs w:val="24"/>
        </w:rPr>
        <w:instrText>ADDIN CSL_CITATION { "citationItems" : [ { "id" : "ITEM-1", "itemData" : { "ISSN" : "0036-8075", "PMID" : "7529940", "abstract" : "The x-ray crystal structure of the complex between human growth hormone (hGH) and the extracellular domian of its first bound receptor (hGHbp) shows that about 30 side chains from each protein make contact. Individual replacement of contact residues in the hGHbp with alanine showed that a central hydrophobic region, dominated by two tryptophan residues, accounts for more than three-quarters of the binding free energy. This \"functional epitope\" is surrounded by less important contact residues that are generally hydrophilic and partially hydrated, so that the interface resembles a cross section through a globular protein. The functionally important residues on the hGHbp directly contact those on hGH. Thus, only a small and complementary set of contact residues maintains binding affinity, a property that may be general to protein-protein interfaces.", "author" : [ { "dropping-particle" : "", "family" : "Clackson", "given" : "T", "non-dropping-particle" : "", "parse-names" : false, "suffix" : "" }, { "dropping-particle" : "", "family" : "Wells", "given" : "J A", "non-dropping-particle" : "", "parse-names" : false, "suffix" : "" } ], "container-title" : "Science (New York, N.Y.)", "id" : "ITEM-1", "issue" : "5196", "issued" : { "date-parts" : [ [ "1995", "1", "20" ] ] }, "page" : "383-6", "title" : "A hot spot of binding energy in a hormone-receptor interface.", "type" : "article-journal", "volume" : "267" }, "uris" : [ "http://www.mendeley.com/documents/?uuid=81b31b76-fbe5-4fc8-91fc-123242230e84" ] } ], "mendeley" : { "formattedCitation" : "&lt;sup&gt;7&lt;/sup&gt;", "plainTextFormattedCitation" : "7", "previouslyFormattedCitation" : "&lt;sup&gt;7&lt;/sup&gt;" }, "properties" : { "noteIndex" : 0 }, "schema" : "https://github.com/citation-style-language/schema/raw/master/csl-citation.json" }</w:instrText>
      </w:r>
      <w:r w:rsidR="00DD5A3D">
        <w:rPr>
          <w:rFonts w:ascii="Times New Roman" w:hAnsi="Times New Roman" w:cs="Times New Roman"/>
          <w:sz w:val="24"/>
          <w:szCs w:val="24"/>
        </w:rPr>
        <w:fldChar w:fldCharType="separate"/>
      </w:r>
      <w:r w:rsidR="00DD5A3D" w:rsidRPr="00DD5A3D">
        <w:rPr>
          <w:rFonts w:ascii="Times New Roman" w:hAnsi="Times New Roman" w:cs="Times New Roman"/>
          <w:noProof/>
          <w:sz w:val="24"/>
          <w:szCs w:val="24"/>
          <w:vertAlign w:val="superscript"/>
        </w:rPr>
        <w:t>7</w:t>
      </w:r>
      <w:r w:rsidR="00DD5A3D">
        <w:rPr>
          <w:rFonts w:ascii="Times New Roman" w:hAnsi="Times New Roman" w:cs="Times New Roman"/>
          <w:sz w:val="24"/>
          <w:szCs w:val="24"/>
        </w:rPr>
        <w:fldChar w:fldCharType="end"/>
      </w:r>
      <w:r w:rsidR="006A1EB1">
        <w:rPr>
          <w:rFonts w:ascii="Times New Roman" w:hAnsi="Times New Roman" w:cs="Times New Roman"/>
          <w:sz w:val="24"/>
          <w:szCs w:val="24"/>
        </w:rPr>
        <w:t xml:space="preserve"> or as structural residues that maintain the </w:t>
      </w:r>
      <w:r w:rsidR="00217E6D">
        <w:rPr>
          <w:rFonts w:ascii="Times New Roman" w:hAnsi="Times New Roman" w:cs="Times New Roman"/>
          <w:sz w:val="24"/>
          <w:szCs w:val="24"/>
        </w:rPr>
        <w:t>stability</w:t>
      </w:r>
      <w:r w:rsidR="006A1EB1">
        <w:rPr>
          <w:rFonts w:ascii="Times New Roman" w:hAnsi="Times New Roman" w:cs="Times New Roman"/>
          <w:sz w:val="24"/>
          <w:szCs w:val="24"/>
        </w:rPr>
        <w:t xml:space="preserve"> of protein-binding domains [</w:t>
      </w:r>
      <w:r w:rsidR="006A1EB1" w:rsidRPr="00E85D46">
        <w:rPr>
          <w:rFonts w:ascii="Times New Roman" w:hAnsi="Times New Roman" w:cs="Times New Roman"/>
          <w:color w:val="FF0000"/>
          <w:sz w:val="24"/>
          <w:szCs w:val="24"/>
        </w:rPr>
        <w:t>cite motif/domain papers and disease-causing papers</w:t>
      </w:r>
      <w:r w:rsidR="005829C1">
        <w:rPr>
          <w:rFonts w:ascii="Times New Roman" w:hAnsi="Times New Roman" w:cs="Times New Roman"/>
          <w:sz w:val="24"/>
          <w:szCs w:val="24"/>
        </w:rPr>
        <w:t xml:space="preserve">]. </w:t>
      </w:r>
      <w:r w:rsidR="00461AB6">
        <w:rPr>
          <w:rFonts w:ascii="Times New Roman" w:hAnsi="Times New Roman" w:cs="Times New Roman"/>
          <w:sz w:val="24"/>
          <w:szCs w:val="24"/>
        </w:rPr>
        <w:t>To this end, w</w:t>
      </w:r>
      <w:r w:rsidR="007D56B9">
        <w:rPr>
          <w:rFonts w:ascii="Times New Roman" w:hAnsi="Times New Roman" w:cs="Times New Roman"/>
          <w:sz w:val="24"/>
          <w:szCs w:val="24"/>
        </w:rPr>
        <w:t xml:space="preserve">e </w:t>
      </w:r>
      <w:r w:rsidR="006A1EB1">
        <w:rPr>
          <w:rFonts w:ascii="Times New Roman" w:hAnsi="Times New Roman" w:cs="Times New Roman"/>
          <w:sz w:val="24"/>
          <w:szCs w:val="24"/>
        </w:rPr>
        <w:t xml:space="preserve">focus on a category of protein domains that explicitly </w:t>
      </w:r>
      <w:r w:rsidR="00080ABF">
        <w:rPr>
          <w:rFonts w:ascii="Times New Roman" w:hAnsi="Times New Roman" w:cs="Times New Roman"/>
          <w:sz w:val="24"/>
          <w:szCs w:val="24"/>
        </w:rPr>
        <w:t>performs the function of mediating</w:t>
      </w:r>
      <w:r w:rsidR="006A1EB1">
        <w:rPr>
          <w:rFonts w:ascii="Times New Roman" w:hAnsi="Times New Roman" w:cs="Times New Roman"/>
          <w:sz w:val="24"/>
          <w:szCs w:val="24"/>
        </w:rPr>
        <w:t xml:space="preserve"> </w:t>
      </w:r>
      <w:r w:rsidR="00C1312B">
        <w:rPr>
          <w:rFonts w:ascii="Times New Roman" w:hAnsi="Times New Roman" w:cs="Times New Roman"/>
          <w:sz w:val="24"/>
          <w:szCs w:val="24"/>
        </w:rPr>
        <w:t>PPI</w:t>
      </w:r>
      <w:r w:rsidR="00A14779">
        <w:rPr>
          <w:rFonts w:ascii="Times New Roman" w:hAnsi="Times New Roman" w:cs="Times New Roman"/>
          <w:sz w:val="24"/>
          <w:szCs w:val="24"/>
        </w:rPr>
        <w:t xml:space="preserve">, known as </w:t>
      </w:r>
      <w:r w:rsidR="00080ABF">
        <w:rPr>
          <w:rFonts w:ascii="Times New Roman" w:hAnsi="Times New Roman" w:cs="Times New Roman"/>
          <w:sz w:val="24"/>
          <w:szCs w:val="24"/>
        </w:rPr>
        <w:t xml:space="preserve">repeat </w:t>
      </w:r>
      <w:r w:rsidR="00A14779">
        <w:rPr>
          <w:rFonts w:ascii="Times New Roman" w:hAnsi="Times New Roman" w:cs="Times New Roman"/>
          <w:sz w:val="24"/>
          <w:szCs w:val="24"/>
        </w:rPr>
        <w:t xml:space="preserve">protein domains </w:t>
      </w:r>
      <w:r w:rsidR="00080ABF">
        <w:rPr>
          <w:rFonts w:ascii="Times New Roman" w:hAnsi="Times New Roman" w:cs="Times New Roman"/>
          <w:sz w:val="24"/>
          <w:szCs w:val="24"/>
        </w:rPr>
        <w:t>(RPD)</w:t>
      </w:r>
      <w:r w:rsidR="00A14779">
        <w:rPr>
          <w:rFonts w:ascii="Times New Roman" w:hAnsi="Times New Roman" w:cs="Times New Roman"/>
          <w:sz w:val="24"/>
          <w:szCs w:val="24"/>
        </w:rPr>
        <w:t>.</w:t>
      </w:r>
      <w:r w:rsidR="00D37051">
        <w:rPr>
          <w:rFonts w:ascii="Times New Roman" w:hAnsi="Times New Roman" w:cs="Times New Roman"/>
          <w:sz w:val="24"/>
          <w:szCs w:val="24"/>
        </w:rPr>
        <w:fldChar w:fldCharType="begin" w:fldLock="1"/>
      </w:r>
      <w:r w:rsidR="00014EF9">
        <w:rPr>
          <w:rFonts w:ascii="Times New Roman" w:hAnsi="Times New Roman" w:cs="Times New Roman"/>
          <w:sz w:val="24"/>
          <w:szCs w:val="24"/>
        </w:rPr>
        <w:instrText>ADDIN CSL_CITATION { "citationItems" : [ { "id" : "ITEM-1", "itemData" : { "DOI" : "10.1006/jmbi.1999.3136", "ISSN" : "0022-2836", "PMID" : "10512723", "abstract" : "In this study, we analyzed all known protein sequences for repeating amino acid segments. Although duplicated sequence segments occur in 14 % of all proteins, eukaryotic proteins are three times more likely to have internal repeats than prokaryotic proteins. After clustering the repetitive sequence segments into families, we find repeats from eukaryotic proteins have little similarity with prokaryotic repeats, suggesting most repeats arose after the prokaryotic and eukaryotic lineages diverged. Consequently, protein classes with the highest incidence of repetitive sequences perform functions unique to eukaryotes. The frequency distribution of the repeating units shows only weak length dependence, implicating recombination rather than duplex melting or DNA hairpin formation as the limiting mechanism underlying repeat formation. The mechanism favors additional repeats once an initial duplication has been incorporated. Finally, we show that repetitive sequences are favored that contain small and relatively water-soluble residues. We propose that error-prone repeat expansion allows repetitive proteins to evolve more quickly than non-repeat-containing proteins.", "author" : [ { "dropping-particle" : "", "family" : "Marcotte", "given" : "E M", "non-dropping-particle" : "", "parse-names" : false, "suffix" : "" }, { "dropping-particle" : "", "family" : "Pellegrini", "given" : "M", "non-dropping-particle" : "", "parse-names" : false, "suffix" : "" }, { "dropping-particle" : "", "family" : "Yeates", "given" : "T O", "non-dropping-particle" : "", "parse-names" : false, "suffix" : "" }, { "dropping-particle" : "", "family" : "Eisenberg", "given" : "D", "non-dropping-particle" : "", "parse-names" : false, "suffix" : "" } ], "container-title" : "Journal of molecular biology", "id" : "ITEM-1", "issue" : "1", "issued" : { "date-parts" : [ [ "1999", "10", "15" ] ] }, "page" : "151-60", "title" : "A census of protein repeats.", "type" : "article-journal", "volume" : "293" }, "uris" : [ "http://www.mendeley.com/documents/?uuid=07fa04a8-69e9-4832-9359-f6232e4f7e04" ] }, { "id" : "ITEM-2", "itemData" : { "DOI" : "10.1016/j.jsb.2011.08.009", "ISSN" : "1095-8657", "PMID" : "21884799", "abstract" : "The bioinformatics analysis of proteins containing tandem repeats requires special computer programs and databases, since the conventional approaches predominantly developed for globular domains have limited success. Here, I survey bioinformatics tools which have been developed recently for identification and proteome-wide analysis of protein repeats. The last few years have also been marked by an emergence of new 3D structures of these proteins. Appraisal of the known structures and their classification uncovers a straightforward relationship between their architecture and the length of the repetitive units. This relationship and the repetitive character of structural folds suggest rules for better prediction of the 3D structures of such proteins. Furthermore, bioinformatics approaches combined with low resolution structural data, from biophysical techniques, especially, the recently emerged cryo-electron microscopy, lead to reliable prediction of the protein repeat structures and their mode of binding with partners within molecular complexes. This hybrid approach can actively be used for structural and functional annotations of proteomes.", "author" : [ { "dropping-particle" : "V", "family" : "Kajava", "given" : "Andrey", "non-dropping-particle" : "", "parse-names" : false, "suffix" : "" } ], "container-title" : "Journal of structural biology", "id" : "ITEM-2", "issue" : "3", "issued" : { "date-parts" : [ [ "2012", "9" ] ] }, "page" : "279-88", "title" : "Tandem repeats in proteins: from sequence to structure.", "type" : "article-journal", "volume" : "179" }, "uris" : [ "http://www.mendeley.com/documents/?uuid=e423f682-4fa5-4f71-b1cc-f79735fbc467" ] } ], "mendeley" : { "formattedCitation" : "&lt;sup&gt;8,9&lt;/sup&gt;", "plainTextFormattedCitation" : "8,9", "previouslyFormattedCitation" : "&lt;sup&gt;8,9&lt;/sup&gt;" }, "properties" : { "noteIndex" : 0 }, "schema" : "https://github.com/citation-style-language/schema/raw/master/csl-citation.json" }</w:instrText>
      </w:r>
      <w:r w:rsidR="00D37051">
        <w:rPr>
          <w:rFonts w:ascii="Times New Roman" w:hAnsi="Times New Roman" w:cs="Times New Roman"/>
          <w:sz w:val="24"/>
          <w:szCs w:val="24"/>
        </w:rPr>
        <w:fldChar w:fldCharType="separate"/>
      </w:r>
      <w:r w:rsidR="00D37051" w:rsidRPr="00D37051">
        <w:rPr>
          <w:rFonts w:ascii="Times New Roman" w:hAnsi="Times New Roman" w:cs="Times New Roman"/>
          <w:noProof/>
          <w:sz w:val="24"/>
          <w:szCs w:val="24"/>
          <w:vertAlign w:val="superscript"/>
        </w:rPr>
        <w:t>8,9</w:t>
      </w:r>
      <w:r w:rsidR="00D37051">
        <w:rPr>
          <w:rFonts w:ascii="Times New Roman" w:hAnsi="Times New Roman" w:cs="Times New Roman"/>
          <w:sz w:val="24"/>
          <w:szCs w:val="24"/>
        </w:rPr>
        <w:fldChar w:fldCharType="end"/>
      </w:r>
      <w:r w:rsidR="00080ABF">
        <w:rPr>
          <w:rFonts w:ascii="Times New Roman" w:hAnsi="Times New Roman" w:cs="Times New Roman"/>
          <w:sz w:val="24"/>
          <w:szCs w:val="24"/>
        </w:rPr>
        <w:t xml:space="preserve"> </w:t>
      </w:r>
      <w:r w:rsidR="00115F50">
        <w:rPr>
          <w:rFonts w:ascii="Times New Roman" w:hAnsi="Times New Roman" w:cs="Times New Roman"/>
          <w:sz w:val="24"/>
          <w:szCs w:val="24"/>
        </w:rPr>
        <w:t>RPDs</w:t>
      </w:r>
      <w:r w:rsidR="002800E3">
        <w:rPr>
          <w:rFonts w:ascii="Times New Roman" w:hAnsi="Times New Roman" w:cs="Times New Roman"/>
          <w:sz w:val="24"/>
          <w:szCs w:val="24"/>
        </w:rPr>
        <w:t xml:space="preserve"> have been found to be present in almost one in every three human protein.</w:t>
      </w:r>
      <w:r w:rsidR="00014EF9">
        <w:rPr>
          <w:rFonts w:ascii="Times New Roman" w:hAnsi="Times New Roman" w:cs="Times New Roman"/>
          <w:sz w:val="24"/>
          <w:szCs w:val="24"/>
        </w:rPr>
        <w:fldChar w:fldCharType="begin" w:fldLock="1"/>
      </w:r>
      <w:r w:rsidR="00447334">
        <w:rPr>
          <w:rFonts w:ascii="Times New Roman" w:hAnsi="Times New Roman" w:cs="Times New Roman"/>
          <w:sz w:val="24"/>
          <w:szCs w:val="24"/>
        </w:rPr>
        <w:instrText>ADDIN CSL_CITATION { "citationItems" : [ { "id" : "ITEM-1", "itemData" : { "DOI" : "10.1006/jsbi.2001.4392", "ISSN" : "1047-8477", "PMID" : "11551174", "abstract" : "Internal repetition within proteins has been a successful strategem on multiple separate occasions throughout evolution. Such protein repeats possess regular secondary structures and form multirepeat assemblies in three dimensions of diverse sizes and functions. In general, however, internal repetition affords a protein enhanced evolutionary prospects due to an enlargement of its available binding surface area. Constraints on sequence conservation appear to be relatively lax, due to binding functions ensuing from multiple, rather than, single repeats. Considerable sequence divergence as well as the short lengths of sequence repeats mean that repeat detection can be a particularly arduous task. We also consider the conundrum of how multiple repeats, which show strong structural and functional interdependencies, ever evolved from a single repeat ancestor. In this review, we illustrate each of these points by referring to six prolific repeat types (repeats in beta-propellers and beta-trefoils and tetratricopeptide, ankyrin, armadillo/HEAT, and leucine-rich repeats) and in other less-prolific but nonetheless interesting repeats.", "author" : [ { "dropping-particle" : "", "family" : "Andrade", "given" : "M A", "non-dropping-particle" : "", "parse-names" : false, "suffix" : "" }, { "dropping-particle" : "", "family" : "Perez-Iratxeta", "given" : "C", "non-dropping-particle" : "", "parse-names" : false, "suffix" : "" }, { "dropping-particle" : "", "family" : "Ponting", "given" : "C P", "non-dropping-particle" : "", "parse-names" : false, "suffix" : "" } ], "container-title" : "Journal of structural biology", "id" : "ITEM-1", "issue" : "2-3", "issued" : { "date-parts" : [ [ "0" ] ] }, "page" : "117-31", "title" : "Protein repeats: structures, functions, and evolution.", "type" : "article-journal", "volume" : "134" }, "uris" : [ "http://www.mendeley.com/documents/?uuid=432ebbce-228f-4acf-b256-e0cbf80cd51c" ] } ], "mendeley" : { "formattedCitation" : "&lt;sup&gt;10&lt;/sup&gt;", "plainTextFormattedCitation" : "10", "previouslyFormattedCitation" : "&lt;sup&gt;10&lt;/sup&gt;" }, "properties" : { "noteIndex" : 0 }, "schema" : "https://github.com/citation-style-language/schema/raw/master/csl-citation.json" }</w:instrText>
      </w:r>
      <w:r w:rsidR="00014EF9">
        <w:rPr>
          <w:rFonts w:ascii="Times New Roman" w:hAnsi="Times New Roman" w:cs="Times New Roman"/>
          <w:sz w:val="24"/>
          <w:szCs w:val="24"/>
        </w:rPr>
        <w:fldChar w:fldCharType="separate"/>
      </w:r>
      <w:r w:rsidR="00014EF9" w:rsidRPr="00014EF9">
        <w:rPr>
          <w:rFonts w:ascii="Times New Roman" w:hAnsi="Times New Roman" w:cs="Times New Roman"/>
          <w:noProof/>
          <w:sz w:val="24"/>
          <w:szCs w:val="24"/>
          <w:vertAlign w:val="superscript"/>
        </w:rPr>
        <w:t>10</w:t>
      </w:r>
      <w:r w:rsidR="00014EF9">
        <w:rPr>
          <w:rFonts w:ascii="Times New Roman" w:hAnsi="Times New Roman" w:cs="Times New Roman"/>
          <w:sz w:val="24"/>
          <w:szCs w:val="24"/>
        </w:rPr>
        <w:fldChar w:fldCharType="end"/>
      </w:r>
      <w:r w:rsidR="00014EF9">
        <w:rPr>
          <w:rFonts w:ascii="Times New Roman" w:hAnsi="Times New Roman" w:cs="Times New Roman"/>
          <w:sz w:val="24"/>
          <w:szCs w:val="24"/>
        </w:rPr>
        <w:t xml:space="preserve"> </w:t>
      </w:r>
      <w:r w:rsidR="00115F50">
        <w:rPr>
          <w:rFonts w:ascii="Times New Roman" w:hAnsi="Times New Roman" w:cs="Times New Roman"/>
          <w:sz w:val="24"/>
          <w:szCs w:val="24"/>
        </w:rPr>
        <w:t xml:space="preserve">As a result, many </w:t>
      </w:r>
      <w:r w:rsidR="002800E3">
        <w:rPr>
          <w:rFonts w:ascii="Times New Roman" w:hAnsi="Times New Roman" w:cs="Times New Roman"/>
          <w:sz w:val="24"/>
          <w:szCs w:val="24"/>
        </w:rPr>
        <w:t xml:space="preserve">classes of </w:t>
      </w:r>
      <w:r w:rsidR="00115F50">
        <w:rPr>
          <w:rFonts w:ascii="Times New Roman" w:hAnsi="Times New Roman" w:cs="Times New Roman"/>
          <w:sz w:val="24"/>
          <w:szCs w:val="24"/>
        </w:rPr>
        <w:t xml:space="preserve">RPDs </w:t>
      </w:r>
      <w:r w:rsidR="002800E3">
        <w:rPr>
          <w:rFonts w:ascii="Times New Roman" w:hAnsi="Times New Roman" w:cs="Times New Roman"/>
          <w:sz w:val="24"/>
          <w:szCs w:val="24"/>
        </w:rPr>
        <w:t xml:space="preserve">have </w:t>
      </w:r>
      <w:r w:rsidR="00115F50">
        <w:rPr>
          <w:rFonts w:ascii="Times New Roman" w:hAnsi="Times New Roman" w:cs="Times New Roman"/>
          <w:sz w:val="24"/>
          <w:szCs w:val="24"/>
        </w:rPr>
        <w:t xml:space="preserve">also </w:t>
      </w:r>
      <w:r w:rsidR="002800E3">
        <w:rPr>
          <w:rFonts w:ascii="Times New Roman" w:hAnsi="Times New Roman" w:cs="Times New Roman"/>
          <w:sz w:val="24"/>
          <w:szCs w:val="24"/>
        </w:rPr>
        <w:t>been studied extensively.</w:t>
      </w:r>
      <w:r w:rsidR="00447334">
        <w:rPr>
          <w:rFonts w:ascii="Times New Roman" w:hAnsi="Times New Roman" w:cs="Times New Roman"/>
          <w:sz w:val="24"/>
          <w:szCs w:val="24"/>
        </w:rPr>
        <w:fldChar w:fldCharType="begin" w:fldLock="1"/>
      </w:r>
      <w:r w:rsidR="00447334">
        <w:rPr>
          <w:rFonts w:ascii="Times New Roman" w:hAnsi="Times New Roman" w:cs="Times New Roman"/>
          <w:sz w:val="24"/>
          <w:szCs w:val="24"/>
        </w:rPr>
        <w:instrText>ADDIN CSL_CITATION { "citationItems" : [ { "id" : "ITEM-1", "itemData" : { "DOI" : "10.1021/bi062188q", "ISSN" : "1520-4995", "PMID" : "17176038", "abstract" : "Ankyrin repeat, one of the most widely existing protein motifs in nature, consists of 30-34 amino acid residues and exclusively functions to mediate protein-protein interactions, some of which are directly involved in the development of human cancer and other diseases. Each ankyrin repeat exhibits a helix-turn-helix conformation, and strings of such tandem repeats are packed in a nearly linear array to form helix-turn-helix bundles with relatively flexible loops. The global structure of an ankyrin repeat protein is mainly stabilized by intra- and inter-repeat hydrophobic and hydrogen bonding interactions. The repetitive and elongated nature of ankyrin repeat proteins provides the molecular bases of the unique characteristics of ankyrin repeat proteins in protein stability, folding and unfolding, and binding specificity. Recent studies have demonstrated that ankyrin repeat proteins do not recognize specific sequences, and interacting residues are discontinuously dispersed into the whole molecules of both the ankyrin repeat protein and its partner. In addition, the availability of thousands of ankyrin repeat sequences has made it feasible to use rational design to modify the specificity and stability of physiologically important ankyrin repeat proteins and even to generate ankyrin repeat proteins with novel functions through combinatorial chemistry approaches.", "author" : [ { "dropping-particle" : "", "family" : "Li", "given" : "Junan", "non-dropping-particle" : "", "parse-names" : false, "suffix" : "" }, { "dropping-particle" : "", "family" : "Mahajan", "given" : "Anjali", "non-dropping-particle" : "", "parse-names" : false, "suffix" : "" }, { "dropping-particle" : "", "family" : "Tsai", "given" : "Ming-Daw", "non-dropping-particle" : "", "parse-names" : false, "suffix" : "" } ], "container-title" : "Biochemistry", "id" : "ITEM-1", "issue" : "51", "issued" : { "date-parts" : [ [ "2006", "12", "26" ] ] }, "page" : "15168-78", "title" : "Ankyrin repeat: a unique motif mediating protein-protein interactions.", "type" : "article-journal", "volume" : "45" }, "uris" : [ "http://www.mendeley.com/documents/?uuid=6e032ff9-d480-4593-bce9-4abbfe0e3845" ] }, { "id" : "ITEM-2", "itemData" : { "DOI" : "10.1006/jmbi.2001.4624", "ISSN" : "0022-2836", "PMID" : "11491282", "abstract" : "ARM and HEAT motifs are tandemly repeated sequences of approximately 50 amino acid residues that occur in a wide variety of eukaryotic proteins. An exhaustive search of sequence databases detected new family members and revealed that at least 1 in 500 eukaryotic protein sequences contain such repeats. It also rendered the similarity between ARM and HEAT repeats, believed to be evolutionarily related, readily apparent. All the proteins identified in the database searches could be clustered by sequence similarity into four groups: canonical ARM-repeat proteins and three groups of the more divergent HEAT-repeat proteins. This allowed us to build improved sequence profiles for the automatic detection of repeat motifs. Inspection of these profiles indicated that the individual repeat motifs of all four classes share a common set of seven highly conserved hydrophobic residues, which in proteins of known three-dimensional structure are buried within or between repeats. However, the motifs differ at several specific residue positions, suggesting important structural or functional differences among the classes. Our results illustrate that ARM and HEAT-repeat proteins, while having a common phylogenetic origin, have since diverged significantly. We discuss evolutionary scenarios that could account for the great diversity of repeats observed.", "author" : [ { "dropping-particle" : "", "family" : "Andrade", "given" : "M A", "non-dropping-particle" : "", "parse-names" : false, "suffix" : "" }, { "dropping-particle" : "", "family" : "Petosa", "given" : "C", "non-dropping-particle" : "", "parse-names" : false, "suffix" : "" }, { "dropping-particle" : "", "family" : "O'Donoghue", "given" : "S I", "non-dropping-particle" : "", "parse-names" : false, "suffix" : "" }, { "dropping-particle" : "", "family" : "M\u00fcller", "given" : "C W", "non-dropping-particle" : "", "parse-names" : false, "suffix" : "" }, { "dropping-particle" : "", "family" : "Bork", "given" : "P", "non-dropping-particle" : "", "parse-names" : false, "suffix" : "" } ], "container-title" : "Journal of molecular biology", "id" : "ITEM-2", "issue" : "1", "issued" : { "date-parts" : [ [ "2001", "5", "25" ] ] }, "page" : "1-18", "title" : "Comparison of ARM and HEAT protein repeats.", "type" : "article-journal", "volume" : "309" }, "uris" : [ "http://www.mendeley.com/documents/?uuid=5911eda9-0c48-4d7a-bbb6-fe4631204841" ] }, { "id" : "ITEM-3", "itemData" : { "DOI" : "10.1007/s12192-010-0248-0", "ISSN" : "1466-1268", "PMID" : "21153002", "abstract" : "The tetratricopeptide repeat (TPR) motif is one of many repeat motifs that form structural domains in proteins that can act as interaction scaffolds in the formation of multi-protein complexes involved in numerous cellular processes such as transcription, the cell cycle, protein translocation, protein degradation and host defence against invading pathogens. The crystal structures of many TPR domain-containing proteins have been determined, showing TPR motifs as two anti-parallel \u03b1-helices packed in tandem arrays to form a structure with an amphipathic groove which can bind a target peptide. This is however not the only mode of target recognition by TPR domains, with short amino acid insertions and alternative TPR motif conformations also shown to contribute to protein interactions, highlighting diversity in TPR domains and the versatility of this structure in mediating biological events.", "author" : [ { "dropping-particle" : "", "family" : "Allan", "given" : "Rudi Kenneth", "non-dropping-particle" : "", "parse-names" : false, "suffix" : "" }, { "dropping-particle" : "", "family" : "Ratajczak", "given" : "Thomas", "non-dropping-particle" : "", "parse-names" : false, "suffix" : "" } ], "container-title" : "Cell stress &amp; chaperones", "id" : "ITEM-3", "issue" : "4", "issued" : { "date-parts" : [ [ "2011", "7" ] ] }, "page" : "353-67", "title" : "Versatile TPR domains accommodate different modes of target protein recognition and function.", "type" : "article-journal", "volume" : "16" }, "uris" : [ "http://www.mendeley.com/documents/?uuid=4458bf42-cb9e-4755-94f9-e6d22e54dc04" ] } ], "mendeley" : { "formattedCitation" : "&lt;sup&gt;11\u201313&lt;/sup&gt;", "plainTextFormattedCitation" : "11\u201313", "previouslyFormattedCitation" : "&lt;sup&gt;11\u201313&lt;/sup&gt;" }, "properties" : { "noteIndex" : 0 }, "schema" : "https://github.com/citation-style-language/schema/raw/master/csl-citation.json" }</w:instrText>
      </w:r>
      <w:r w:rsidR="00447334">
        <w:rPr>
          <w:rFonts w:ascii="Times New Roman" w:hAnsi="Times New Roman" w:cs="Times New Roman"/>
          <w:sz w:val="24"/>
          <w:szCs w:val="24"/>
        </w:rPr>
        <w:fldChar w:fldCharType="separate"/>
      </w:r>
      <w:r w:rsidR="00447334" w:rsidRPr="00447334">
        <w:rPr>
          <w:rFonts w:ascii="Times New Roman" w:hAnsi="Times New Roman" w:cs="Times New Roman"/>
          <w:noProof/>
          <w:sz w:val="24"/>
          <w:szCs w:val="24"/>
          <w:vertAlign w:val="superscript"/>
        </w:rPr>
        <w:t>11–13</w:t>
      </w:r>
      <w:r w:rsidR="00447334">
        <w:rPr>
          <w:rFonts w:ascii="Times New Roman" w:hAnsi="Times New Roman" w:cs="Times New Roman"/>
          <w:sz w:val="24"/>
          <w:szCs w:val="24"/>
        </w:rPr>
        <w:fldChar w:fldCharType="end"/>
      </w:r>
      <w:r w:rsidR="002800E3">
        <w:rPr>
          <w:rFonts w:ascii="Times New Roman" w:hAnsi="Times New Roman" w:cs="Times New Roman"/>
          <w:sz w:val="24"/>
          <w:szCs w:val="24"/>
        </w:rPr>
        <w:t xml:space="preserve"> </w:t>
      </w:r>
      <w:r w:rsidR="00115F50">
        <w:rPr>
          <w:rFonts w:ascii="Times New Roman" w:hAnsi="Times New Roman" w:cs="Times New Roman"/>
          <w:sz w:val="24"/>
          <w:szCs w:val="24"/>
        </w:rPr>
        <w:t>E</w:t>
      </w:r>
      <w:r w:rsidR="00080ABF">
        <w:rPr>
          <w:rFonts w:ascii="Times New Roman" w:hAnsi="Times New Roman" w:cs="Times New Roman"/>
          <w:sz w:val="24"/>
          <w:szCs w:val="24"/>
        </w:rPr>
        <w:t xml:space="preserve">ach </w:t>
      </w:r>
      <w:r w:rsidR="00115F50">
        <w:rPr>
          <w:rFonts w:ascii="Times New Roman" w:hAnsi="Times New Roman" w:cs="Times New Roman"/>
          <w:sz w:val="24"/>
          <w:szCs w:val="24"/>
        </w:rPr>
        <w:t xml:space="preserve">RPD </w:t>
      </w:r>
      <w:r w:rsidR="00080ABF">
        <w:rPr>
          <w:rFonts w:ascii="Times New Roman" w:hAnsi="Times New Roman" w:cs="Times New Roman"/>
          <w:sz w:val="24"/>
          <w:szCs w:val="24"/>
        </w:rPr>
        <w:t xml:space="preserve">is made up of modular repeat motifs of the same class. For example, </w:t>
      </w:r>
      <w:proofErr w:type="spellStart"/>
      <w:r w:rsidR="00080ABF">
        <w:rPr>
          <w:rFonts w:ascii="Times New Roman" w:hAnsi="Times New Roman" w:cs="Times New Roman"/>
          <w:sz w:val="24"/>
          <w:szCs w:val="24"/>
        </w:rPr>
        <w:t>tetratricopeptide</w:t>
      </w:r>
      <w:proofErr w:type="spellEnd"/>
      <w:r w:rsidR="00080ABF">
        <w:rPr>
          <w:rFonts w:ascii="Times New Roman" w:hAnsi="Times New Roman" w:cs="Times New Roman"/>
          <w:sz w:val="24"/>
          <w:szCs w:val="24"/>
        </w:rPr>
        <w:t xml:space="preserve"> repeat (TPR) domains are made up of only TPR motifs and Ankyrin repeat (ANK) domains of ANK repeat motifs. This modularity gives rise to a strategy</w:t>
      </w:r>
      <w:r w:rsidR="00312C04">
        <w:rPr>
          <w:rFonts w:ascii="Times New Roman" w:hAnsi="Times New Roman" w:cs="Times New Roman"/>
          <w:sz w:val="24"/>
          <w:szCs w:val="24"/>
        </w:rPr>
        <w:t xml:space="preserve"> </w:t>
      </w:r>
      <w:r w:rsidR="00B01C24">
        <w:rPr>
          <w:rFonts w:ascii="Times New Roman" w:hAnsi="Times New Roman" w:cs="Times New Roman"/>
          <w:sz w:val="24"/>
          <w:szCs w:val="24"/>
        </w:rPr>
        <w:t xml:space="preserve">that was first introduced </w:t>
      </w:r>
      <w:r w:rsidR="0084578D">
        <w:rPr>
          <w:rFonts w:ascii="Times New Roman" w:hAnsi="Times New Roman" w:cs="Times New Roman"/>
          <w:sz w:val="24"/>
          <w:szCs w:val="24"/>
        </w:rPr>
        <w:t>in the field</w:t>
      </w:r>
      <w:r w:rsidR="00312C04">
        <w:rPr>
          <w:rFonts w:ascii="Times New Roman" w:hAnsi="Times New Roman" w:cs="Times New Roman"/>
          <w:sz w:val="24"/>
          <w:szCs w:val="24"/>
        </w:rPr>
        <w:t xml:space="preserve"> of protein engineering</w:t>
      </w:r>
      <w:r w:rsidR="008C5C6A">
        <w:rPr>
          <w:rFonts w:ascii="Times New Roman" w:hAnsi="Times New Roman" w:cs="Times New Roman"/>
          <w:sz w:val="24"/>
          <w:szCs w:val="24"/>
        </w:rPr>
        <w:t xml:space="preserve"> to create protein design templates so that non-template features can be grafted into these protein scaffolds to design </w:t>
      </w:r>
      <w:r w:rsidR="00154CD7">
        <w:rPr>
          <w:rFonts w:ascii="Times New Roman" w:hAnsi="Times New Roman" w:cs="Times New Roman"/>
          <w:sz w:val="24"/>
          <w:szCs w:val="24"/>
        </w:rPr>
        <w:t xml:space="preserve">synthetic </w:t>
      </w:r>
      <w:r w:rsidR="008C5C6A">
        <w:rPr>
          <w:rFonts w:ascii="Times New Roman" w:hAnsi="Times New Roman" w:cs="Times New Roman"/>
          <w:sz w:val="24"/>
          <w:szCs w:val="24"/>
        </w:rPr>
        <w:t xml:space="preserve">proteins with </w:t>
      </w:r>
      <w:r w:rsidR="00154CD7">
        <w:rPr>
          <w:rFonts w:ascii="Times New Roman" w:hAnsi="Times New Roman" w:cs="Times New Roman"/>
          <w:sz w:val="24"/>
          <w:szCs w:val="24"/>
        </w:rPr>
        <w:t xml:space="preserve">desired </w:t>
      </w:r>
      <w:r w:rsidR="008C5C6A">
        <w:rPr>
          <w:rFonts w:ascii="Times New Roman" w:hAnsi="Times New Roman" w:cs="Times New Roman"/>
          <w:sz w:val="24"/>
          <w:szCs w:val="24"/>
        </w:rPr>
        <w:t>specificities and affinities</w:t>
      </w:r>
      <w:r w:rsidR="00D019E9">
        <w:rPr>
          <w:rFonts w:ascii="Times New Roman" w:hAnsi="Times New Roman" w:cs="Times New Roman"/>
          <w:sz w:val="24"/>
          <w:szCs w:val="24"/>
        </w:rPr>
        <w:t>.</w:t>
      </w:r>
      <w:r w:rsidR="00C161F2">
        <w:rPr>
          <w:rFonts w:ascii="Times New Roman" w:hAnsi="Times New Roman" w:cs="Times New Roman"/>
          <w:sz w:val="24"/>
          <w:szCs w:val="24"/>
        </w:rPr>
        <w:fldChar w:fldCharType="begin" w:fldLock="1"/>
      </w:r>
      <w:r w:rsidR="004B6ADA">
        <w:rPr>
          <w:rFonts w:ascii="Times New Roman" w:hAnsi="Times New Roman" w:cs="Times New Roman"/>
          <w:sz w:val="24"/>
          <w:szCs w:val="24"/>
        </w:rPr>
        <w:instrText>ADDIN CSL_CITATION { "citationItems" : [ { "id" : "ITEM-1", "itemData" : { "ISSN" : "0006-3002", "PMID" : "11150616", "abstract" : "Previously, sequence comparisons between a mesophilic enzyme and a more thermostable homologue were shown to be a feasible approach to successfully predict thermostabilizing amino acid substitutions. The 'consensus approach' described in the present paper shows that even a set of amino acid sequences of homologous, mesophilic enzymes contains sufficient information to allow rapid design of a thermostabilized, fully functional variant of this family of enzymes. A sequence alignment of homologous fungal phytases was used to calculate a consensus phytase amino acid sequence. Upon construction of the synthetic gene, recombinant expression and purification, the first phytase obtained, termed consensus phytase-1, displayed an unfolding temperature (T(m)) of 78.0 degrees C which is 15-22 degrees C higher than the T(m) values of all parent phytases used in its design. Refinement of the approach, combined with site-directed mutagenesis experiments, yielded optimized consensus phytases with T(m) values of up to 90.4 degrees C. These increases in T(m) are due to the combination of multiple amino acid exchanges which are distributed over the entire sequence of the protein and mainly affect surface-exposed residues; each individual substitution has a rather small thermostabilizing effect only. Remarkably, in spite of the pronounced increase in thermostability, catalytic activity at 37 degrees C is not compromised. Thus, the design of consensus proteins is a potentially powerful and novel alternative to directed evolution and to a series of rational approaches for thermostability engineering of enzymes and other proteins.", "author" : [ { "dropping-particle" : "", "family" : "Lehmann", "given" : "M", "non-dropping-particle" : "", "parse-names" : false, "suffix" : "" }, { "dropping-particle" : "", "family" : "Pasamontes", "given" : "L", "non-dropping-particle" : "", "parse-names" : false, "suffix" : "" }, { "dropping-particle" : "", "family" : "Lassen", "given" : "S F", "non-dropping-particle" : "", "parse-names" : false, "suffix" : "" }, { "dropping-particle" : "", "family" : "Wyss", "given" : "M", "non-dropping-particle" : "", "parse-names" : false, "suffix" : "" } ], "container-title" : "Biochimica et biophysica acta", "id" : "ITEM-1", "issue" : "2", "issued" : { "date-parts" : [ [ "2000", "12", "29" ] ] }, "page" : "408-415", "title" : "The consensus concept for thermostability engineering of proteins.", "type" : "article-journal", "volume" : "1543" }, "uris" : [ "http://www.mendeley.com/documents/?uuid=513e0ec4-d30f-47fa-90e8-7ba735220771" ] }, { "id" : "ITEM-2", "itemData" : { "ISSN" : "0969-2126", "PMID" : "12737816", "abstract" : "The tetratricopeptide repeat (TPR) is a 34-amino acid alpha-helical motif that occurs in over 300 different proteins. In the different proteins, three to sixteen or more TPR motifs occur in tandem arrays and function to mediate protein-protein interactions. The binding specificity of each TPR protein is different, although the underlying structural motif is the same. Here we describe a statistical approach to the design of an idealized TPR motif. We present the high-resolution X-ray crystal structures (to 1.55 and 1.6 A) of designed TPR proteins and describe their solution properties and stability. A detailed analysis of these structures provides an understanding of the TPR motif, how it is repeated to give helical arrays with different superhelical twists, and how a very stable framework may be constructed for future functional designs.", "author" : [ { "dropping-particle" : "", "family" : "Main", "given" : "Ewan R G", "non-dropping-particle" : "", "parse-names" : false, "suffix" : "" }, { "dropping-particle" : "", "family" : "Xiong", "given" : "Yong", "non-dropping-particle" : "", "parse-names" : false, "suffix" : "" }, { "dropping-particle" : "", "family" : "Cocco", "given" : "Melanie J", "non-dropping-particle" : "", "parse-names" : false, "suffix" : "" }, { "dropping-particle" : "", "family" : "D'Andrea", "given" : "Luca", "non-dropping-particle" : "", "parse-names" : false, "suffix" : "" }, { "dropping-particle" : "", "family" : "Regan", "given" : "Lynne", "non-dropping-particle" : "", "parse-names" : false, "suffix" : "" } ], "container-title" : "Structure (London, England : 1993)", "id" : "ITEM-2", "issue" : "5", "issued" : { "date-parts" : [ [ "2003", "5" ] ] }, "page" : "497-508", "title" : "Design of stable alpha-helical arrays from an idealized TPR motif.", "type" : "article-journal", "volume" : "11" }, "uris" : [ "http://www.mendeley.com/documents/?uuid=baa2c260-5c79-4fe6-bdd6-fab725e5c9aa" ] }, { "id" : "ITEM-3", "itemData" : { "DOI" : "10.1021/cb3001167", "ISSN" : "1554-8937", "PMID" : "22568706", "abstract" : "The c-Jun N-terminal kinases (JNKs) are involved in many biological processes such as proliferation, differentiation, apoptosis, and inflammation and occur in highly similar isoforms in eukaryotic cells. Isoform-specific functions and diseases have been reported for individual JNK isoforms mainly from gene-knockout studies in mice. There is, however, a high demand for intracellular inhibitors with high selectivity to improve the understanding of isoform-specific mechanisms and for use as therapeutic tools. The commonly used JNK inhibitors are based on small molecules or peptides that often target the conserved ATP binding site or docking sites and thus show only moderate selectivity. To target novel binding epitopes, we used designed ankyrin repeat proteins (DARPins) to generate alternative intracellular JNK inhibitors that discriminate two very similar isoforms, JNK1 and JNK2. DARPins are small binding proteins that are well expressed, stable, and cysteine-free, which makes them ideal candidates for applications in the reducing intracellular environment. We performed ribosome display selections against JNK1\u03b11 and JNK2\u03b11 using highly diverse combinatorial libraries of DARPins. The selected binders specifically recognize either JNK1 or JNK2 or both isoforms in vitro and in mammalian cells. All analyzed DARPins show affinities in the low nanomolar range and isoform-specific inhibition of JNK activation in vitro at physiological ATP concentrations. Importantly, DARPins that selectively inhibit JNK activation in human cells were also identified. These results emphasize the great potential of DARPins as a novel class of highly specific intracellular inhibitors of distinct enzyme isoforms for use in biological studies and as possible therapeutic leads.", "author" : [ { "dropping-particle" : "", "family" : "Parizek", "given" : "Petra", "non-dropping-particle" : "", "parse-names" : false, "suffix" : "" }, { "dropping-particle" : "", "family" : "Kummer", "given" : "Lutz", "non-dropping-particle" : "", "parse-names" : false, "suffix" : "" }, { "dropping-particle" : "", "family" : "Rube", "given" : "Peter", "non-dropping-particle" : "", "parse-names" : false, "suffix" : "" }, { "dropping-particle" : "", "family" : "Prinz", "given" : "Anke", "non-dropping-particle" : "", "parse-names" : false, "suffix" : "" }, { "dropping-particle" : "", "family" : "Herberg", "given" : "Friedrich W", "non-dropping-particle" : "", "parse-names" : false, "suffix" : "" }, { "dropping-particle" : "", "family" : "Pl\u00fcckthun", "given" : "Andreas", "non-dropping-particle" : "", "parse-names" : false, "suffix" : "" } ], "container-title" : "ACS chemical biology", "id" : "ITEM-3", "issue" : "8", "issued" : { "date-parts" : [ [ "2012", "8", "17" ] ] }, "page" : "1356-66", "title" : "Designed ankyrin repeat proteins (DARPins) as novel isoform-specific intracellular inhibitors of c-Jun N-terminal kinases.", "type" : "article-journal", "volume" : "7" }, "uris" : [ "http://www.mendeley.com/documents/?uuid=7f0fb91c-5375-4727-afe1-25e2813954f5" ] } ], "mendeley" : { "formattedCitation" : "&lt;sup&gt;14\u201316&lt;/sup&gt;", "plainTextFormattedCitation" : "14\u201316", "previouslyFormattedCitation" : "&lt;sup&gt;14\u201316&lt;/sup&gt;" }, "properties" : { "noteIndex" : 0 }, "schema" : "https://github.com/citation-style-language/schema/raw/master/csl-citation.json" }</w:instrText>
      </w:r>
      <w:r w:rsidR="00C161F2">
        <w:rPr>
          <w:rFonts w:ascii="Times New Roman" w:hAnsi="Times New Roman" w:cs="Times New Roman"/>
          <w:sz w:val="24"/>
          <w:szCs w:val="24"/>
        </w:rPr>
        <w:fldChar w:fldCharType="separate"/>
      </w:r>
      <w:r w:rsidR="00C161F2" w:rsidRPr="00C161F2">
        <w:rPr>
          <w:rFonts w:ascii="Times New Roman" w:hAnsi="Times New Roman" w:cs="Times New Roman"/>
          <w:noProof/>
          <w:sz w:val="24"/>
          <w:szCs w:val="24"/>
          <w:vertAlign w:val="superscript"/>
        </w:rPr>
        <w:t>14–16</w:t>
      </w:r>
      <w:r w:rsidR="00C161F2">
        <w:rPr>
          <w:rFonts w:ascii="Times New Roman" w:hAnsi="Times New Roman" w:cs="Times New Roman"/>
          <w:sz w:val="24"/>
          <w:szCs w:val="24"/>
        </w:rPr>
        <w:fldChar w:fldCharType="end"/>
      </w:r>
      <w:r w:rsidR="00D019E9">
        <w:rPr>
          <w:rFonts w:ascii="Times New Roman" w:hAnsi="Times New Roman" w:cs="Times New Roman"/>
          <w:sz w:val="24"/>
          <w:szCs w:val="24"/>
        </w:rPr>
        <w:t xml:space="preserve"> </w:t>
      </w:r>
      <w:proofErr w:type="gramStart"/>
      <w:r w:rsidR="00D019E9">
        <w:rPr>
          <w:rFonts w:ascii="Times New Roman" w:hAnsi="Times New Roman" w:cs="Times New Roman"/>
          <w:sz w:val="24"/>
          <w:szCs w:val="24"/>
        </w:rPr>
        <w:t>W</w:t>
      </w:r>
      <w:r w:rsidR="00080ABF">
        <w:rPr>
          <w:rFonts w:ascii="Times New Roman" w:hAnsi="Times New Roman" w:cs="Times New Roman"/>
          <w:sz w:val="24"/>
          <w:szCs w:val="24"/>
        </w:rPr>
        <w:t>e</w:t>
      </w:r>
      <w:proofErr w:type="gramEnd"/>
      <w:r w:rsidR="00080ABF">
        <w:rPr>
          <w:rFonts w:ascii="Times New Roman" w:hAnsi="Times New Roman" w:cs="Times New Roman"/>
          <w:sz w:val="24"/>
          <w:szCs w:val="24"/>
        </w:rPr>
        <w:t xml:space="preserve"> adapted </w:t>
      </w:r>
      <w:r w:rsidR="00D019E9">
        <w:rPr>
          <w:rFonts w:ascii="Times New Roman" w:hAnsi="Times New Roman" w:cs="Times New Roman"/>
          <w:sz w:val="24"/>
          <w:szCs w:val="24"/>
        </w:rPr>
        <w:t xml:space="preserve">the strategy </w:t>
      </w:r>
      <w:r w:rsidR="00080ABF">
        <w:rPr>
          <w:rFonts w:ascii="Times New Roman" w:hAnsi="Times New Roman" w:cs="Times New Roman"/>
          <w:sz w:val="24"/>
          <w:szCs w:val="24"/>
        </w:rPr>
        <w:t xml:space="preserve">to create a </w:t>
      </w:r>
      <w:r w:rsidR="00185739">
        <w:rPr>
          <w:rFonts w:ascii="Times New Roman" w:hAnsi="Times New Roman" w:cs="Times New Roman"/>
          <w:sz w:val="24"/>
          <w:szCs w:val="24"/>
        </w:rPr>
        <w:t xml:space="preserve">multiple </w:t>
      </w:r>
      <w:r w:rsidR="00080ABF">
        <w:rPr>
          <w:rFonts w:ascii="Times New Roman" w:hAnsi="Times New Roman" w:cs="Times New Roman"/>
          <w:sz w:val="24"/>
          <w:szCs w:val="24"/>
        </w:rPr>
        <w:t xml:space="preserve">sequence </w:t>
      </w:r>
      <w:r w:rsidR="00936A8C">
        <w:rPr>
          <w:rFonts w:ascii="Times New Roman" w:hAnsi="Times New Roman" w:cs="Times New Roman"/>
          <w:sz w:val="24"/>
          <w:szCs w:val="24"/>
        </w:rPr>
        <w:t>alignment</w:t>
      </w:r>
      <w:r w:rsidR="00185739">
        <w:rPr>
          <w:rFonts w:ascii="Times New Roman" w:hAnsi="Times New Roman" w:cs="Times New Roman"/>
          <w:sz w:val="24"/>
          <w:szCs w:val="24"/>
        </w:rPr>
        <w:t xml:space="preserve"> (MSA) </w:t>
      </w:r>
      <w:r w:rsidR="00080ABF">
        <w:rPr>
          <w:rFonts w:ascii="Times New Roman" w:hAnsi="Times New Roman" w:cs="Times New Roman"/>
          <w:sz w:val="24"/>
          <w:szCs w:val="24"/>
        </w:rPr>
        <w:t>profile, which we term a ‘</w:t>
      </w:r>
      <w:r w:rsidR="00185739">
        <w:rPr>
          <w:rFonts w:ascii="Times New Roman" w:hAnsi="Times New Roman" w:cs="Times New Roman"/>
          <w:sz w:val="24"/>
          <w:szCs w:val="24"/>
        </w:rPr>
        <w:t>motif-MSA</w:t>
      </w:r>
      <w:r w:rsidR="00181EC3">
        <w:rPr>
          <w:rFonts w:ascii="Times New Roman" w:hAnsi="Times New Roman" w:cs="Times New Roman"/>
          <w:sz w:val="24"/>
          <w:szCs w:val="24"/>
        </w:rPr>
        <w:t>’</w:t>
      </w:r>
      <w:r w:rsidR="00185739">
        <w:rPr>
          <w:rFonts w:ascii="Times New Roman" w:hAnsi="Times New Roman" w:cs="Times New Roman"/>
          <w:sz w:val="24"/>
          <w:szCs w:val="24"/>
        </w:rPr>
        <w:t xml:space="preserve"> </w:t>
      </w:r>
      <w:r w:rsidR="00181EC3">
        <w:rPr>
          <w:rFonts w:ascii="Times New Roman" w:hAnsi="Times New Roman" w:cs="Times New Roman"/>
          <w:sz w:val="24"/>
          <w:szCs w:val="24"/>
        </w:rPr>
        <w:t>profile</w:t>
      </w:r>
      <w:r w:rsidR="00080ABF">
        <w:rPr>
          <w:rFonts w:ascii="Times New Roman" w:hAnsi="Times New Roman" w:cs="Times New Roman"/>
          <w:sz w:val="24"/>
          <w:szCs w:val="24"/>
        </w:rPr>
        <w:t xml:space="preserve">, for each class of </w:t>
      </w:r>
      <w:r w:rsidR="003047C0">
        <w:rPr>
          <w:rFonts w:ascii="Times New Roman" w:hAnsi="Times New Roman" w:cs="Times New Roman"/>
          <w:sz w:val="24"/>
          <w:szCs w:val="24"/>
        </w:rPr>
        <w:t>RPD</w:t>
      </w:r>
      <w:r w:rsidR="00080ABF">
        <w:rPr>
          <w:rFonts w:ascii="Times New Roman" w:hAnsi="Times New Roman" w:cs="Times New Roman"/>
          <w:sz w:val="24"/>
          <w:szCs w:val="24"/>
        </w:rPr>
        <w:t xml:space="preserve">. Using the </w:t>
      </w:r>
      <w:proofErr w:type="spellStart"/>
      <w:r w:rsidR="00080ABF">
        <w:rPr>
          <w:rFonts w:ascii="Times New Roman" w:hAnsi="Times New Roman" w:cs="Times New Roman"/>
          <w:sz w:val="24"/>
          <w:szCs w:val="24"/>
        </w:rPr>
        <w:t>tetratricopeptide</w:t>
      </w:r>
      <w:proofErr w:type="spellEnd"/>
      <w:r w:rsidR="00080ABF">
        <w:rPr>
          <w:rFonts w:ascii="Times New Roman" w:hAnsi="Times New Roman" w:cs="Times New Roman"/>
          <w:sz w:val="24"/>
          <w:szCs w:val="24"/>
        </w:rPr>
        <w:t xml:space="preserve"> repeat as</w:t>
      </w:r>
      <w:r w:rsidR="00185739">
        <w:rPr>
          <w:rFonts w:ascii="Times New Roman" w:hAnsi="Times New Roman" w:cs="Times New Roman"/>
          <w:sz w:val="24"/>
          <w:szCs w:val="24"/>
        </w:rPr>
        <w:t xml:space="preserve"> an </w:t>
      </w:r>
      <w:r w:rsidR="00536CF7">
        <w:rPr>
          <w:rFonts w:ascii="Times New Roman" w:hAnsi="Times New Roman" w:cs="Times New Roman"/>
          <w:sz w:val="24"/>
          <w:szCs w:val="24"/>
        </w:rPr>
        <w:t xml:space="preserve">example </w:t>
      </w:r>
      <w:r w:rsidR="00185739">
        <w:rPr>
          <w:rFonts w:ascii="Times New Roman" w:hAnsi="Times New Roman" w:cs="Times New Roman"/>
          <w:sz w:val="24"/>
          <w:szCs w:val="24"/>
        </w:rPr>
        <w:t>of a PPI RPD</w:t>
      </w:r>
      <w:r w:rsidR="00080ABF">
        <w:rPr>
          <w:rFonts w:ascii="Times New Roman" w:hAnsi="Times New Roman" w:cs="Times New Roman"/>
          <w:sz w:val="24"/>
          <w:szCs w:val="24"/>
        </w:rPr>
        <w:t xml:space="preserve">, we demonstrate that the </w:t>
      </w:r>
      <w:r w:rsidR="005829C1">
        <w:rPr>
          <w:rFonts w:ascii="Times New Roman" w:hAnsi="Times New Roman" w:cs="Times New Roman"/>
          <w:sz w:val="24"/>
          <w:szCs w:val="24"/>
        </w:rPr>
        <w:t xml:space="preserve">motif-MSA </w:t>
      </w:r>
      <w:r w:rsidR="00080ABF">
        <w:rPr>
          <w:rFonts w:ascii="Times New Roman" w:hAnsi="Times New Roman" w:cs="Times New Roman"/>
          <w:sz w:val="24"/>
          <w:szCs w:val="24"/>
        </w:rPr>
        <w:t xml:space="preserve">strategy can identify a subset of residues that are </w:t>
      </w:r>
      <w:r w:rsidR="00222C9A">
        <w:rPr>
          <w:rFonts w:ascii="Times New Roman" w:hAnsi="Times New Roman" w:cs="Times New Roman"/>
          <w:sz w:val="24"/>
          <w:szCs w:val="24"/>
        </w:rPr>
        <w:t xml:space="preserve">important to these PPI domains, </w:t>
      </w:r>
      <w:r w:rsidR="00080ABF">
        <w:rPr>
          <w:rFonts w:ascii="Times New Roman" w:hAnsi="Times New Roman" w:cs="Times New Roman"/>
          <w:sz w:val="24"/>
          <w:szCs w:val="24"/>
        </w:rPr>
        <w:t xml:space="preserve">such that the occurrence of non-synonymous variants at these particular </w:t>
      </w:r>
      <w:r w:rsidR="00A14779">
        <w:rPr>
          <w:rFonts w:ascii="Times New Roman" w:hAnsi="Times New Roman" w:cs="Times New Roman"/>
          <w:sz w:val="24"/>
          <w:szCs w:val="24"/>
        </w:rPr>
        <w:t xml:space="preserve">residue </w:t>
      </w:r>
      <w:r w:rsidR="00080ABF">
        <w:rPr>
          <w:rFonts w:ascii="Times New Roman" w:hAnsi="Times New Roman" w:cs="Times New Roman"/>
          <w:sz w:val="24"/>
          <w:szCs w:val="24"/>
        </w:rPr>
        <w:t xml:space="preserve">sites </w:t>
      </w:r>
      <w:r w:rsidR="008915A5">
        <w:rPr>
          <w:rFonts w:ascii="Times New Roman" w:hAnsi="Times New Roman" w:cs="Times New Roman"/>
          <w:sz w:val="24"/>
          <w:szCs w:val="24"/>
        </w:rPr>
        <w:t xml:space="preserve">have a higher </w:t>
      </w:r>
      <w:r w:rsidR="00185739">
        <w:rPr>
          <w:rFonts w:ascii="Times New Roman" w:hAnsi="Times New Roman" w:cs="Times New Roman"/>
          <w:sz w:val="24"/>
          <w:szCs w:val="24"/>
        </w:rPr>
        <w:t>incidence</w:t>
      </w:r>
      <w:r w:rsidR="008915A5">
        <w:rPr>
          <w:rFonts w:ascii="Times New Roman" w:hAnsi="Times New Roman" w:cs="Times New Roman"/>
          <w:sz w:val="24"/>
          <w:szCs w:val="24"/>
        </w:rPr>
        <w:t xml:space="preserve"> of known clinically-related variants, especially in diseases that are </w:t>
      </w:r>
      <w:r w:rsidR="00080ABF">
        <w:rPr>
          <w:rFonts w:ascii="Times New Roman" w:hAnsi="Times New Roman" w:cs="Times New Roman"/>
          <w:sz w:val="24"/>
          <w:szCs w:val="24"/>
        </w:rPr>
        <w:t xml:space="preserve">a </w:t>
      </w:r>
      <w:r w:rsidR="008915A5">
        <w:rPr>
          <w:rFonts w:ascii="Times New Roman" w:hAnsi="Times New Roman" w:cs="Times New Roman"/>
          <w:sz w:val="24"/>
          <w:szCs w:val="24"/>
        </w:rPr>
        <w:t xml:space="preserve">direct </w:t>
      </w:r>
      <w:r w:rsidR="00080ABF">
        <w:rPr>
          <w:rFonts w:ascii="Times New Roman" w:hAnsi="Times New Roman" w:cs="Times New Roman"/>
          <w:sz w:val="24"/>
          <w:szCs w:val="24"/>
        </w:rPr>
        <w:t xml:space="preserve">result of an ablation of vital protein-protein interactions. </w:t>
      </w:r>
    </w:p>
    <w:p w:rsidR="00222C9A" w:rsidRDefault="00222C9A" w:rsidP="006B37B8">
      <w:pPr>
        <w:spacing w:after="0" w:line="240" w:lineRule="auto"/>
        <w:rPr>
          <w:rFonts w:ascii="Times New Roman" w:hAnsi="Times New Roman" w:cs="Times New Roman"/>
          <w:sz w:val="24"/>
          <w:szCs w:val="24"/>
        </w:rPr>
      </w:pPr>
    </w:p>
    <w:p w:rsidR="006A1EB1" w:rsidRDefault="00080ABF" w:rsidP="006B37B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further show that </w:t>
      </w:r>
      <w:r w:rsidR="00DD2700">
        <w:rPr>
          <w:rFonts w:ascii="Times New Roman" w:hAnsi="Times New Roman" w:cs="Times New Roman"/>
          <w:sz w:val="24"/>
          <w:szCs w:val="24"/>
        </w:rPr>
        <w:t>the motif-MSA approach enables the accumulation of variants, thereby serving as an ideal platform to combine</w:t>
      </w:r>
      <w:r w:rsidR="00A14779">
        <w:rPr>
          <w:rFonts w:ascii="Times New Roman" w:hAnsi="Times New Roman" w:cs="Times New Roman"/>
          <w:sz w:val="24"/>
          <w:szCs w:val="24"/>
        </w:rPr>
        <w:t xml:space="preserve"> residue information from PPI domains with the wealth of single nucleotide varia</w:t>
      </w:r>
      <w:r w:rsidR="00C161F2">
        <w:rPr>
          <w:rFonts w:ascii="Times New Roman" w:hAnsi="Times New Roman" w:cs="Times New Roman"/>
          <w:sz w:val="24"/>
          <w:szCs w:val="24"/>
        </w:rPr>
        <w:t>nt (SNV) information obtained from large-scale exome sequencing</w:t>
      </w:r>
      <w:r w:rsidR="00DD2700">
        <w:rPr>
          <w:rFonts w:ascii="Times New Roman" w:hAnsi="Times New Roman" w:cs="Times New Roman"/>
          <w:sz w:val="24"/>
          <w:szCs w:val="24"/>
        </w:rPr>
        <w:t xml:space="preserve">. </w:t>
      </w:r>
      <w:r w:rsidR="007F2908">
        <w:rPr>
          <w:rFonts w:ascii="Times New Roman" w:hAnsi="Times New Roman" w:cs="Times New Roman"/>
          <w:sz w:val="24"/>
          <w:szCs w:val="24"/>
        </w:rPr>
        <w:t xml:space="preserve">Interestingly, we note that such </w:t>
      </w:r>
      <w:r w:rsidR="00A92147">
        <w:rPr>
          <w:rFonts w:ascii="Times New Roman" w:hAnsi="Times New Roman" w:cs="Times New Roman"/>
          <w:sz w:val="24"/>
          <w:szCs w:val="24"/>
        </w:rPr>
        <w:t xml:space="preserve">analyses </w:t>
      </w:r>
      <w:r w:rsidR="007F2908">
        <w:rPr>
          <w:rFonts w:ascii="Times New Roman" w:hAnsi="Times New Roman" w:cs="Times New Roman"/>
          <w:sz w:val="24"/>
          <w:szCs w:val="24"/>
        </w:rPr>
        <w:t xml:space="preserve">can only be performed currently using a dataset as large as those from the Exome Aggregation Consortium (ExAC). </w:t>
      </w:r>
      <w:r w:rsidR="00A92147">
        <w:rPr>
          <w:rFonts w:ascii="Times New Roman" w:hAnsi="Times New Roman" w:cs="Times New Roman"/>
          <w:sz w:val="24"/>
          <w:szCs w:val="24"/>
        </w:rPr>
        <w:t>T</w:t>
      </w:r>
      <w:r w:rsidR="00AD3FCB">
        <w:rPr>
          <w:rFonts w:ascii="Times New Roman" w:hAnsi="Times New Roman" w:cs="Times New Roman"/>
          <w:sz w:val="24"/>
          <w:szCs w:val="24"/>
        </w:rPr>
        <w:t xml:space="preserve">he motif-MSA </w:t>
      </w:r>
      <w:r w:rsidR="00185739">
        <w:rPr>
          <w:rFonts w:ascii="Times New Roman" w:hAnsi="Times New Roman" w:cs="Times New Roman"/>
          <w:sz w:val="24"/>
          <w:szCs w:val="24"/>
        </w:rPr>
        <w:t xml:space="preserve">approach </w:t>
      </w:r>
      <w:r>
        <w:rPr>
          <w:rFonts w:ascii="Times New Roman" w:hAnsi="Times New Roman" w:cs="Times New Roman"/>
          <w:sz w:val="24"/>
          <w:szCs w:val="24"/>
        </w:rPr>
        <w:t xml:space="preserve">can </w:t>
      </w:r>
      <w:r w:rsidRPr="00DD2700">
        <w:rPr>
          <w:rFonts w:ascii="Times New Roman" w:hAnsi="Times New Roman" w:cs="Times New Roman"/>
          <w:sz w:val="24"/>
          <w:szCs w:val="24"/>
        </w:rPr>
        <w:t xml:space="preserve">complement </w:t>
      </w:r>
      <w:r w:rsidR="00DD2700">
        <w:rPr>
          <w:rFonts w:ascii="Times New Roman" w:hAnsi="Times New Roman" w:cs="Times New Roman"/>
          <w:sz w:val="24"/>
          <w:szCs w:val="24"/>
        </w:rPr>
        <w:t xml:space="preserve">protein </w:t>
      </w:r>
      <w:r>
        <w:rPr>
          <w:rFonts w:ascii="Times New Roman" w:hAnsi="Times New Roman" w:cs="Times New Roman"/>
          <w:sz w:val="24"/>
          <w:szCs w:val="24"/>
        </w:rPr>
        <w:t xml:space="preserve">analyses with </w:t>
      </w:r>
      <w:r w:rsidR="00AD3FCB">
        <w:rPr>
          <w:rFonts w:ascii="Times New Roman" w:hAnsi="Times New Roman" w:cs="Times New Roman"/>
          <w:sz w:val="24"/>
          <w:szCs w:val="24"/>
        </w:rPr>
        <w:t xml:space="preserve">genetic </w:t>
      </w:r>
      <w:r w:rsidR="00154CD7">
        <w:rPr>
          <w:rFonts w:ascii="Times New Roman" w:hAnsi="Times New Roman" w:cs="Times New Roman"/>
          <w:sz w:val="24"/>
          <w:szCs w:val="24"/>
        </w:rPr>
        <w:t>measures</w:t>
      </w:r>
      <w:r w:rsidR="00DD2700">
        <w:rPr>
          <w:rFonts w:ascii="Times New Roman" w:hAnsi="Times New Roman" w:cs="Times New Roman"/>
          <w:sz w:val="24"/>
          <w:szCs w:val="24"/>
        </w:rPr>
        <w:t xml:space="preserve"> of natural selection</w:t>
      </w:r>
      <w:r w:rsidR="008D5333">
        <w:rPr>
          <w:rFonts w:ascii="Times New Roman" w:hAnsi="Times New Roman" w:cs="Times New Roman"/>
          <w:sz w:val="24"/>
          <w:szCs w:val="24"/>
        </w:rPr>
        <w:t xml:space="preserve">. </w:t>
      </w:r>
      <w:r>
        <w:rPr>
          <w:rFonts w:ascii="Times New Roman" w:hAnsi="Times New Roman" w:cs="Times New Roman"/>
          <w:sz w:val="24"/>
          <w:szCs w:val="24"/>
        </w:rPr>
        <w:t xml:space="preserve">Finally, we </w:t>
      </w:r>
      <w:r w:rsidR="00A14779">
        <w:rPr>
          <w:rFonts w:ascii="Times New Roman" w:hAnsi="Times New Roman" w:cs="Times New Roman"/>
          <w:sz w:val="24"/>
          <w:szCs w:val="24"/>
        </w:rPr>
        <w:t xml:space="preserve">illustrate the generalizability of </w:t>
      </w:r>
      <w:r>
        <w:rPr>
          <w:rFonts w:ascii="Times New Roman" w:hAnsi="Times New Roman" w:cs="Times New Roman"/>
          <w:sz w:val="24"/>
          <w:szCs w:val="24"/>
        </w:rPr>
        <w:t xml:space="preserve">the </w:t>
      </w:r>
      <w:r w:rsidR="00185739">
        <w:rPr>
          <w:rFonts w:ascii="Times New Roman" w:hAnsi="Times New Roman" w:cs="Times New Roman"/>
          <w:sz w:val="24"/>
          <w:szCs w:val="24"/>
        </w:rPr>
        <w:t xml:space="preserve">approach </w:t>
      </w:r>
      <w:r w:rsidR="00A14779">
        <w:rPr>
          <w:rFonts w:ascii="Times New Roman" w:hAnsi="Times New Roman" w:cs="Times New Roman"/>
          <w:sz w:val="24"/>
          <w:szCs w:val="24"/>
        </w:rPr>
        <w:t xml:space="preserve">by applying it </w:t>
      </w:r>
      <w:r>
        <w:rPr>
          <w:rFonts w:ascii="Times New Roman" w:hAnsi="Times New Roman" w:cs="Times New Roman"/>
          <w:sz w:val="24"/>
          <w:szCs w:val="24"/>
        </w:rPr>
        <w:t xml:space="preserve">to </w:t>
      </w:r>
      <w:r w:rsidR="00AD3FCB">
        <w:rPr>
          <w:rFonts w:ascii="Times New Roman" w:hAnsi="Times New Roman" w:cs="Times New Roman"/>
          <w:sz w:val="24"/>
          <w:szCs w:val="24"/>
        </w:rPr>
        <w:t xml:space="preserve">repeat </w:t>
      </w:r>
      <w:r w:rsidR="00AD3FCB" w:rsidRPr="00DF2FA9">
        <w:rPr>
          <w:rFonts w:ascii="Times New Roman" w:hAnsi="Times New Roman" w:cs="Times New Roman"/>
          <w:color w:val="FF0000"/>
          <w:sz w:val="24"/>
          <w:szCs w:val="24"/>
        </w:rPr>
        <w:t xml:space="preserve">and </w:t>
      </w:r>
      <w:r w:rsidRPr="00DF2FA9">
        <w:rPr>
          <w:rFonts w:ascii="Times New Roman" w:hAnsi="Times New Roman" w:cs="Times New Roman"/>
          <w:color w:val="FF0000"/>
          <w:sz w:val="24"/>
          <w:szCs w:val="24"/>
        </w:rPr>
        <w:t>non-repeat</w:t>
      </w:r>
      <w:r>
        <w:rPr>
          <w:rFonts w:ascii="Times New Roman" w:hAnsi="Times New Roman" w:cs="Times New Roman"/>
          <w:sz w:val="24"/>
          <w:szCs w:val="24"/>
        </w:rPr>
        <w:t xml:space="preserve"> PPI domains.</w:t>
      </w:r>
    </w:p>
    <w:p w:rsidR="00C1312B" w:rsidRDefault="00C1312B" w:rsidP="006B37B8">
      <w:pPr>
        <w:spacing w:after="0" w:line="240" w:lineRule="auto"/>
        <w:rPr>
          <w:rFonts w:ascii="Times New Roman" w:hAnsi="Times New Roman" w:cs="Times New Roman"/>
          <w:b/>
          <w:sz w:val="24"/>
          <w:szCs w:val="24"/>
          <w:u w:val="single"/>
        </w:rPr>
      </w:pPr>
    </w:p>
    <w:p w:rsidR="00B4343E" w:rsidRPr="00B4343E" w:rsidRDefault="00B4343E" w:rsidP="006B37B8">
      <w:pPr>
        <w:spacing w:after="0" w:line="240" w:lineRule="auto"/>
        <w:rPr>
          <w:rFonts w:ascii="Times New Roman" w:hAnsi="Times New Roman" w:cs="Times New Roman"/>
          <w:b/>
          <w:sz w:val="24"/>
          <w:szCs w:val="24"/>
          <w:u w:val="single"/>
        </w:rPr>
      </w:pPr>
      <w:r w:rsidRPr="00B4343E">
        <w:rPr>
          <w:rFonts w:ascii="Times New Roman" w:hAnsi="Times New Roman" w:cs="Times New Roman"/>
          <w:b/>
          <w:sz w:val="24"/>
          <w:szCs w:val="24"/>
          <w:u w:val="single"/>
        </w:rPr>
        <w:t>Results</w:t>
      </w:r>
    </w:p>
    <w:p w:rsidR="00BB7583" w:rsidRPr="00076ACB" w:rsidRDefault="004E6BB1" w:rsidP="006B37B8">
      <w:pPr>
        <w:spacing w:after="0" w:line="240" w:lineRule="auto"/>
        <w:rPr>
          <w:rFonts w:ascii="Times New Roman" w:hAnsi="Times New Roman" w:cs="Times New Roman"/>
          <w:b/>
          <w:i/>
          <w:sz w:val="24"/>
          <w:szCs w:val="24"/>
        </w:rPr>
      </w:pPr>
      <w:r>
        <w:rPr>
          <w:rFonts w:ascii="Times New Roman" w:hAnsi="Times New Roman" w:cs="Times New Roman"/>
          <w:b/>
          <w:i/>
          <w:sz w:val="24"/>
          <w:szCs w:val="24"/>
        </w:rPr>
        <w:t xml:space="preserve">Strategy </w:t>
      </w:r>
      <w:r w:rsidR="008D5333">
        <w:rPr>
          <w:rFonts w:ascii="Times New Roman" w:hAnsi="Times New Roman" w:cs="Times New Roman"/>
          <w:b/>
          <w:i/>
          <w:sz w:val="24"/>
          <w:szCs w:val="24"/>
        </w:rPr>
        <w:t>to</w:t>
      </w:r>
      <w:r>
        <w:rPr>
          <w:rFonts w:ascii="Times New Roman" w:hAnsi="Times New Roman" w:cs="Times New Roman"/>
          <w:b/>
          <w:i/>
          <w:sz w:val="24"/>
          <w:szCs w:val="24"/>
        </w:rPr>
        <w:t xml:space="preserve"> relat</w:t>
      </w:r>
      <w:r w:rsidR="008D5333">
        <w:rPr>
          <w:rFonts w:ascii="Times New Roman" w:hAnsi="Times New Roman" w:cs="Times New Roman"/>
          <w:b/>
          <w:i/>
          <w:sz w:val="24"/>
          <w:szCs w:val="24"/>
        </w:rPr>
        <w:t>e</w:t>
      </w:r>
      <w:r>
        <w:rPr>
          <w:rFonts w:ascii="Times New Roman" w:hAnsi="Times New Roman" w:cs="Times New Roman"/>
          <w:b/>
          <w:i/>
          <w:sz w:val="24"/>
          <w:szCs w:val="24"/>
        </w:rPr>
        <w:t xml:space="preserve"> protein to genomic information </w:t>
      </w:r>
    </w:p>
    <w:p w:rsidR="008063AD" w:rsidRDefault="003B091B" w:rsidP="006B37B8">
      <w:pPr>
        <w:spacing w:after="0" w:line="240" w:lineRule="auto"/>
        <w:rPr>
          <w:rFonts w:ascii="Times New Roman" w:hAnsi="Times New Roman" w:cs="Times New Roman"/>
          <w:sz w:val="24"/>
          <w:szCs w:val="24"/>
        </w:rPr>
      </w:pPr>
      <w:r w:rsidRPr="003B091B">
        <w:rPr>
          <w:rFonts w:ascii="Times New Roman" w:hAnsi="Times New Roman" w:cs="Times New Roman"/>
          <w:color w:val="FF0000"/>
          <w:sz w:val="24"/>
          <w:szCs w:val="24"/>
        </w:rPr>
        <w:t xml:space="preserve">Figure </w:t>
      </w:r>
      <w:r w:rsidR="00210D49">
        <w:rPr>
          <w:rFonts w:ascii="Times New Roman" w:hAnsi="Times New Roman" w:cs="Times New Roman"/>
          <w:color w:val="FF0000"/>
          <w:sz w:val="24"/>
          <w:szCs w:val="24"/>
        </w:rPr>
        <w:t>1</w:t>
      </w:r>
      <w:r w:rsidR="00637C90">
        <w:rPr>
          <w:rFonts w:ascii="Times New Roman" w:hAnsi="Times New Roman" w:cs="Times New Roman"/>
          <w:sz w:val="24"/>
          <w:szCs w:val="24"/>
        </w:rPr>
        <w:t xml:space="preserve"> shows </w:t>
      </w:r>
      <w:r w:rsidR="0027363A">
        <w:rPr>
          <w:rFonts w:ascii="Times New Roman" w:hAnsi="Times New Roman" w:cs="Times New Roman"/>
          <w:sz w:val="24"/>
          <w:szCs w:val="24"/>
        </w:rPr>
        <w:t xml:space="preserve">our </w:t>
      </w:r>
      <w:r w:rsidR="00637C90">
        <w:rPr>
          <w:rFonts w:ascii="Times New Roman" w:hAnsi="Times New Roman" w:cs="Times New Roman"/>
          <w:sz w:val="24"/>
          <w:szCs w:val="24"/>
        </w:rPr>
        <w:t xml:space="preserve">strategy </w:t>
      </w:r>
      <w:r>
        <w:rPr>
          <w:rFonts w:ascii="Times New Roman" w:hAnsi="Times New Roman" w:cs="Times New Roman"/>
          <w:sz w:val="24"/>
          <w:szCs w:val="24"/>
        </w:rPr>
        <w:t xml:space="preserve">to </w:t>
      </w:r>
      <w:r w:rsidR="004E6BB1">
        <w:rPr>
          <w:rFonts w:ascii="Times New Roman" w:hAnsi="Times New Roman" w:cs="Times New Roman"/>
          <w:sz w:val="24"/>
          <w:szCs w:val="24"/>
        </w:rPr>
        <w:t xml:space="preserve">relate protein residue to genomic information. We first </w:t>
      </w:r>
      <w:r>
        <w:rPr>
          <w:rFonts w:ascii="Times New Roman" w:hAnsi="Times New Roman" w:cs="Times New Roman"/>
          <w:sz w:val="24"/>
          <w:szCs w:val="24"/>
        </w:rPr>
        <w:t xml:space="preserve">produce a motif sequence </w:t>
      </w:r>
      <w:r w:rsidR="001814C5">
        <w:rPr>
          <w:rFonts w:ascii="Times New Roman" w:hAnsi="Times New Roman" w:cs="Times New Roman"/>
          <w:sz w:val="24"/>
          <w:szCs w:val="24"/>
        </w:rPr>
        <w:t xml:space="preserve">alignment </w:t>
      </w:r>
      <w:r>
        <w:rPr>
          <w:rFonts w:ascii="Times New Roman" w:hAnsi="Times New Roman" w:cs="Times New Roman"/>
          <w:sz w:val="24"/>
          <w:szCs w:val="24"/>
        </w:rPr>
        <w:t>profil</w:t>
      </w:r>
      <w:r w:rsidR="00715308">
        <w:rPr>
          <w:rFonts w:ascii="Times New Roman" w:hAnsi="Times New Roman" w:cs="Times New Roman"/>
          <w:sz w:val="24"/>
          <w:szCs w:val="24"/>
        </w:rPr>
        <w:t xml:space="preserve">e for a class of repeat domain. Using the TPR </w:t>
      </w:r>
      <w:r w:rsidR="00BE729A">
        <w:rPr>
          <w:rFonts w:ascii="Times New Roman" w:hAnsi="Times New Roman" w:cs="Times New Roman"/>
          <w:sz w:val="24"/>
          <w:szCs w:val="24"/>
        </w:rPr>
        <w:t xml:space="preserve">repeat </w:t>
      </w:r>
      <w:r w:rsidR="00715308">
        <w:rPr>
          <w:rFonts w:ascii="Times New Roman" w:hAnsi="Times New Roman" w:cs="Times New Roman"/>
          <w:sz w:val="24"/>
          <w:szCs w:val="24"/>
        </w:rPr>
        <w:t xml:space="preserve">domain as an </w:t>
      </w:r>
      <w:r>
        <w:rPr>
          <w:rFonts w:ascii="Times New Roman" w:hAnsi="Times New Roman" w:cs="Times New Roman"/>
          <w:sz w:val="24"/>
          <w:szCs w:val="24"/>
        </w:rPr>
        <w:t xml:space="preserve">example, </w:t>
      </w:r>
      <w:r w:rsidR="00715308">
        <w:rPr>
          <w:rFonts w:ascii="Times New Roman" w:hAnsi="Times New Roman" w:cs="Times New Roman"/>
          <w:sz w:val="24"/>
          <w:szCs w:val="24"/>
        </w:rPr>
        <w:t xml:space="preserve">we </w:t>
      </w:r>
      <w:r w:rsidR="00E97621">
        <w:rPr>
          <w:rFonts w:ascii="Times New Roman" w:hAnsi="Times New Roman" w:cs="Times New Roman"/>
          <w:sz w:val="24"/>
          <w:szCs w:val="24"/>
        </w:rPr>
        <w:t xml:space="preserve">obtain </w:t>
      </w:r>
      <w:r w:rsidR="00715308">
        <w:rPr>
          <w:rFonts w:ascii="Times New Roman" w:hAnsi="Times New Roman" w:cs="Times New Roman"/>
          <w:sz w:val="24"/>
          <w:szCs w:val="24"/>
        </w:rPr>
        <w:t>e</w:t>
      </w:r>
      <w:r>
        <w:rPr>
          <w:rFonts w:ascii="Times New Roman" w:hAnsi="Times New Roman" w:cs="Times New Roman"/>
          <w:sz w:val="24"/>
          <w:szCs w:val="24"/>
        </w:rPr>
        <w:t xml:space="preserve">very TPR </w:t>
      </w:r>
      <w:r w:rsidR="00BE729A">
        <w:rPr>
          <w:rFonts w:ascii="Times New Roman" w:hAnsi="Times New Roman" w:cs="Times New Roman"/>
          <w:sz w:val="24"/>
          <w:szCs w:val="24"/>
        </w:rPr>
        <w:t>repeat motif</w:t>
      </w:r>
      <w:r>
        <w:rPr>
          <w:rFonts w:ascii="Times New Roman" w:hAnsi="Times New Roman" w:cs="Times New Roman"/>
          <w:sz w:val="24"/>
          <w:szCs w:val="24"/>
        </w:rPr>
        <w:t xml:space="preserve"> of a given amino acid length </w:t>
      </w:r>
      <w:r w:rsidR="00715308">
        <w:rPr>
          <w:rFonts w:ascii="Times New Roman" w:hAnsi="Times New Roman" w:cs="Times New Roman"/>
          <w:sz w:val="24"/>
          <w:szCs w:val="24"/>
        </w:rPr>
        <w:t xml:space="preserve">in the human proteome </w:t>
      </w:r>
      <w:r>
        <w:rPr>
          <w:rFonts w:ascii="Times New Roman" w:hAnsi="Times New Roman" w:cs="Times New Roman"/>
          <w:sz w:val="24"/>
          <w:szCs w:val="24"/>
        </w:rPr>
        <w:t>(</w:t>
      </w:r>
      <w:r w:rsidR="00715308">
        <w:rPr>
          <w:rFonts w:ascii="Times New Roman" w:hAnsi="Times New Roman" w:cs="Times New Roman"/>
          <w:sz w:val="24"/>
          <w:szCs w:val="24"/>
        </w:rPr>
        <w:t xml:space="preserve">typically the length with the </w:t>
      </w:r>
      <w:r w:rsidR="00902926">
        <w:rPr>
          <w:rFonts w:ascii="Times New Roman" w:hAnsi="Times New Roman" w:cs="Times New Roman"/>
          <w:sz w:val="24"/>
          <w:szCs w:val="24"/>
        </w:rPr>
        <w:t>most number of available motifs</w:t>
      </w:r>
      <w:r w:rsidR="00715308">
        <w:rPr>
          <w:rFonts w:ascii="Times New Roman" w:hAnsi="Times New Roman" w:cs="Times New Roman"/>
          <w:sz w:val="24"/>
          <w:szCs w:val="24"/>
        </w:rPr>
        <w:t>)</w:t>
      </w:r>
      <w:r w:rsidR="00902926">
        <w:rPr>
          <w:rFonts w:ascii="Times New Roman" w:hAnsi="Times New Roman" w:cs="Times New Roman"/>
          <w:sz w:val="24"/>
          <w:szCs w:val="24"/>
        </w:rPr>
        <w:t>; in this case, the length is 34 amino acids (</w:t>
      </w:r>
      <w:r w:rsidR="0027363A">
        <w:rPr>
          <w:rFonts w:ascii="Times New Roman" w:hAnsi="Times New Roman" w:cs="Times New Roman"/>
          <w:sz w:val="24"/>
          <w:szCs w:val="24"/>
        </w:rPr>
        <w:t>see ‘Methods’</w:t>
      </w:r>
      <w:r w:rsidR="00943180">
        <w:rPr>
          <w:rFonts w:ascii="Times New Roman" w:hAnsi="Times New Roman" w:cs="Times New Roman"/>
          <w:sz w:val="24"/>
          <w:szCs w:val="24"/>
        </w:rPr>
        <w:t xml:space="preserve"> for details</w:t>
      </w:r>
      <w:r w:rsidR="0027363A">
        <w:rPr>
          <w:rFonts w:ascii="Times New Roman" w:hAnsi="Times New Roman" w:cs="Times New Roman"/>
          <w:sz w:val="24"/>
          <w:szCs w:val="24"/>
        </w:rPr>
        <w:t xml:space="preserve">, </w:t>
      </w:r>
      <w:proofErr w:type="spellStart"/>
      <w:r w:rsidR="00902926" w:rsidRPr="003B091B">
        <w:rPr>
          <w:rFonts w:ascii="Times New Roman" w:hAnsi="Times New Roman" w:cs="Times New Roman"/>
          <w:color w:val="FF0000"/>
          <w:sz w:val="24"/>
          <w:szCs w:val="24"/>
        </w:rPr>
        <w:t>Supp</w:t>
      </w:r>
      <w:proofErr w:type="spellEnd"/>
      <w:r w:rsidR="00902926" w:rsidRPr="003B091B">
        <w:rPr>
          <w:rFonts w:ascii="Times New Roman" w:hAnsi="Times New Roman" w:cs="Times New Roman"/>
          <w:color w:val="FF0000"/>
          <w:sz w:val="24"/>
          <w:szCs w:val="24"/>
        </w:rPr>
        <w:t xml:space="preserve"> figure</w:t>
      </w:r>
      <w:r w:rsidR="00AC741E">
        <w:rPr>
          <w:rFonts w:ascii="Times New Roman" w:hAnsi="Times New Roman" w:cs="Times New Roman"/>
          <w:color w:val="FF0000"/>
          <w:sz w:val="24"/>
          <w:szCs w:val="24"/>
        </w:rPr>
        <w:t xml:space="preserve"> 1</w:t>
      </w:r>
      <w:r w:rsidR="00902926">
        <w:rPr>
          <w:rFonts w:ascii="Times New Roman" w:hAnsi="Times New Roman" w:cs="Times New Roman"/>
          <w:color w:val="FF0000"/>
          <w:sz w:val="24"/>
          <w:szCs w:val="24"/>
        </w:rPr>
        <w:t>)</w:t>
      </w:r>
      <w:r w:rsidR="00715308">
        <w:rPr>
          <w:rFonts w:ascii="Times New Roman" w:hAnsi="Times New Roman" w:cs="Times New Roman"/>
          <w:sz w:val="24"/>
          <w:szCs w:val="24"/>
        </w:rPr>
        <w:t xml:space="preserve">. </w:t>
      </w:r>
      <w:r w:rsidR="00E97621">
        <w:rPr>
          <w:rFonts w:ascii="Times New Roman" w:hAnsi="Times New Roman" w:cs="Times New Roman"/>
          <w:sz w:val="24"/>
          <w:szCs w:val="24"/>
        </w:rPr>
        <w:t xml:space="preserve">We then perform </w:t>
      </w:r>
      <w:r w:rsidR="00185739">
        <w:rPr>
          <w:rFonts w:ascii="Times New Roman" w:hAnsi="Times New Roman" w:cs="Times New Roman"/>
          <w:sz w:val="24"/>
          <w:szCs w:val="24"/>
        </w:rPr>
        <w:t>a</w:t>
      </w:r>
      <w:r w:rsidR="00975255">
        <w:rPr>
          <w:rFonts w:ascii="Times New Roman" w:hAnsi="Times New Roman" w:cs="Times New Roman"/>
          <w:sz w:val="24"/>
          <w:szCs w:val="24"/>
        </w:rPr>
        <w:t>n</w:t>
      </w:r>
      <w:r w:rsidR="00185739">
        <w:rPr>
          <w:rFonts w:ascii="Times New Roman" w:hAnsi="Times New Roman" w:cs="Times New Roman"/>
          <w:sz w:val="24"/>
          <w:szCs w:val="24"/>
        </w:rPr>
        <w:t xml:space="preserve"> MSA</w:t>
      </w:r>
      <w:r w:rsidR="00E97621">
        <w:rPr>
          <w:rFonts w:ascii="Times New Roman" w:hAnsi="Times New Roman" w:cs="Times New Roman"/>
          <w:sz w:val="24"/>
          <w:szCs w:val="24"/>
        </w:rPr>
        <w:t xml:space="preserve"> of all the TPR motifs</w:t>
      </w:r>
      <w:r w:rsidR="00902926">
        <w:rPr>
          <w:rFonts w:ascii="Times New Roman" w:hAnsi="Times New Roman" w:cs="Times New Roman"/>
          <w:sz w:val="24"/>
          <w:szCs w:val="24"/>
        </w:rPr>
        <w:t xml:space="preserve"> </w:t>
      </w:r>
      <w:r w:rsidR="00185739">
        <w:rPr>
          <w:rFonts w:ascii="Times New Roman" w:hAnsi="Times New Roman" w:cs="Times New Roman"/>
          <w:sz w:val="24"/>
          <w:szCs w:val="24"/>
        </w:rPr>
        <w:t>(</w:t>
      </w:r>
      <w:r w:rsidR="00181EC3">
        <w:rPr>
          <w:rFonts w:ascii="Times New Roman" w:hAnsi="Times New Roman" w:cs="Times New Roman"/>
          <w:sz w:val="24"/>
          <w:szCs w:val="24"/>
        </w:rPr>
        <w:t>we term ‘</w:t>
      </w:r>
      <w:r w:rsidR="00185739">
        <w:rPr>
          <w:rFonts w:ascii="Times New Roman" w:hAnsi="Times New Roman" w:cs="Times New Roman"/>
          <w:sz w:val="24"/>
          <w:szCs w:val="24"/>
        </w:rPr>
        <w:t>motif-MSA</w:t>
      </w:r>
      <w:r w:rsidR="00181EC3">
        <w:rPr>
          <w:rFonts w:ascii="Times New Roman" w:hAnsi="Times New Roman" w:cs="Times New Roman"/>
          <w:sz w:val="24"/>
          <w:szCs w:val="24"/>
        </w:rPr>
        <w:t>’</w:t>
      </w:r>
      <w:r w:rsidR="00185739">
        <w:rPr>
          <w:rFonts w:ascii="Times New Roman" w:hAnsi="Times New Roman" w:cs="Times New Roman"/>
          <w:sz w:val="24"/>
          <w:szCs w:val="24"/>
        </w:rPr>
        <w:t xml:space="preserve">) </w:t>
      </w:r>
      <w:r w:rsidR="00902926">
        <w:rPr>
          <w:rFonts w:ascii="Times New Roman" w:hAnsi="Times New Roman" w:cs="Times New Roman"/>
          <w:sz w:val="24"/>
          <w:szCs w:val="24"/>
        </w:rPr>
        <w:t xml:space="preserve">to obtain a residue frequency table, </w:t>
      </w:r>
      <w:r w:rsidR="00A60BCD">
        <w:rPr>
          <w:rFonts w:ascii="Times New Roman" w:hAnsi="Times New Roman" w:cs="Times New Roman"/>
          <w:sz w:val="24"/>
          <w:szCs w:val="24"/>
        </w:rPr>
        <w:t xml:space="preserve">which shows the </w:t>
      </w:r>
      <w:r w:rsidR="00A60BCD">
        <w:rPr>
          <w:rFonts w:ascii="Times New Roman" w:hAnsi="Times New Roman" w:cs="Times New Roman"/>
          <w:sz w:val="24"/>
          <w:szCs w:val="24"/>
        </w:rPr>
        <w:lastRenderedPageBreak/>
        <w:t xml:space="preserve">percentage occurrence of </w:t>
      </w:r>
      <w:r w:rsidR="00FD2DA4">
        <w:rPr>
          <w:rFonts w:ascii="Times New Roman" w:hAnsi="Times New Roman" w:cs="Times New Roman"/>
          <w:sz w:val="24"/>
          <w:szCs w:val="24"/>
        </w:rPr>
        <w:t xml:space="preserve">each amino acid at each position in the motif. This table </w:t>
      </w:r>
      <w:r w:rsidR="00A60BCD">
        <w:rPr>
          <w:rFonts w:ascii="Times New Roman" w:hAnsi="Times New Roman" w:cs="Times New Roman"/>
          <w:sz w:val="24"/>
          <w:szCs w:val="24"/>
        </w:rPr>
        <w:t>can then be translated into</w:t>
      </w:r>
      <w:r w:rsidR="00902926">
        <w:rPr>
          <w:rFonts w:ascii="Times New Roman" w:hAnsi="Times New Roman" w:cs="Times New Roman"/>
          <w:sz w:val="24"/>
          <w:szCs w:val="24"/>
        </w:rPr>
        <w:t xml:space="preserve"> a </w:t>
      </w:r>
      <w:r w:rsidR="00E97621">
        <w:rPr>
          <w:rFonts w:ascii="Times New Roman" w:hAnsi="Times New Roman" w:cs="Times New Roman"/>
          <w:sz w:val="24"/>
          <w:szCs w:val="24"/>
        </w:rPr>
        <w:t>sequence logo</w:t>
      </w:r>
      <w:r w:rsidR="00902926">
        <w:rPr>
          <w:rFonts w:ascii="Times New Roman" w:hAnsi="Times New Roman" w:cs="Times New Roman"/>
          <w:sz w:val="24"/>
          <w:szCs w:val="24"/>
        </w:rPr>
        <w:t xml:space="preserve"> for </w:t>
      </w:r>
      <w:r w:rsidR="00FD2DA4">
        <w:rPr>
          <w:rFonts w:ascii="Times New Roman" w:hAnsi="Times New Roman" w:cs="Times New Roman"/>
          <w:sz w:val="24"/>
          <w:szCs w:val="24"/>
        </w:rPr>
        <w:t xml:space="preserve">better </w:t>
      </w:r>
      <w:r w:rsidR="00902926">
        <w:rPr>
          <w:rFonts w:ascii="Times New Roman" w:hAnsi="Times New Roman" w:cs="Times New Roman"/>
          <w:sz w:val="24"/>
          <w:szCs w:val="24"/>
        </w:rPr>
        <w:t>visualization</w:t>
      </w:r>
      <w:r w:rsidR="00E97621">
        <w:rPr>
          <w:rFonts w:ascii="Times New Roman" w:hAnsi="Times New Roman" w:cs="Times New Roman"/>
          <w:sz w:val="24"/>
          <w:szCs w:val="24"/>
        </w:rPr>
        <w:t xml:space="preserve">. </w:t>
      </w:r>
      <w:r w:rsidR="00316B59">
        <w:rPr>
          <w:rFonts w:ascii="Times New Roman" w:hAnsi="Times New Roman" w:cs="Times New Roman"/>
          <w:sz w:val="24"/>
          <w:szCs w:val="24"/>
        </w:rPr>
        <w:t xml:space="preserve">For each repeat motif, we then </w:t>
      </w:r>
      <w:r w:rsidR="00973ACC">
        <w:rPr>
          <w:rFonts w:ascii="Times New Roman" w:hAnsi="Times New Roman" w:cs="Times New Roman"/>
          <w:sz w:val="24"/>
          <w:szCs w:val="24"/>
        </w:rPr>
        <w:t xml:space="preserve">locate </w:t>
      </w:r>
      <w:r w:rsidR="00316B59">
        <w:rPr>
          <w:rFonts w:ascii="Times New Roman" w:hAnsi="Times New Roman" w:cs="Times New Roman"/>
          <w:sz w:val="24"/>
          <w:szCs w:val="24"/>
        </w:rPr>
        <w:t>its genomic</w:t>
      </w:r>
      <w:r w:rsidR="00973ACC">
        <w:rPr>
          <w:rFonts w:ascii="Times New Roman" w:hAnsi="Times New Roman" w:cs="Times New Roman"/>
          <w:sz w:val="24"/>
          <w:szCs w:val="24"/>
        </w:rPr>
        <w:t xml:space="preserve"> positions in the human genome</w:t>
      </w:r>
      <w:r w:rsidR="00316B59">
        <w:rPr>
          <w:rFonts w:ascii="Times New Roman" w:hAnsi="Times New Roman" w:cs="Times New Roman"/>
          <w:sz w:val="24"/>
          <w:szCs w:val="24"/>
        </w:rPr>
        <w:t xml:space="preserve">. Subsequently, we map genomic variants from </w:t>
      </w:r>
      <w:r w:rsidR="00181EC3">
        <w:rPr>
          <w:rFonts w:ascii="Times New Roman" w:hAnsi="Times New Roman" w:cs="Times New Roman"/>
          <w:sz w:val="24"/>
          <w:szCs w:val="24"/>
        </w:rPr>
        <w:t xml:space="preserve">the </w:t>
      </w:r>
      <w:r w:rsidR="008B4E1A">
        <w:rPr>
          <w:rFonts w:ascii="Times New Roman" w:hAnsi="Times New Roman" w:cs="Times New Roman"/>
          <w:sz w:val="24"/>
          <w:szCs w:val="24"/>
        </w:rPr>
        <w:t>ExAC</w:t>
      </w:r>
      <w:r w:rsidR="00973ACC">
        <w:rPr>
          <w:rFonts w:ascii="Times New Roman" w:hAnsi="Times New Roman" w:cs="Times New Roman"/>
          <w:sz w:val="24"/>
          <w:szCs w:val="24"/>
        </w:rPr>
        <w:t xml:space="preserve"> </w:t>
      </w:r>
      <w:r w:rsidR="008B4E1A">
        <w:rPr>
          <w:rFonts w:ascii="Times New Roman" w:hAnsi="Times New Roman" w:cs="Times New Roman"/>
          <w:sz w:val="24"/>
          <w:szCs w:val="24"/>
        </w:rPr>
        <w:t xml:space="preserve">catalog </w:t>
      </w:r>
      <w:r w:rsidR="00973ACC">
        <w:rPr>
          <w:rFonts w:ascii="Times New Roman" w:hAnsi="Times New Roman" w:cs="Times New Roman"/>
          <w:sz w:val="24"/>
          <w:szCs w:val="24"/>
        </w:rPr>
        <w:t xml:space="preserve">onto the genomic coordinates of the repeat motifs. Finally, this allows us to obtain </w:t>
      </w:r>
      <w:r w:rsidR="00973ACC" w:rsidRPr="00181EC3">
        <w:rPr>
          <w:rFonts w:ascii="Times New Roman" w:hAnsi="Times New Roman" w:cs="Times New Roman"/>
          <w:sz w:val="24"/>
          <w:szCs w:val="24"/>
        </w:rPr>
        <w:t xml:space="preserve">aggregate statistics of variants at each residue positions for each class of repeat domain, </w:t>
      </w:r>
      <w:r w:rsidR="008063AD" w:rsidRPr="00181EC3">
        <w:rPr>
          <w:rFonts w:ascii="Times New Roman" w:hAnsi="Times New Roman" w:cs="Times New Roman"/>
          <w:sz w:val="24"/>
          <w:szCs w:val="24"/>
        </w:rPr>
        <w:t xml:space="preserve">namely </w:t>
      </w:r>
      <w:r w:rsidR="00973ACC" w:rsidRPr="00181EC3">
        <w:rPr>
          <w:rFonts w:ascii="Times New Roman" w:hAnsi="Times New Roman" w:cs="Times New Roman"/>
          <w:sz w:val="24"/>
          <w:szCs w:val="24"/>
        </w:rPr>
        <w:t xml:space="preserve">ratio of </w:t>
      </w:r>
      <w:r w:rsidR="009F152D" w:rsidRPr="00181EC3">
        <w:rPr>
          <w:rFonts w:ascii="Times New Roman" w:hAnsi="Times New Roman" w:cs="Times New Roman"/>
          <w:sz w:val="24"/>
          <w:szCs w:val="24"/>
        </w:rPr>
        <w:t xml:space="preserve">the number of </w:t>
      </w:r>
      <w:r w:rsidR="00973ACC" w:rsidRPr="00181EC3">
        <w:rPr>
          <w:rFonts w:ascii="Times New Roman" w:hAnsi="Times New Roman" w:cs="Times New Roman"/>
          <w:sz w:val="24"/>
          <w:szCs w:val="24"/>
        </w:rPr>
        <w:t xml:space="preserve">non-synonymous </w:t>
      </w:r>
      <w:r w:rsidR="009F152D" w:rsidRPr="00181EC3">
        <w:rPr>
          <w:rFonts w:ascii="Times New Roman" w:hAnsi="Times New Roman" w:cs="Times New Roman"/>
          <w:sz w:val="24"/>
          <w:szCs w:val="24"/>
        </w:rPr>
        <w:t xml:space="preserve">SNVs </w:t>
      </w:r>
      <w:r w:rsidR="00973ACC" w:rsidRPr="00181EC3">
        <w:rPr>
          <w:rFonts w:ascii="Times New Roman" w:hAnsi="Times New Roman" w:cs="Times New Roman"/>
          <w:sz w:val="24"/>
          <w:szCs w:val="24"/>
        </w:rPr>
        <w:t xml:space="preserve">to synonymous ratio, </w:t>
      </w:r>
      <w:r w:rsidR="00973ACC" w:rsidRPr="008D5333">
        <w:rPr>
          <w:rFonts w:ascii="Times New Roman" w:hAnsi="Times New Roman" w:cs="Times New Roman"/>
          <w:color w:val="FF0000"/>
          <w:sz w:val="24"/>
          <w:szCs w:val="24"/>
        </w:rPr>
        <w:t>∆</w:t>
      </w:r>
      <w:r w:rsidR="008063AD" w:rsidRPr="008D5333">
        <w:rPr>
          <w:rFonts w:ascii="Times New Roman" w:hAnsi="Times New Roman" w:cs="Times New Roman"/>
          <w:color w:val="FF0000"/>
          <w:sz w:val="24"/>
          <w:szCs w:val="24"/>
        </w:rPr>
        <w:t>DAF</w:t>
      </w:r>
      <w:r w:rsidR="008063AD" w:rsidRPr="00181EC3">
        <w:rPr>
          <w:rFonts w:ascii="Times New Roman" w:hAnsi="Times New Roman" w:cs="Times New Roman"/>
          <w:sz w:val="24"/>
          <w:szCs w:val="24"/>
        </w:rPr>
        <w:t xml:space="preserve">, </w:t>
      </w:r>
      <w:r w:rsidR="00973ACC" w:rsidRPr="00181EC3">
        <w:rPr>
          <w:rFonts w:ascii="Times New Roman" w:hAnsi="Times New Roman" w:cs="Times New Roman"/>
          <w:sz w:val="24"/>
          <w:szCs w:val="24"/>
        </w:rPr>
        <w:t>enrichment of rare variants</w:t>
      </w:r>
      <w:r w:rsidR="008063AD" w:rsidRPr="00181EC3">
        <w:rPr>
          <w:rFonts w:ascii="Times New Roman" w:hAnsi="Times New Roman" w:cs="Times New Roman"/>
          <w:sz w:val="24"/>
          <w:szCs w:val="24"/>
        </w:rPr>
        <w:t xml:space="preserve"> and the distribution of SIFT scores</w:t>
      </w:r>
      <w:r w:rsidR="00973ACC" w:rsidRPr="00181EC3">
        <w:rPr>
          <w:rFonts w:ascii="Times New Roman" w:hAnsi="Times New Roman" w:cs="Times New Roman"/>
          <w:sz w:val="24"/>
          <w:szCs w:val="24"/>
        </w:rPr>
        <w:t>.</w:t>
      </w:r>
      <w:r w:rsidR="00973ACC">
        <w:rPr>
          <w:rFonts w:ascii="Times New Roman" w:hAnsi="Times New Roman" w:cs="Times New Roman"/>
          <w:sz w:val="24"/>
          <w:szCs w:val="24"/>
        </w:rPr>
        <w:t xml:space="preserve"> </w:t>
      </w:r>
      <w:r w:rsidR="00DD4C99">
        <w:rPr>
          <w:rFonts w:ascii="Times New Roman" w:hAnsi="Times New Roman" w:cs="Times New Roman"/>
          <w:sz w:val="24"/>
          <w:szCs w:val="24"/>
        </w:rPr>
        <w:t xml:space="preserve">We provide </w:t>
      </w:r>
      <w:r w:rsidR="008063AD">
        <w:rPr>
          <w:rFonts w:ascii="Times New Roman" w:hAnsi="Times New Roman" w:cs="Times New Roman"/>
          <w:sz w:val="24"/>
          <w:szCs w:val="24"/>
        </w:rPr>
        <w:t xml:space="preserve">these </w:t>
      </w:r>
      <w:r w:rsidR="00FD2DA4">
        <w:rPr>
          <w:rFonts w:ascii="Times New Roman" w:hAnsi="Times New Roman" w:cs="Times New Roman"/>
          <w:sz w:val="24"/>
          <w:szCs w:val="24"/>
        </w:rPr>
        <w:t>data</w:t>
      </w:r>
      <w:r w:rsidR="00DD4C99">
        <w:rPr>
          <w:rFonts w:ascii="Times New Roman" w:hAnsi="Times New Roman" w:cs="Times New Roman"/>
          <w:sz w:val="24"/>
          <w:szCs w:val="24"/>
        </w:rPr>
        <w:t xml:space="preserve"> for </w:t>
      </w:r>
      <w:r w:rsidR="00DD4C99" w:rsidRPr="00DD4C99">
        <w:rPr>
          <w:rFonts w:ascii="Times New Roman" w:hAnsi="Times New Roman" w:cs="Times New Roman"/>
          <w:color w:val="FF0000"/>
          <w:sz w:val="24"/>
          <w:szCs w:val="24"/>
        </w:rPr>
        <w:t xml:space="preserve">34 </w:t>
      </w:r>
      <w:r w:rsidR="00181EC3">
        <w:rPr>
          <w:rFonts w:ascii="Times New Roman" w:hAnsi="Times New Roman" w:cs="Times New Roman"/>
          <w:sz w:val="24"/>
          <w:szCs w:val="24"/>
        </w:rPr>
        <w:t xml:space="preserve">protein domains – </w:t>
      </w:r>
      <w:r w:rsidR="00181EC3">
        <w:rPr>
          <w:rFonts w:ascii="Times New Roman" w:hAnsi="Times New Roman" w:cs="Times New Roman"/>
          <w:color w:val="FF0000"/>
          <w:sz w:val="24"/>
          <w:szCs w:val="24"/>
        </w:rPr>
        <w:t xml:space="preserve">17 </w:t>
      </w:r>
      <w:r w:rsidR="00DD4C99">
        <w:rPr>
          <w:rFonts w:ascii="Times New Roman" w:hAnsi="Times New Roman" w:cs="Times New Roman"/>
          <w:sz w:val="24"/>
          <w:szCs w:val="24"/>
        </w:rPr>
        <w:t xml:space="preserve">RPDs and </w:t>
      </w:r>
      <w:r w:rsidR="00DD4C99" w:rsidRPr="00DD4C99">
        <w:rPr>
          <w:rFonts w:ascii="Times New Roman" w:hAnsi="Times New Roman" w:cs="Times New Roman"/>
          <w:color w:val="FF0000"/>
          <w:sz w:val="24"/>
          <w:szCs w:val="24"/>
        </w:rPr>
        <w:t xml:space="preserve">17 </w:t>
      </w:r>
      <w:r w:rsidR="00181EC3">
        <w:rPr>
          <w:rFonts w:ascii="Times New Roman" w:hAnsi="Times New Roman" w:cs="Times New Roman"/>
          <w:sz w:val="24"/>
          <w:szCs w:val="24"/>
        </w:rPr>
        <w:t xml:space="preserve">non-RPDs – and </w:t>
      </w:r>
      <w:r w:rsidR="008063AD">
        <w:rPr>
          <w:rFonts w:ascii="Times New Roman" w:hAnsi="Times New Roman" w:cs="Times New Roman"/>
          <w:sz w:val="24"/>
          <w:szCs w:val="24"/>
        </w:rPr>
        <w:t xml:space="preserve">host the data on a publicly available repository, </w:t>
      </w:r>
      <w:proofErr w:type="spellStart"/>
      <w:r w:rsidR="008063AD" w:rsidRPr="00181EC3">
        <w:rPr>
          <w:rFonts w:ascii="Times New Roman" w:hAnsi="Times New Roman" w:cs="Times New Roman"/>
          <w:i/>
          <w:sz w:val="24"/>
          <w:szCs w:val="24"/>
        </w:rPr>
        <w:t>MotifVar</w:t>
      </w:r>
      <w:proofErr w:type="spellEnd"/>
      <w:r w:rsidR="008063AD">
        <w:rPr>
          <w:rFonts w:ascii="Times New Roman" w:hAnsi="Times New Roman" w:cs="Times New Roman"/>
          <w:sz w:val="24"/>
          <w:szCs w:val="24"/>
        </w:rPr>
        <w:t xml:space="preserve"> (motifvar.gersteinlab.org).</w:t>
      </w:r>
    </w:p>
    <w:p w:rsidR="00BB7583" w:rsidRDefault="00BB7583" w:rsidP="006B37B8">
      <w:pPr>
        <w:spacing w:after="0" w:line="240" w:lineRule="auto"/>
        <w:rPr>
          <w:rFonts w:ascii="Times New Roman" w:hAnsi="Times New Roman" w:cs="Times New Roman"/>
          <w:sz w:val="24"/>
          <w:szCs w:val="24"/>
        </w:rPr>
      </w:pPr>
    </w:p>
    <w:p w:rsidR="0092226B" w:rsidRDefault="0092226B" w:rsidP="006B37B8">
      <w:pPr>
        <w:spacing w:after="0" w:line="240" w:lineRule="auto"/>
        <w:rPr>
          <w:rFonts w:ascii="Times New Roman" w:hAnsi="Times New Roman" w:cs="Times New Roman"/>
          <w:b/>
          <w:sz w:val="24"/>
          <w:szCs w:val="24"/>
        </w:rPr>
      </w:pPr>
      <w:r>
        <w:rPr>
          <w:rFonts w:ascii="Times New Roman" w:hAnsi="Times New Roman" w:cs="Times New Roman"/>
          <w:b/>
          <w:i/>
          <w:sz w:val="24"/>
          <w:szCs w:val="24"/>
        </w:rPr>
        <w:t>Identifying conserved positions in PPI domains using motif</w:t>
      </w:r>
      <w:r w:rsidR="006144EA">
        <w:rPr>
          <w:rFonts w:ascii="Times New Roman" w:hAnsi="Times New Roman" w:cs="Times New Roman"/>
          <w:b/>
          <w:i/>
          <w:sz w:val="24"/>
          <w:szCs w:val="24"/>
        </w:rPr>
        <w:t xml:space="preserve">-MSA </w:t>
      </w:r>
      <w:r>
        <w:rPr>
          <w:rFonts w:ascii="Times New Roman" w:hAnsi="Times New Roman" w:cs="Times New Roman"/>
          <w:b/>
          <w:i/>
          <w:sz w:val="24"/>
          <w:szCs w:val="24"/>
        </w:rPr>
        <w:t>profile</w:t>
      </w:r>
    </w:p>
    <w:p w:rsidR="00811820" w:rsidRDefault="00426C05" w:rsidP="006B37B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 </w:t>
      </w:r>
      <w:r w:rsidR="001814C5">
        <w:rPr>
          <w:rFonts w:ascii="Times New Roman" w:hAnsi="Times New Roman" w:cs="Times New Roman"/>
          <w:sz w:val="24"/>
          <w:szCs w:val="24"/>
        </w:rPr>
        <w:t xml:space="preserve">MSA </w:t>
      </w:r>
      <w:r>
        <w:rPr>
          <w:rFonts w:ascii="Times New Roman" w:hAnsi="Times New Roman" w:cs="Times New Roman"/>
          <w:sz w:val="24"/>
          <w:szCs w:val="24"/>
        </w:rPr>
        <w:t xml:space="preserve">is more typically performed </w:t>
      </w:r>
      <w:proofErr w:type="spellStart"/>
      <w:r>
        <w:rPr>
          <w:rFonts w:ascii="Times New Roman" w:hAnsi="Times New Roman" w:cs="Times New Roman"/>
          <w:sz w:val="24"/>
          <w:szCs w:val="24"/>
        </w:rPr>
        <w:t>t</w:t>
      </w:r>
      <w:r w:rsidR="00851583">
        <w:rPr>
          <w:rFonts w:ascii="Times New Roman" w:hAnsi="Times New Roman" w:cs="Times New Roman"/>
          <w:sz w:val="24"/>
          <w:szCs w:val="24"/>
        </w:rPr>
        <w:t>using</w:t>
      </w:r>
      <w:proofErr w:type="spellEnd"/>
      <w:r w:rsidR="00851583">
        <w:rPr>
          <w:rFonts w:ascii="Times New Roman" w:hAnsi="Times New Roman" w:cs="Times New Roman"/>
          <w:sz w:val="24"/>
          <w:szCs w:val="24"/>
        </w:rPr>
        <w:t xml:space="preserve"> </w:t>
      </w:r>
      <w:r w:rsidR="007658BF">
        <w:rPr>
          <w:rFonts w:ascii="Times New Roman" w:hAnsi="Times New Roman" w:cs="Times New Roman"/>
          <w:sz w:val="24"/>
          <w:szCs w:val="24"/>
        </w:rPr>
        <w:t xml:space="preserve">homologous sequences </w:t>
      </w:r>
      <w:r w:rsidR="00851583">
        <w:rPr>
          <w:rFonts w:ascii="Times New Roman" w:hAnsi="Times New Roman" w:cs="Times New Roman"/>
          <w:sz w:val="24"/>
          <w:szCs w:val="24"/>
        </w:rPr>
        <w:t xml:space="preserve">from </w:t>
      </w:r>
      <w:r w:rsidR="007658BF">
        <w:rPr>
          <w:rFonts w:ascii="Times New Roman" w:hAnsi="Times New Roman" w:cs="Times New Roman"/>
          <w:sz w:val="24"/>
          <w:szCs w:val="24"/>
        </w:rPr>
        <w:t>multiple species</w:t>
      </w:r>
      <w:r w:rsidR="001814C5">
        <w:rPr>
          <w:rFonts w:ascii="Times New Roman" w:hAnsi="Times New Roman" w:cs="Times New Roman"/>
          <w:sz w:val="24"/>
          <w:szCs w:val="24"/>
        </w:rPr>
        <w:t xml:space="preserve"> (we term ‘species-MSA’)</w:t>
      </w:r>
      <w:r>
        <w:rPr>
          <w:rFonts w:ascii="Times New Roman" w:hAnsi="Times New Roman" w:cs="Times New Roman"/>
          <w:sz w:val="24"/>
          <w:szCs w:val="24"/>
        </w:rPr>
        <w:t>.</w:t>
      </w:r>
      <w:r w:rsidR="000B6370">
        <w:rPr>
          <w:rFonts w:ascii="Times New Roman" w:hAnsi="Times New Roman" w:cs="Times New Roman"/>
          <w:sz w:val="24"/>
          <w:szCs w:val="24"/>
        </w:rPr>
        <w:t xml:space="preserve"> </w:t>
      </w:r>
      <w:r>
        <w:rPr>
          <w:rFonts w:ascii="Times New Roman" w:hAnsi="Times New Roman" w:cs="Times New Roman"/>
          <w:sz w:val="24"/>
          <w:szCs w:val="24"/>
        </w:rPr>
        <w:t>Here, we perform species-MSA for the first three TPR motif sequences in the TPR-containing protein TTC21B, using orthologous sequences from 66 species (</w:t>
      </w:r>
      <w:r w:rsidRPr="000B6370">
        <w:rPr>
          <w:rFonts w:ascii="Times New Roman" w:hAnsi="Times New Roman" w:cs="Times New Roman"/>
          <w:color w:val="FF0000"/>
          <w:sz w:val="24"/>
          <w:szCs w:val="24"/>
        </w:rPr>
        <w:t>see ‘Methods’ for details</w:t>
      </w:r>
      <w:r>
        <w:rPr>
          <w:rFonts w:ascii="Times New Roman" w:hAnsi="Times New Roman" w:cs="Times New Roman"/>
          <w:sz w:val="24"/>
          <w:szCs w:val="24"/>
        </w:rPr>
        <w:t>) (</w:t>
      </w:r>
      <w:r w:rsidRPr="00426C05">
        <w:rPr>
          <w:rFonts w:ascii="Times New Roman" w:hAnsi="Times New Roman" w:cs="Times New Roman"/>
          <w:color w:val="FF0000"/>
          <w:sz w:val="24"/>
          <w:szCs w:val="24"/>
        </w:rPr>
        <w:t>Figure 2a</w:t>
      </w:r>
      <w:r>
        <w:rPr>
          <w:rFonts w:ascii="Times New Roman" w:hAnsi="Times New Roman" w:cs="Times New Roman"/>
          <w:sz w:val="24"/>
          <w:szCs w:val="24"/>
        </w:rPr>
        <w:t xml:space="preserve">). TTC21B contains about </w:t>
      </w:r>
      <w:r w:rsidRPr="007658BF">
        <w:rPr>
          <w:rFonts w:ascii="Times New Roman" w:hAnsi="Times New Roman" w:cs="Times New Roman"/>
          <w:color w:val="FF0000"/>
          <w:sz w:val="24"/>
          <w:szCs w:val="24"/>
        </w:rPr>
        <w:t>16</w:t>
      </w:r>
      <w:r>
        <w:rPr>
          <w:rFonts w:ascii="Times New Roman" w:hAnsi="Times New Roman" w:cs="Times New Roman"/>
          <w:color w:val="FF0000"/>
          <w:sz w:val="24"/>
          <w:szCs w:val="24"/>
        </w:rPr>
        <w:t>-19</w:t>
      </w:r>
      <w:r w:rsidRPr="007658BF">
        <w:rPr>
          <w:rFonts w:ascii="Times New Roman" w:hAnsi="Times New Roman" w:cs="Times New Roman"/>
          <w:color w:val="FF0000"/>
          <w:sz w:val="24"/>
          <w:szCs w:val="24"/>
        </w:rPr>
        <w:t xml:space="preserve"> </w:t>
      </w:r>
      <w:r>
        <w:rPr>
          <w:rFonts w:ascii="Times New Roman" w:hAnsi="Times New Roman" w:cs="Times New Roman"/>
          <w:sz w:val="24"/>
          <w:szCs w:val="24"/>
        </w:rPr>
        <w:t>TPR motifs, with almost all of them having a length of 34 amino acids and is a cilia-specific protein that is necessary for retrograde intra-flagellar transport</w:t>
      </w:r>
      <w:proofErr w:type="gramStart"/>
      <w:r>
        <w:rPr>
          <w:rFonts w:ascii="Times New Roman" w:hAnsi="Times New Roman" w:cs="Times New Roman"/>
          <w:sz w:val="24"/>
          <w:szCs w:val="24"/>
        </w:rPr>
        <w:t>.[</w:t>
      </w:r>
      <w:proofErr w:type="gramEnd"/>
      <w:r w:rsidRPr="007658BF">
        <w:rPr>
          <w:rFonts w:ascii="Times New Roman" w:hAnsi="Times New Roman" w:cs="Times New Roman"/>
          <w:color w:val="FF0000"/>
          <w:sz w:val="24"/>
          <w:szCs w:val="24"/>
        </w:rPr>
        <w:t>cite</w:t>
      </w:r>
      <w:r>
        <w:rPr>
          <w:rFonts w:ascii="Times New Roman" w:hAnsi="Times New Roman" w:cs="Times New Roman"/>
          <w:sz w:val="24"/>
          <w:szCs w:val="24"/>
        </w:rPr>
        <w:t xml:space="preserve">] Expectantly, </w:t>
      </w:r>
      <w:r w:rsidR="000B6370">
        <w:rPr>
          <w:rFonts w:ascii="Times New Roman" w:hAnsi="Times New Roman" w:cs="Times New Roman"/>
          <w:sz w:val="24"/>
          <w:szCs w:val="24"/>
        </w:rPr>
        <w:t xml:space="preserve">most positions are </w:t>
      </w:r>
      <w:r w:rsidR="00851583">
        <w:rPr>
          <w:rFonts w:ascii="Times New Roman" w:hAnsi="Times New Roman" w:cs="Times New Roman"/>
          <w:sz w:val="24"/>
          <w:szCs w:val="24"/>
        </w:rPr>
        <w:t>comparably high in sequence conservation (</w:t>
      </w:r>
      <w:r w:rsidR="00851583" w:rsidRPr="00426C05">
        <w:rPr>
          <w:rFonts w:ascii="Times New Roman" w:hAnsi="Times New Roman" w:cs="Times New Roman"/>
          <w:color w:val="FF0000"/>
          <w:sz w:val="24"/>
          <w:szCs w:val="24"/>
        </w:rPr>
        <w:t>Figure 2</w:t>
      </w:r>
      <w:r w:rsidRPr="00426C05">
        <w:rPr>
          <w:rFonts w:ascii="Times New Roman" w:hAnsi="Times New Roman" w:cs="Times New Roman"/>
          <w:color w:val="FF0000"/>
          <w:sz w:val="24"/>
          <w:szCs w:val="24"/>
        </w:rPr>
        <w:t>a</w:t>
      </w:r>
      <w:r w:rsidR="00851583">
        <w:rPr>
          <w:rFonts w:ascii="Times New Roman" w:hAnsi="Times New Roman" w:cs="Times New Roman"/>
          <w:sz w:val="24"/>
          <w:szCs w:val="24"/>
        </w:rPr>
        <w:t>)</w:t>
      </w:r>
      <w:r w:rsidR="007658BF">
        <w:rPr>
          <w:rFonts w:ascii="Times New Roman" w:hAnsi="Times New Roman" w:cs="Times New Roman"/>
          <w:sz w:val="24"/>
          <w:szCs w:val="24"/>
        </w:rPr>
        <w:t xml:space="preserve">. </w:t>
      </w:r>
      <w:r w:rsidR="00851583">
        <w:rPr>
          <w:rFonts w:ascii="Times New Roman" w:hAnsi="Times New Roman" w:cs="Times New Roman"/>
          <w:sz w:val="24"/>
          <w:szCs w:val="24"/>
        </w:rPr>
        <w:t xml:space="preserve">In contrast, the motif-MSA profile exhibits </w:t>
      </w:r>
      <w:r>
        <w:rPr>
          <w:rFonts w:ascii="Times New Roman" w:hAnsi="Times New Roman" w:cs="Times New Roman"/>
          <w:sz w:val="24"/>
          <w:szCs w:val="24"/>
        </w:rPr>
        <w:t>substantially</w:t>
      </w:r>
      <w:r w:rsidR="00851583">
        <w:rPr>
          <w:rFonts w:ascii="Times New Roman" w:hAnsi="Times New Roman" w:cs="Times New Roman"/>
          <w:sz w:val="24"/>
          <w:szCs w:val="24"/>
        </w:rPr>
        <w:t xml:space="preserve"> differential sequence conservation among the motif positions</w:t>
      </w:r>
      <w:r>
        <w:rPr>
          <w:rFonts w:ascii="Times New Roman" w:hAnsi="Times New Roman" w:cs="Times New Roman"/>
          <w:sz w:val="24"/>
          <w:szCs w:val="24"/>
        </w:rPr>
        <w:t xml:space="preserve"> </w:t>
      </w:r>
      <w:r w:rsidR="00851583">
        <w:rPr>
          <w:rFonts w:ascii="Times New Roman" w:hAnsi="Times New Roman" w:cs="Times New Roman"/>
          <w:sz w:val="24"/>
          <w:szCs w:val="24"/>
        </w:rPr>
        <w:t>(</w:t>
      </w:r>
      <w:r>
        <w:rPr>
          <w:rFonts w:ascii="Times New Roman" w:hAnsi="Times New Roman" w:cs="Times New Roman"/>
          <w:color w:val="FF0000"/>
          <w:sz w:val="24"/>
          <w:szCs w:val="24"/>
        </w:rPr>
        <w:t>Figure 2b</w:t>
      </w:r>
      <w:r w:rsidR="00851583">
        <w:rPr>
          <w:rFonts w:ascii="Times New Roman" w:hAnsi="Times New Roman" w:cs="Times New Roman"/>
          <w:sz w:val="24"/>
          <w:szCs w:val="24"/>
        </w:rPr>
        <w:t xml:space="preserve">). </w:t>
      </w:r>
      <w:r w:rsidR="006D7A1F">
        <w:rPr>
          <w:rFonts w:ascii="Times New Roman" w:hAnsi="Times New Roman" w:cs="Times New Roman"/>
          <w:sz w:val="24"/>
          <w:szCs w:val="24"/>
        </w:rPr>
        <w:t>Because we are aligning motifs of the same class of repeat domain, residue positions that are characteristic of, and thereby important to, the structural fold of the repeat motif will be more conserved than other positions. We were able to easily identify positions 8, 11, 20, 24 and 27 as more conserved within the TPR repeat motif, thereby facilitating the identification of more conserved residue positions that might be important in the TPR domains</w:t>
      </w:r>
      <w:r w:rsidR="000B6370">
        <w:rPr>
          <w:rFonts w:ascii="Times New Roman" w:hAnsi="Times New Roman" w:cs="Times New Roman"/>
          <w:sz w:val="24"/>
          <w:szCs w:val="24"/>
        </w:rPr>
        <w:t xml:space="preserve">. </w:t>
      </w:r>
    </w:p>
    <w:p w:rsidR="00185739" w:rsidRDefault="00185739" w:rsidP="006B37B8">
      <w:pPr>
        <w:spacing w:after="0" w:line="240" w:lineRule="auto"/>
        <w:rPr>
          <w:rFonts w:ascii="Times New Roman" w:hAnsi="Times New Roman" w:cs="Times New Roman"/>
          <w:sz w:val="24"/>
          <w:szCs w:val="24"/>
        </w:rPr>
      </w:pPr>
    </w:p>
    <w:p w:rsidR="004E6BB1" w:rsidRPr="004E6BB1" w:rsidRDefault="004E6BB1" w:rsidP="006B37B8">
      <w:pPr>
        <w:spacing w:after="0" w:line="240" w:lineRule="auto"/>
        <w:rPr>
          <w:rFonts w:ascii="Times New Roman" w:hAnsi="Times New Roman" w:cs="Times New Roman"/>
          <w:b/>
          <w:i/>
          <w:sz w:val="24"/>
          <w:szCs w:val="24"/>
        </w:rPr>
      </w:pPr>
      <w:r>
        <w:rPr>
          <w:rFonts w:ascii="Times New Roman" w:hAnsi="Times New Roman" w:cs="Times New Roman"/>
          <w:b/>
          <w:i/>
          <w:sz w:val="24"/>
          <w:szCs w:val="24"/>
        </w:rPr>
        <w:t xml:space="preserve">Mapping genomic variants to the </w:t>
      </w:r>
      <w:r w:rsidR="006144EA">
        <w:rPr>
          <w:rFonts w:ascii="Times New Roman" w:hAnsi="Times New Roman" w:cs="Times New Roman"/>
          <w:b/>
          <w:i/>
          <w:sz w:val="24"/>
          <w:szCs w:val="24"/>
        </w:rPr>
        <w:t xml:space="preserve">motif-MSA </w:t>
      </w:r>
      <w:r>
        <w:rPr>
          <w:rFonts w:ascii="Times New Roman" w:hAnsi="Times New Roman" w:cs="Times New Roman"/>
          <w:b/>
          <w:i/>
          <w:sz w:val="24"/>
          <w:szCs w:val="24"/>
        </w:rPr>
        <w:t>profile</w:t>
      </w:r>
    </w:p>
    <w:p w:rsidR="005964D9" w:rsidRDefault="009B3577" w:rsidP="006B37B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With a large catalog of human </w:t>
      </w:r>
      <w:proofErr w:type="spellStart"/>
      <w:r>
        <w:rPr>
          <w:rFonts w:ascii="Times New Roman" w:hAnsi="Times New Roman" w:cs="Times New Roman"/>
          <w:sz w:val="24"/>
          <w:szCs w:val="24"/>
        </w:rPr>
        <w:t>exonic</w:t>
      </w:r>
      <w:proofErr w:type="spellEnd"/>
      <w:r>
        <w:rPr>
          <w:rFonts w:ascii="Times New Roman" w:hAnsi="Times New Roman" w:cs="Times New Roman"/>
          <w:sz w:val="24"/>
          <w:szCs w:val="24"/>
        </w:rPr>
        <w:t xml:space="preserve"> variants, we can allocate each variant to a position on the MSA, based on its genomic and translated protein location. The conventional species-MSA profile is restricted to the sequence of a single human protein (since the alignment is based on </w:t>
      </w:r>
      <w:proofErr w:type="spellStart"/>
      <w:r>
        <w:rPr>
          <w:rFonts w:ascii="Times New Roman" w:hAnsi="Times New Roman" w:cs="Times New Roman"/>
          <w:sz w:val="24"/>
          <w:szCs w:val="24"/>
        </w:rPr>
        <w:t>orthologs</w:t>
      </w:r>
      <w:proofErr w:type="spellEnd"/>
      <w:r>
        <w:rPr>
          <w:rFonts w:ascii="Times New Roman" w:hAnsi="Times New Roman" w:cs="Times New Roman"/>
          <w:sz w:val="24"/>
          <w:szCs w:val="24"/>
        </w:rPr>
        <w:t>), hence only a maximum of three human variants can occur for each residue’s codon position (</w:t>
      </w:r>
      <w:r w:rsidRPr="005964D9">
        <w:rPr>
          <w:rFonts w:ascii="Times New Roman" w:hAnsi="Times New Roman" w:cs="Times New Roman"/>
          <w:color w:val="FF0000"/>
          <w:sz w:val="24"/>
          <w:szCs w:val="24"/>
        </w:rPr>
        <w:t xml:space="preserve">Figure </w:t>
      </w:r>
      <w:r>
        <w:rPr>
          <w:rFonts w:ascii="Times New Roman" w:hAnsi="Times New Roman" w:cs="Times New Roman"/>
          <w:color w:val="FF0000"/>
          <w:sz w:val="24"/>
          <w:szCs w:val="24"/>
        </w:rPr>
        <w:t>2c</w:t>
      </w:r>
      <w:r>
        <w:rPr>
          <w:rFonts w:ascii="Times New Roman" w:hAnsi="Times New Roman" w:cs="Times New Roman"/>
          <w:sz w:val="24"/>
          <w:szCs w:val="24"/>
        </w:rPr>
        <w:t xml:space="preserve">). However, in motif-MSA, for a variant to occur on a particular position of the TPR motif, it can occur on any of the codons that correspond to that position on any 34-amino-acid TPR motif on any TPR-containing proteins within the human proteome. Consequently, the number of variants at each amino acid position in a motif-MSA is </w:t>
      </w:r>
      <w:r w:rsidR="003C6526">
        <w:rPr>
          <w:rFonts w:ascii="Times New Roman" w:hAnsi="Times New Roman" w:cs="Times New Roman"/>
          <w:sz w:val="24"/>
          <w:szCs w:val="24"/>
        </w:rPr>
        <w:t xml:space="preserve">not </w:t>
      </w:r>
      <w:r>
        <w:rPr>
          <w:rFonts w:ascii="Times New Roman" w:hAnsi="Times New Roman" w:cs="Times New Roman"/>
          <w:sz w:val="24"/>
          <w:szCs w:val="24"/>
        </w:rPr>
        <w:t xml:space="preserve">limited by the codon size, but by the number of repeat motifs (from the same class) within the human proteome. </w:t>
      </w:r>
      <w:r w:rsidR="003C6526">
        <w:rPr>
          <w:rFonts w:ascii="Times New Roman" w:hAnsi="Times New Roman" w:cs="Times New Roman"/>
          <w:sz w:val="24"/>
          <w:szCs w:val="24"/>
        </w:rPr>
        <w:t>This</w:t>
      </w:r>
      <w:r w:rsidR="001A5A61">
        <w:rPr>
          <w:rFonts w:ascii="Times New Roman" w:hAnsi="Times New Roman" w:cs="Times New Roman"/>
          <w:sz w:val="24"/>
          <w:szCs w:val="24"/>
        </w:rPr>
        <w:t xml:space="preserve"> accumulation of variants using motif-MSA enables the computation of various metrics </w:t>
      </w:r>
      <w:r w:rsidR="00255A55">
        <w:rPr>
          <w:rFonts w:ascii="Times New Roman" w:hAnsi="Times New Roman" w:cs="Times New Roman"/>
          <w:sz w:val="24"/>
          <w:szCs w:val="24"/>
        </w:rPr>
        <w:t>to investi</w:t>
      </w:r>
      <w:r w:rsidR="00E8655C">
        <w:rPr>
          <w:rFonts w:ascii="Times New Roman" w:hAnsi="Times New Roman" w:cs="Times New Roman"/>
          <w:sz w:val="24"/>
          <w:szCs w:val="24"/>
        </w:rPr>
        <w:t>gate the selective constraints i</w:t>
      </w:r>
      <w:r w:rsidR="00255A55">
        <w:rPr>
          <w:rFonts w:ascii="Times New Roman" w:hAnsi="Times New Roman" w:cs="Times New Roman"/>
          <w:sz w:val="24"/>
          <w:szCs w:val="24"/>
        </w:rPr>
        <w:t>n the</w:t>
      </w:r>
      <w:r w:rsidR="001775B2">
        <w:rPr>
          <w:rFonts w:ascii="Times New Roman" w:hAnsi="Times New Roman" w:cs="Times New Roman"/>
          <w:sz w:val="24"/>
          <w:szCs w:val="24"/>
        </w:rPr>
        <w:t xml:space="preserve"> protein domains</w:t>
      </w:r>
      <w:r w:rsidR="001A5A61">
        <w:rPr>
          <w:rFonts w:ascii="Times New Roman" w:hAnsi="Times New Roman" w:cs="Times New Roman"/>
          <w:sz w:val="24"/>
          <w:szCs w:val="24"/>
        </w:rPr>
        <w:t xml:space="preserve"> </w:t>
      </w:r>
      <w:r w:rsidR="00255A55">
        <w:rPr>
          <w:rFonts w:ascii="Times New Roman" w:hAnsi="Times New Roman" w:cs="Times New Roman"/>
          <w:sz w:val="24"/>
          <w:szCs w:val="24"/>
        </w:rPr>
        <w:t>using genomic information</w:t>
      </w:r>
      <w:r w:rsidR="001775B2">
        <w:rPr>
          <w:rFonts w:ascii="Times New Roman" w:hAnsi="Times New Roman" w:cs="Times New Roman"/>
          <w:sz w:val="24"/>
          <w:szCs w:val="24"/>
        </w:rPr>
        <w:t xml:space="preserve">. </w:t>
      </w:r>
      <w:r w:rsidR="00E81261">
        <w:rPr>
          <w:rFonts w:ascii="Times New Roman" w:hAnsi="Times New Roman" w:cs="Times New Roman"/>
          <w:sz w:val="24"/>
          <w:szCs w:val="24"/>
        </w:rPr>
        <w:t xml:space="preserve">In </w:t>
      </w:r>
      <w:r w:rsidR="00914B27" w:rsidRPr="00B95893">
        <w:rPr>
          <w:rFonts w:ascii="Times New Roman" w:hAnsi="Times New Roman" w:cs="Times New Roman"/>
          <w:color w:val="FF0000"/>
          <w:sz w:val="24"/>
          <w:szCs w:val="24"/>
        </w:rPr>
        <w:t xml:space="preserve">Figure </w:t>
      </w:r>
      <w:r w:rsidR="00B95893">
        <w:rPr>
          <w:rFonts w:ascii="Times New Roman" w:hAnsi="Times New Roman" w:cs="Times New Roman"/>
          <w:color w:val="FF0000"/>
          <w:sz w:val="24"/>
          <w:szCs w:val="24"/>
        </w:rPr>
        <w:t>3</w:t>
      </w:r>
      <w:r w:rsidR="00E81261">
        <w:rPr>
          <w:rFonts w:ascii="Times New Roman" w:hAnsi="Times New Roman" w:cs="Times New Roman"/>
          <w:color w:val="FF0000"/>
          <w:sz w:val="24"/>
          <w:szCs w:val="24"/>
        </w:rPr>
        <w:t xml:space="preserve">, </w:t>
      </w:r>
      <w:r w:rsidR="00E81261">
        <w:rPr>
          <w:rFonts w:ascii="Times New Roman" w:hAnsi="Times New Roman" w:cs="Times New Roman"/>
          <w:sz w:val="24"/>
          <w:szCs w:val="24"/>
        </w:rPr>
        <w:t>we use the TPR domains as an example to show</w:t>
      </w:r>
      <w:r w:rsidR="001775B2">
        <w:rPr>
          <w:rFonts w:ascii="Times New Roman" w:hAnsi="Times New Roman" w:cs="Times New Roman"/>
          <w:sz w:val="24"/>
          <w:szCs w:val="24"/>
        </w:rPr>
        <w:t xml:space="preserve"> the results </w:t>
      </w:r>
      <w:r w:rsidR="003C6526">
        <w:rPr>
          <w:rFonts w:ascii="Times New Roman" w:hAnsi="Times New Roman" w:cs="Times New Roman"/>
          <w:sz w:val="24"/>
          <w:szCs w:val="24"/>
        </w:rPr>
        <w:t xml:space="preserve">of </w:t>
      </w:r>
      <w:r w:rsidR="001775B2">
        <w:rPr>
          <w:rFonts w:ascii="Times New Roman" w:hAnsi="Times New Roman" w:cs="Times New Roman"/>
          <w:sz w:val="24"/>
          <w:szCs w:val="24"/>
        </w:rPr>
        <w:t xml:space="preserve">three aggregate statistics derived from the accumulation of genomic variants on the motif-MSA, </w:t>
      </w:r>
      <w:r w:rsidR="001775B2" w:rsidRPr="003C6526">
        <w:rPr>
          <w:rFonts w:ascii="Times New Roman" w:hAnsi="Times New Roman" w:cs="Times New Roman"/>
          <w:sz w:val="24"/>
          <w:szCs w:val="24"/>
        </w:rPr>
        <w:t xml:space="preserve">namely the </w:t>
      </w:r>
      <w:r w:rsidR="009F152D" w:rsidRPr="003C6526">
        <w:rPr>
          <w:rFonts w:ascii="Times New Roman" w:hAnsi="Times New Roman" w:cs="Times New Roman"/>
          <w:sz w:val="24"/>
          <w:szCs w:val="24"/>
        </w:rPr>
        <w:t>distribution of SIFT scores</w:t>
      </w:r>
      <w:r w:rsidR="003C6526">
        <w:rPr>
          <w:rFonts w:ascii="Times New Roman" w:hAnsi="Times New Roman" w:cs="Times New Roman"/>
          <w:sz w:val="24"/>
          <w:szCs w:val="24"/>
        </w:rPr>
        <w:t xml:space="preserve"> (</w:t>
      </w:r>
      <w:r w:rsidR="003C6526" w:rsidRPr="003C6526">
        <w:rPr>
          <w:rFonts w:ascii="Times New Roman" w:hAnsi="Times New Roman" w:cs="Times New Roman"/>
          <w:color w:val="FF0000"/>
          <w:sz w:val="24"/>
          <w:szCs w:val="24"/>
        </w:rPr>
        <w:t>Figure 3a</w:t>
      </w:r>
      <w:r w:rsidR="003C6526">
        <w:rPr>
          <w:rFonts w:ascii="Times New Roman" w:hAnsi="Times New Roman" w:cs="Times New Roman"/>
          <w:sz w:val="24"/>
          <w:szCs w:val="24"/>
        </w:rPr>
        <w:t>)</w:t>
      </w:r>
      <w:r w:rsidR="009F152D" w:rsidRPr="003C6526">
        <w:rPr>
          <w:rFonts w:ascii="Times New Roman" w:hAnsi="Times New Roman" w:cs="Times New Roman"/>
          <w:sz w:val="24"/>
          <w:szCs w:val="24"/>
        </w:rPr>
        <w:t xml:space="preserve">, </w:t>
      </w:r>
      <w:r w:rsidR="001775B2" w:rsidRPr="003C6526">
        <w:rPr>
          <w:rFonts w:ascii="Times New Roman" w:hAnsi="Times New Roman" w:cs="Times New Roman"/>
          <w:sz w:val="24"/>
          <w:szCs w:val="24"/>
        </w:rPr>
        <w:t>rare-to-common</w:t>
      </w:r>
      <w:r w:rsidR="009F152D" w:rsidRPr="003C6526">
        <w:rPr>
          <w:rFonts w:ascii="Times New Roman" w:hAnsi="Times New Roman" w:cs="Times New Roman"/>
          <w:sz w:val="24"/>
          <w:szCs w:val="24"/>
        </w:rPr>
        <w:t>-SNVs</w:t>
      </w:r>
      <w:r w:rsidR="001775B2" w:rsidRPr="003C6526">
        <w:rPr>
          <w:rFonts w:ascii="Times New Roman" w:hAnsi="Times New Roman" w:cs="Times New Roman"/>
          <w:sz w:val="24"/>
          <w:szCs w:val="24"/>
        </w:rPr>
        <w:t xml:space="preserve"> ratio (R/C)</w:t>
      </w:r>
      <w:r w:rsidR="003C6526">
        <w:rPr>
          <w:rFonts w:ascii="Times New Roman" w:hAnsi="Times New Roman" w:cs="Times New Roman"/>
          <w:sz w:val="24"/>
          <w:szCs w:val="24"/>
        </w:rPr>
        <w:t xml:space="preserve"> (</w:t>
      </w:r>
      <w:r w:rsidR="003C6526" w:rsidRPr="003C6526">
        <w:rPr>
          <w:rFonts w:ascii="Times New Roman" w:hAnsi="Times New Roman" w:cs="Times New Roman"/>
          <w:color w:val="FF0000"/>
          <w:sz w:val="24"/>
          <w:szCs w:val="24"/>
        </w:rPr>
        <w:t>Figure 3b</w:t>
      </w:r>
      <w:r w:rsidR="003C6526">
        <w:rPr>
          <w:rFonts w:ascii="Times New Roman" w:hAnsi="Times New Roman" w:cs="Times New Roman"/>
          <w:sz w:val="24"/>
          <w:szCs w:val="24"/>
        </w:rPr>
        <w:t>)</w:t>
      </w:r>
      <w:r w:rsidR="001775B2" w:rsidRPr="003C6526">
        <w:rPr>
          <w:rFonts w:ascii="Times New Roman" w:hAnsi="Times New Roman" w:cs="Times New Roman"/>
          <w:sz w:val="24"/>
          <w:szCs w:val="24"/>
        </w:rPr>
        <w:t>, non-synonymous-to-synonymous</w:t>
      </w:r>
      <w:r w:rsidR="009F152D" w:rsidRPr="003C6526">
        <w:rPr>
          <w:rFonts w:ascii="Times New Roman" w:hAnsi="Times New Roman" w:cs="Times New Roman"/>
          <w:sz w:val="24"/>
          <w:szCs w:val="24"/>
        </w:rPr>
        <w:t>-SNVs</w:t>
      </w:r>
      <w:r w:rsidR="001775B2" w:rsidRPr="003C6526">
        <w:rPr>
          <w:rFonts w:ascii="Times New Roman" w:hAnsi="Times New Roman" w:cs="Times New Roman"/>
          <w:sz w:val="24"/>
          <w:szCs w:val="24"/>
        </w:rPr>
        <w:t xml:space="preserve"> ratio (NS/S)</w:t>
      </w:r>
      <w:r w:rsidR="003C6526">
        <w:rPr>
          <w:rFonts w:ascii="Times New Roman" w:hAnsi="Times New Roman" w:cs="Times New Roman"/>
          <w:sz w:val="24"/>
          <w:szCs w:val="24"/>
        </w:rPr>
        <w:t xml:space="preserve"> (</w:t>
      </w:r>
      <w:r w:rsidR="003C6526" w:rsidRPr="003C6526">
        <w:rPr>
          <w:rFonts w:ascii="Times New Roman" w:hAnsi="Times New Roman" w:cs="Times New Roman"/>
          <w:color w:val="FF0000"/>
          <w:sz w:val="24"/>
          <w:szCs w:val="24"/>
        </w:rPr>
        <w:t>Figure 3c</w:t>
      </w:r>
      <w:r w:rsidR="003C6526">
        <w:rPr>
          <w:rFonts w:ascii="Times New Roman" w:hAnsi="Times New Roman" w:cs="Times New Roman"/>
          <w:sz w:val="24"/>
          <w:szCs w:val="24"/>
        </w:rPr>
        <w:t>)</w:t>
      </w:r>
      <w:r w:rsidR="001775B2" w:rsidRPr="003C6526">
        <w:rPr>
          <w:rFonts w:ascii="Times New Roman" w:hAnsi="Times New Roman" w:cs="Times New Roman"/>
          <w:sz w:val="24"/>
          <w:szCs w:val="24"/>
        </w:rPr>
        <w:t xml:space="preserve">, and </w:t>
      </w:r>
      <w:r w:rsidR="001775B2" w:rsidRPr="008D5333">
        <w:rPr>
          <w:rFonts w:ascii="Times New Roman" w:hAnsi="Times New Roman" w:cs="Times New Roman"/>
          <w:color w:val="FF0000"/>
          <w:sz w:val="24"/>
          <w:szCs w:val="24"/>
        </w:rPr>
        <w:t>the distribution of the difference in derived allele frequencies between the different human ethnic populations</w:t>
      </w:r>
      <w:r w:rsidR="000D273F" w:rsidRPr="008D5333">
        <w:rPr>
          <w:rFonts w:ascii="Times New Roman" w:hAnsi="Times New Roman" w:cs="Times New Roman"/>
          <w:color w:val="FF0000"/>
          <w:sz w:val="24"/>
          <w:szCs w:val="24"/>
        </w:rPr>
        <w:t xml:space="preserve"> (∆DAF)</w:t>
      </w:r>
      <w:r w:rsidR="000D273F">
        <w:rPr>
          <w:rFonts w:ascii="Times New Roman" w:hAnsi="Times New Roman" w:cs="Times New Roman"/>
          <w:sz w:val="24"/>
          <w:szCs w:val="24"/>
        </w:rPr>
        <w:t xml:space="preserve"> (</w:t>
      </w:r>
      <w:r w:rsidR="00215926">
        <w:rPr>
          <w:rFonts w:ascii="Times New Roman" w:hAnsi="Times New Roman" w:cs="Times New Roman"/>
          <w:color w:val="FF0000"/>
          <w:sz w:val="24"/>
          <w:szCs w:val="24"/>
        </w:rPr>
        <w:t>Supplementary Table XX</w:t>
      </w:r>
      <w:r w:rsidR="000D273F">
        <w:rPr>
          <w:rFonts w:ascii="Times New Roman" w:hAnsi="Times New Roman" w:cs="Times New Roman"/>
          <w:sz w:val="24"/>
          <w:szCs w:val="24"/>
        </w:rPr>
        <w:t>)</w:t>
      </w:r>
      <w:r w:rsidR="001775B2">
        <w:rPr>
          <w:rFonts w:ascii="Times New Roman" w:hAnsi="Times New Roman" w:cs="Times New Roman"/>
          <w:sz w:val="24"/>
          <w:szCs w:val="24"/>
        </w:rPr>
        <w:t xml:space="preserve">. </w:t>
      </w:r>
    </w:p>
    <w:p w:rsidR="00265BFD" w:rsidRDefault="00265BFD" w:rsidP="006B37B8">
      <w:pPr>
        <w:spacing w:after="0" w:line="240" w:lineRule="auto"/>
        <w:rPr>
          <w:rFonts w:ascii="Times New Roman" w:hAnsi="Times New Roman" w:cs="Times New Roman"/>
          <w:sz w:val="24"/>
          <w:szCs w:val="24"/>
        </w:rPr>
      </w:pPr>
    </w:p>
    <w:p w:rsidR="00265BFD" w:rsidRDefault="00DB1DB9" w:rsidP="006B37B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Each </w:t>
      </w:r>
      <w:r w:rsidR="004B6ADA">
        <w:rPr>
          <w:rFonts w:ascii="Times New Roman" w:hAnsi="Times New Roman" w:cs="Times New Roman"/>
          <w:sz w:val="24"/>
          <w:szCs w:val="24"/>
        </w:rPr>
        <w:t xml:space="preserve">individual </w:t>
      </w:r>
      <w:r>
        <w:rPr>
          <w:rFonts w:ascii="Times New Roman" w:hAnsi="Times New Roman" w:cs="Times New Roman"/>
          <w:sz w:val="24"/>
          <w:szCs w:val="24"/>
        </w:rPr>
        <w:t>SIFT score</w:t>
      </w:r>
      <w:r w:rsidR="00D96E3A">
        <w:rPr>
          <w:rFonts w:ascii="Times New Roman" w:hAnsi="Times New Roman" w:cs="Times New Roman"/>
          <w:sz w:val="24"/>
          <w:szCs w:val="24"/>
        </w:rPr>
        <w:t xml:space="preserve"> of a non-synonymous SNV</w:t>
      </w:r>
      <w:r>
        <w:rPr>
          <w:rFonts w:ascii="Times New Roman" w:hAnsi="Times New Roman" w:cs="Times New Roman"/>
          <w:sz w:val="24"/>
          <w:szCs w:val="24"/>
        </w:rPr>
        <w:t xml:space="preserve"> is </w:t>
      </w:r>
      <w:r w:rsidR="003E62AB">
        <w:rPr>
          <w:rFonts w:ascii="Times New Roman" w:hAnsi="Times New Roman" w:cs="Times New Roman"/>
          <w:sz w:val="24"/>
          <w:szCs w:val="24"/>
        </w:rPr>
        <w:t xml:space="preserve">mostly </w:t>
      </w:r>
      <w:r>
        <w:rPr>
          <w:rFonts w:ascii="Times New Roman" w:hAnsi="Times New Roman" w:cs="Times New Roman"/>
          <w:sz w:val="24"/>
          <w:szCs w:val="24"/>
        </w:rPr>
        <w:t xml:space="preserve">a reflection of </w:t>
      </w:r>
      <w:r w:rsidR="00D96E3A">
        <w:rPr>
          <w:rFonts w:ascii="Times New Roman" w:hAnsi="Times New Roman" w:cs="Times New Roman"/>
          <w:sz w:val="24"/>
          <w:szCs w:val="24"/>
        </w:rPr>
        <w:t>its inter-species conservation and the impact of its represented amino acid change</w:t>
      </w:r>
      <w:r w:rsidR="00CE5846">
        <w:rPr>
          <w:rFonts w:ascii="Times New Roman" w:hAnsi="Times New Roman" w:cs="Times New Roman"/>
          <w:sz w:val="24"/>
          <w:szCs w:val="24"/>
        </w:rPr>
        <w:t xml:space="preserve"> in the context of a long </w:t>
      </w:r>
      <w:r w:rsidR="00CE5846">
        <w:rPr>
          <w:rFonts w:ascii="Times New Roman" w:hAnsi="Times New Roman" w:cs="Times New Roman"/>
          <w:sz w:val="24"/>
          <w:szCs w:val="24"/>
        </w:rPr>
        <w:lastRenderedPageBreak/>
        <w:t>evolutionary</w:t>
      </w:r>
      <w:r w:rsidR="004B6ADA">
        <w:rPr>
          <w:rFonts w:ascii="Times New Roman" w:hAnsi="Times New Roman" w:cs="Times New Roman"/>
          <w:sz w:val="24"/>
          <w:szCs w:val="24"/>
        </w:rPr>
        <w:t xml:space="preserve"> timescale</w:t>
      </w:r>
      <w:r w:rsidR="00AB66FA">
        <w:rPr>
          <w:rFonts w:ascii="Times New Roman" w:hAnsi="Times New Roman" w:cs="Times New Roman"/>
          <w:sz w:val="24"/>
          <w:szCs w:val="24"/>
        </w:rPr>
        <w:t xml:space="preserve">, with lower SIFT score denoting a greater likelihood of </w:t>
      </w:r>
      <w:r w:rsidR="00374C1A">
        <w:rPr>
          <w:rFonts w:ascii="Times New Roman" w:hAnsi="Times New Roman" w:cs="Times New Roman"/>
          <w:sz w:val="24"/>
          <w:szCs w:val="24"/>
        </w:rPr>
        <w:t xml:space="preserve">an SNV </w:t>
      </w:r>
      <w:r w:rsidR="00AB66FA">
        <w:rPr>
          <w:rFonts w:ascii="Times New Roman" w:hAnsi="Times New Roman" w:cs="Times New Roman"/>
          <w:sz w:val="24"/>
          <w:szCs w:val="24"/>
        </w:rPr>
        <w:t>being deleterious</w:t>
      </w:r>
      <w:r w:rsidR="00D96E3A">
        <w:rPr>
          <w:rFonts w:ascii="Times New Roman" w:hAnsi="Times New Roman" w:cs="Times New Roman"/>
          <w:sz w:val="24"/>
          <w:szCs w:val="24"/>
        </w:rPr>
        <w:t>.</w:t>
      </w:r>
      <w:r w:rsidR="004B6ADA">
        <w:rPr>
          <w:rFonts w:ascii="Times New Roman" w:hAnsi="Times New Roman" w:cs="Times New Roman"/>
          <w:sz w:val="24"/>
          <w:szCs w:val="24"/>
        </w:rPr>
        <w:fldChar w:fldCharType="begin" w:fldLock="1"/>
      </w:r>
      <w:r w:rsidR="0069002A">
        <w:rPr>
          <w:rFonts w:ascii="Times New Roman" w:hAnsi="Times New Roman" w:cs="Times New Roman"/>
          <w:sz w:val="24"/>
          <w:szCs w:val="24"/>
        </w:rPr>
        <w:instrText>ADDIN CSL_CITATION { "citationItems" : [ { "id" : "ITEM-1", "itemData" : { "DOI" : "10.1146/annurev.genom.7.080505.115630", "ISSN" : "1527-8204", "PMID" : "16824020", "abstract" : "Nonsynonymous single nucleotide polymorphisms (nsSNPs) are coding variants that introduce amino acid changes in their corresponding proteins. Because nsSNPs can affect protein function, they are believed to have the largest impact on human health compared with SNPs in other regions of the genome. Therefore, it is important to distinguish those nsSNPs that affect protein function from those that are functionally neutral. Here we provide an overview of amino acid substitution (AAS) prediction methods, which use sequence and/or structure to predict the effect of an AAS on protein function. Most methods predict approximately 25-30% of human nsSNPs to negatively affect protein function, and such nsSNPs tend to be rare in the population. We discuss the utility of AAS prediction methods for Mendelian and complex diseases as well as their broader applications for understanding protein function.", "author" : [ { "dropping-particle" : "", "family" : "Ng", "given" : "Pauline C", "non-dropping-particle" : "", "parse-names" : false, "suffix" : "" }, { "dropping-particle" : "", "family" : "Henikoff", "given" : "Steven", "non-dropping-particle" : "", "parse-names" : false, "suffix" : "" } ], "container-title" : "Annual review of genomics and human genetics", "id" : "ITEM-1", "issued" : { "date-parts" : [ [ "2006" ] ] }, "page" : "61-80", "title" : "Predicting the effects of amino acid substitutions on protein function.", "type" : "article-journal", "volume" : "7" }, "uris" : [ "http://www.mendeley.com/documents/?uuid=16eeb65a-5d10-4e49-8310-43c1e0382571" ] } ], "mendeley" : { "formattedCitation" : "&lt;sup&gt;6&lt;/sup&gt;", "plainTextFormattedCitation" : "6", "previouslyFormattedCitation" : "&lt;sup&gt;6&lt;/sup&gt;" }, "properties" : { "noteIndex" : 0 }, "schema" : "https://github.com/citation-style-language/schema/raw/master/csl-citation.json" }</w:instrText>
      </w:r>
      <w:r w:rsidR="004B6ADA">
        <w:rPr>
          <w:rFonts w:ascii="Times New Roman" w:hAnsi="Times New Roman" w:cs="Times New Roman"/>
          <w:sz w:val="24"/>
          <w:szCs w:val="24"/>
        </w:rPr>
        <w:fldChar w:fldCharType="separate"/>
      </w:r>
      <w:r w:rsidR="004B6ADA" w:rsidRPr="004B6ADA">
        <w:rPr>
          <w:rFonts w:ascii="Times New Roman" w:hAnsi="Times New Roman" w:cs="Times New Roman"/>
          <w:noProof/>
          <w:sz w:val="24"/>
          <w:szCs w:val="24"/>
          <w:vertAlign w:val="superscript"/>
        </w:rPr>
        <w:t>6</w:t>
      </w:r>
      <w:r w:rsidR="004B6ADA">
        <w:rPr>
          <w:rFonts w:ascii="Times New Roman" w:hAnsi="Times New Roman" w:cs="Times New Roman"/>
          <w:sz w:val="24"/>
          <w:szCs w:val="24"/>
        </w:rPr>
        <w:fldChar w:fldCharType="end"/>
      </w:r>
      <w:r w:rsidR="00D96E3A">
        <w:rPr>
          <w:rFonts w:ascii="Times New Roman" w:hAnsi="Times New Roman" w:cs="Times New Roman"/>
          <w:sz w:val="24"/>
          <w:szCs w:val="24"/>
        </w:rPr>
        <w:t xml:space="preserve"> </w:t>
      </w:r>
      <w:r w:rsidR="00265BFD">
        <w:rPr>
          <w:rFonts w:ascii="Times New Roman" w:hAnsi="Times New Roman" w:cs="Times New Roman"/>
          <w:sz w:val="24"/>
          <w:szCs w:val="24"/>
        </w:rPr>
        <w:t xml:space="preserve">The </w:t>
      </w:r>
      <w:r w:rsidR="004B6ADA">
        <w:rPr>
          <w:rFonts w:ascii="Times New Roman" w:hAnsi="Times New Roman" w:cs="Times New Roman"/>
          <w:sz w:val="24"/>
          <w:szCs w:val="24"/>
        </w:rPr>
        <w:t xml:space="preserve">collective </w:t>
      </w:r>
      <w:r w:rsidR="00265BFD">
        <w:rPr>
          <w:rFonts w:ascii="Times New Roman" w:hAnsi="Times New Roman" w:cs="Times New Roman"/>
          <w:sz w:val="24"/>
          <w:szCs w:val="24"/>
        </w:rPr>
        <w:t>SIFT scores</w:t>
      </w:r>
      <w:r w:rsidR="00374C1A">
        <w:rPr>
          <w:rFonts w:ascii="Times New Roman" w:hAnsi="Times New Roman" w:cs="Times New Roman"/>
          <w:sz w:val="24"/>
          <w:szCs w:val="24"/>
        </w:rPr>
        <w:t>,</w:t>
      </w:r>
      <w:r w:rsidR="00265BFD">
        <w:rPr>
          <w:rFonts w:ascii="Times New Roman" w:hAnsi="Times New Roman" w:cs="Times New Roman"/>
          <w:sz w:val="24"/>
          <w:szCs w:val="24"/>
        </w:rPr>
        <w:t xml:space="preserve"> </w:t>
      </w:r>
      <w:r w:rsidR="004B6ADA">
        <w:rPr>
          <w:rFonts w:ascii="Times New Roman" w:hAnsi="Times New Roman" w:cs="Times New Roman"/>
          <w:sz w:val="24"/>
          <w:szCs w:val="24"/>
        </w:rPr>
        <w:t xml:space="preserve">perceived as a distribution </w:t>
      </w:r>
      <w:r w:rsidR="00265BFD">
        <w:rPr>
          <w:rFonts w:ascii="Times New Roman" w:hAnsi="Times New Roman" w:cs="Times New Roman"/>
          <w:sz w:val="24"/>
          <w:szCs w:val="24"/>
        </w:rPr>
        <w:t>at each position in the motif</w:t>
      </w:r>
      <w:r w:rsidR="00374C1A">
        <w:rPr>
          <w:rFonts w:ascii="Times New Roman" w:hAnsi="Times New Roman" w:cs="Times New Roman"/>
          <w:sz w:val="24"/>
          <w:szCs w:val="24"/>
        </w:rPr>
        <w:t>,</w:t>
      </w:r>
      <w:r w:rsidR="00265BFD">
        <w:rPr>
          <w:rFonts w:ascii="Times New Roman" w:hAnsi="Times New Roman" w:cs="Times New Roman"/>
          <w:sz w:val="24"/>
          <w:szCs w:val="24"/>
        </w:rPr>
        <w:t xml:space="preserve"> </w:t>
      </w:r>
      <w:r w:rsidR="008E3504">
        <w:rPr>
          <w:rFonts w:ascii="Times New Roman" w:hAnsi="Times New Roman" w:cs="Times New Roman"/>
          <w:sz w:val="24"/>
          <w:szCs w:val="24"/>
        </w:rPr>
        <w:t xml:space="preserve">gives a quantitative </w:t>
      </w:r>
      <w:r w:rsidR="004B6ADA">
        <w:rPr>
          <w:rFonts w:ascii="Times New Roman" w:hAnsi="Times New Roman" w:cs="Times New Roman"/>
          <w:sz w:val="24"/>
          <w:szCs w:val="24"/>
        </w:rPr>
        <w:t>perspective</w:t>
      </w:r>
      <w:r w:rsidR="008E3504">
        <w:rPr>
          <w:rFonts w:ascii="Times New Roman" w:hAnsi="Times New Roman" w:cs="Times New Roman"/>
          <w:sz w:val="24"/>
          <w:szCs w:val="24"/>
        </w:rPr>
        <w:t xml:space="preserve"> on </w:t>
      </w:r>
      <w:r w:rsidR="00265BFD">
        <w:rPr>
          <w:rFonts w:ascii="Times New Roman" w:hAnsi="Times New Roman" w:cs="Times New Roman"/>
          <w:sz w:val="24"/>
          <w:szCs w:val="24"/>
        </w:rPr>
        <w:t>how conserved the position</w:t>
      </w:r>
      <w:r w:rsidR="004B6ADA">
        <w:rPr>
          <w:rFonts w:ascii="Times New Roman" w:hAnsi="Times New Roman" w:cs="Times New Roman"/>
          <w:sz w:val="24"/>
          <w:szCs w:val="24"/>
        </w:rPr>
        <w:t xml:space="preserve"> is across multiple </w:t>
      </w:r>
      <w:r w:rsidR="007827AE">
        <w:rPr>
          <w:rFonts w:ascii="Times New Roman" w:hAnsi="Times New Roman" w:cs="Times New Roman"/>
          <w:sz w:val="24"/>
          <w:szCs w:val="24"/>
        </w:rPr>
        <w:t xml:space="preserve">species and </w:t>
      </w:r>
      <w:r w:rsidR="004B6ADA">
        <w:rPr>
          <w:rFonts w:ascii="Times New Roman" w:hAnsi="Times New Roman" w:cs="Times New Roman"/>
          <w:sz w:val="24"/>
          <w:szCs w:val="24"/>
        </w:rPr>
        <w:t>motifs</w:t>
      </w:r>
      <w:r w:rsidR="007827AE">
        <w:rPr>
          <w:rFonts w:ascii="Times New Roman" w:hAnsi="Times New Roman" w:cs="Times New Roman"/>
          <w:sz w:val="24"/>
          <w:szCs w:val="24"/>
        </w:rPr>
        <w:t xml:space="preserve"> of the same class</w:t>
      </w:r>
      <w:r w:rsidR="00265BFD">
        <w:rPr>
          <w:rFonts w:ascii="Times New Roman" w:hAnsi="Times New Roman" w:cs="Times New Roman"/>
          <w:sz w:val="24"/>
          <w:szCs w:val="24"/>
        </w:rPr>
        <w:t xml:space="preserve">. As we have seen from a species-MSA, protein-coding regions are </w:t>
      </w:r>
      <w:r w:rsidR="00C52E8A">
        <w:rPr>
          <w:rFonts w:ascii="Times New Roman" w:hAnsi="Times New Roman" w:cs="Times New Roman"/>
          <w:sz w:val="24"/>
          <w:szCs w:val="24"/>
        </w:rPr>
        <w:t xml:space="preserve">generally </w:t>
      </w:r>
      <w:r w:rsidR="00265BFD">
        <w:rPr>
          <w:rFonts w:ascii="Times New Roman" w:hAnsi="Times New Roman" w:cs="Times New Roman"/>
          <w:sz w:val="24"/>
          <w:szCs w:val="24"/>
        </w:rPr>
        <w:t>under high s</w:t>
      </w:r>
      <w:r w:rsidR="00C52E8A">
        <w:rPr>
          <w:rFonts w:ascii="Times New Roman" w:hAnsi="Times New Roman" w:cs="Times New Roman"/>
          <w:sz w:val="24"/>
          <w:szCs w:val="24"/>
        </w:rPr>
        <w:t>elective constraints</w:t>
      </w:r>
      <w:r w:rsidR="0069002A">
        <w:rPr>
          <w:rFonts w:ascii="Times New Roman" w:hAnsi="Times New Roman" w:cs="Times New Roman"/>
          <w:sz w:val="24"/>
          <w:szCs w:val="24"/>
        </w:rPr>
        <w:t xml:space="preserve">. </w:t>
      </w:r>
      <w:r w:rsidR="00A92147">
        <w:rPr>
          <w:rFonts w:ascii="Times New Roman" w:hAnsi="Times New Roman" w:cs="Times New Roman"/>
          <w:sz w:val="24"/>
          <w:szCs w:val="24"/>
        </w:rPr>
        <w:t xml:space="preserve">This is also reflected in the SIFT score distributions, such </w:t>
      </w:r>
      <w:r w:rsidR="00265BFD">
        <w:rPr>
          <w:rFonts w:ascii="Times New Roman" w:hAnsi="Times New Roman" w:cs="Times New Roman"/>
          <w:sz w:val="24"/>
          <w:szCs w:val="24"/>
        </w:rPr>
        <w:t xml:space="preserve">that </w:t>
      </w:r>
      <w:r w:rsidR="002E281D">
        <w:rPr>
          <w:rFonts w:ascii="Times New Roman" w:hAnsi="Times New Roman" w:cs="Times New Roman"/>
          <w:sz w:val="24"/>
          <w:szCs w:val="24"/>
        </w:rPr>
        <w:t xml:space="preserve">almost all positions of </w:t>
      </w:r>
      <w:r w:rsidR="00265BFD">
        <w:rPr>
          <w:rFonts w:ascii="Times New Roman" w:hAnsi="Times New Roman" w:cs="Times New Roman"/>
          <w:sz w:val="24"/>
          <w:szCs w:val="24"/>
        </w:rPr>
        <w:t xml:space="preserve">highly functional PPI domains tend to have very </w:t>
      </w:r>
      <w:r w:rsidR="005978D6">
        <w:rPr>
          <w:rFonts w:ascii="Times New Roman" w:hAnsi="Times New Roman" w:cs="Times New Roman"/>
          <w:sz w:val="24"/>
          <w:szCs w:val="24"/>
        </w:rPr>
        <w:t>low</w:t>
      </w:r>
      <w:r w:rsidR="00265BFD">
        <w:rPr>
          <w:rFonts w:ascii="Times New Roman" w:hAnsi="Times New Roman" w:cs="Times New Roman"/>
          <w:sz w:val="24"/>
          <w:szCs w:val="24"/>
        </w:rPr>
        <w:t xml:space="preserve"> median SIFT scores</w:t>
      </w:r>
      <w:r w:rsidR="005978D6">
        <w:rPr>
          <w:rFonts w:ascii="Times New Roman" w:hAnsi="Times New Roman" w:cs="Times New Roman"/>
          <w:sz w:val="24"/>
          <w:szCs w:val="24"/>
        </w:rPr>
        <w:t xml:space="preserve"> </w:t>
      </w:r>
      <w:r w:rsidR="00CD7E23">
        <w:rPr>
          <w:rFonts w:ascii="Times New Roman" w:hAnsi="Times New Roman" w:cs="Times New Roman"/>
          <w:sz w:val="24"/>
          <w:szCs w:val="24"/>
        </w:rPr>
        <w:t>across the motif</w:t>
      </w:r>
      <w:r w:rsidR="00265BFD">
        <w:rPr>
          <w:rFonts w:ascii="Times New Roman" w:hAnsi="Times New Roman" w:cs="Times New Roman"/>
          <w:sz w:val="24"/>
          <w:szCs w:val="24"/>
        </w:rPr>
        <w:t>.</w:t>
      </w:r>
      <w:r w:rsidR="0069002A">
        <w:rPr>
          <w:rFonts w:ascii="Times New Roman" w:hAnsi="Times New Roman" w:cs="Times New Roman"/>
          <w:sz w:val="24"/>
          <w:szCs w:val="24"/>
        </w:rPr>
        <w:fldChar w:fldCharType="begin" w:fldLock="1"/>
      </w:r>
      <w:r w:rsidR="0069002A">
        <w:rPr>
          <w:rFonts w:ascii="Times New Roman" w:hAnsi="Times New Roman" w:cs="Times New Roman"/>
          <w:sz w:val="24"/>
          <w:szCs w:val="24"/>
        </w:rPr>
        <w:instrText>ADDIN CSL_CITATION { "citationItems" : [ { "id" : "ITEM-1", "itemData" : { "DOI" : "10.1126/science.1219240", "ISSN" : "1095-9203", "PMID" : "22604720", "abstract" : "As a first step toward understanding how rare variants contribute to risk for complex diseases, we sequenced 15,585 human protein-coding genes to an average median depth of 111\u00d7 in 2440 individuals of European (n = 1351) and African (n = 1088) ancestry. We identified over 500,000 single-nucleotide variants (SNVs), the majority of which were rare (86% with a minor allele frequency less than 0.5%), previously unknown (82%), and population-specific (82%). On average, 2.3% of the 13,595 SNVs each person carried were predicted to affect protein function of ~313 genes per genome, and ~95.7% of SNVs predicted to be functionally important were rare. This excess of rare functional variants is due to the combined effects of explosive, recent accelerated population growth and weak purifying selection. Furthermore, we show that large sample sizes will be required to associate rare variants with complex traits.", "author" : [ { "dropping-particle" : "", "family" : "Tennessen", "given" : "Jacob A", "non-dropping-particle" : "", "parse-names" : false, "suffix" : "" }, { "dropping-particle" : "", "family" : "Bigham", "given" : "Abigail W", "non-dropping-particle" : "", "parse-names" : false, "suffix" : "" }, { "dropping-particle" : "", "family" : "O'Connor", "given" : "Timothy D", "non-dropping-particle" : "", "parse-names" : false, "suffix" : "" }, { "dropping-particle" : "", "family" : "Fu", "given" : "Wenqing", "non-dropping-particle" : "", "parse-names" : false, "suffix" : "" }, { "dropping-particle" : "", "family" : "Kenny", "given" : "Eimear E", "non-dropping-particle" : "", "parse-names" : false, "suffix" : "" }, { "dropping-particle" : "", "family" : "Gravel", "given" : "Simon", "non-dropping-particle" : "", "parse-names" : false, "suffix" : "" }, { "dropping-particle" : "", "family" : "McGee", "given" : "Sean", "non-dropping-particle" : "", "parse-names" : false, "suffix" : "" }, { "dropping-particle" : "", "family" : "Do", "given" : "Ron", "non-dropping-particle" : "", "parse-names" : false, "suffix" : "" }, { "dropping-particle" : "", "family" : "Liu", "given" : "Xiaoming", "non-dropping-particle" : "", "parse-names" : false, "suffix" : "" }, { "dropping-particle" : "", "family" : "Jun", "given" : "Goo", "non-dropping-particle" : "", "parse-names" : false, "suffix" : "" }, { "dropping-particle" : "", "family" : "Kang", "given" : "Hyun Min", "non-dropping-particle" : "", "parse-names" : false, "suffix" : "" }, { "dropping-particle" : "", "family" : "Jordan", "given" : "Daniel", "non-dropping-particle" : "", "parse-names" : false, "suffix" : "" }, { "dropping-particle" : "", "family" : "Leal", "given" : "Suzanne M", "non-dropping-particle" : "", "parse-names" : false, "suffix" : "" }, { "dropping-particle" : "", "family" : "Gabriel", "given" : "Stacey", "non-dropping-particle" : "", "parse-names" : false, "suffix" : "" }, { "dropping-particle" : "", "family" : "Rieder", "given" : "Mark J", "non-dropping-particle" : "", "parse-names" : false, "suffix" : "" }, { "dropping-particle" : "", "family" : "Abecasis", "given" : "Goncalo", "non-dropping-particle" : "", "parse-names" : false, "suffix" : "" }, { "dropping-particle" : "", "family" : "Altshuler", "given" : "David", "non-dropping-particle" : "", "parse-names" : false, "suffix" : "" }, { "dropping-particle" : "", "family" : "Nickerson", "given" : "Deborah A", "non-dropping-particle" : "", "parse-names" : false, "suffix" : "" }, { "dropping-particle" : "", "family" : "Boerwinkle", "given" : "Eric", "non-dropping-particle" : "", "parse-names" : false, "suffix" : "" }, { "dropping-particle" : "", "family" : "Sunyaev", "given" : "Shamil", "non-dropping-particle" : "", "parse-names" : false, "suffix" : "" }, { "dropping-particle" : "", "family" : "Bustamante", "given" : "Carlos D", "non-dropping-particle" : "", "parse-names" : false, "suffix" : "" }, { "dropping-particle" : "", "family" : "Bamshad", "given" : "Michael J", "non-dropping-particle" : "", "parse-names" : false, "suffix" : "" }, { "dropping-particle" : "", "family" : "Akey", "given" : "Joshua M", "non-dropping-particle" : "", "parse-names" : false, "suffix" : "" }, { "dropping-particle" : "", "family" : "Broad GO", "given" : "", "non-dropping-particle" : "", "parse-names" : false, "suffix" : "" }, { "dropping-particle" : "", "family" : "Seattle GO", "given" : "", "non-dropping-particle" : "", "parse-names" : false, "suffix" : "" }, { "dropping-particle" : "", "family" : "NHLBI Exome Sequencing Project", "given" : "", "non-dropping-particle" : "", "parse-names" : false, "suffix" : "" } ], "container-title" : "Science (New York, N.Y.)", "id" : "ITEM-1", "issue" : "6090", "issued" : { "date-parts" : [ [ "2012", "7", "6" ] ] }, "page" : "64-9", "title" : "Evolution and functional impact of rare coding variation from deep sequencing of human exomes.", "type" : "article-journal", "volume" : "337" }, "uris" : [ "http://www.mendeley.com/documents/?uuid=7219db7c-4aa8-4dc2-ab10-ea9946749433" ] } ], "mendeley" : { "formattedCitation" : "&lt;sup&gt;17&lt;/sup&gt;", "plainTextFormattedCitation" : "17", "previouslyFormattedCitation" : "&lt;sup&gt;17&lt;/sup&gt;" }, "properties" : { "noteIndex" : 0 }, "schema" : "https://github.com/citation-style-language/schema/raw/master/csl-citation.json" }</w:instrText>
      </w:r>
      <w:r w:rsidR="0069002A">
        <w:rPr>
          <w:rFonts w:ascii="Times New Roman" w:hAnsi="Times New Roman" w:cs="Times New Roman"/>
          <w:sz w:val="24"/>
          <w:szCs w:val="24"/>
        </w:rPr>
        <w:fldChar w:fldCharType="separate"/>
      </w:r>
      <w:r w:rsidR="0069002A" w:rsidRPr="0069002A">
        <w:rPr>
          <w:rFonts w:ascii="Times New Roman" w:hAnsi="Times New Roman" w:cs="Times New Roman"/>
          <w:noProof/>
          <w:sz w:val="24"/>
          <w:szCs w:val="24"/>
          <w:vertAlign w:val="superscript"/>
        </w:rPr>
        <w:t>17</w:t>
      </w:r>
      <w:r w:rsidR="0069002A">
        <w:rPr>
          <w:rFonts w:ascii="Times New Roman" w:hAnsi="Times New Roman" w:cs="Times New Roman"/>
          <w:sz w:val="24"/>
          <w:szCs w:val="24"/>
        </w:rPr>
        <w:fldChar w:fldCharType="end"/>
      </w:r>
      <w:r w:rsidR="002E281D">
        <w:rPr>
          <w:rFonts w:ascii="Times New Roman" w:hAnsi="Times New Roman" w:cs="Times New Roman"/>
          <w:sz w:val="24"/>
          <w:szCs w:val="24"/>
        </w:rPr>
        <w:t xml:space="preserve"> Position 20, </w:t>
      </w:r>
      <w:bookmarkStart w:id="0" w:name="_GoBack"/>
      <w:bookmarkEnd w:id="0"/>
      <w:r w:rsidR="002E281D">
        <w:rPr>
          <w:rFonts w:ascii="Times New Roman" w:hAnsi="Times New Roman" w:cs="Times New Roman"/>
          <w:sz w:val="24"/>
          <w:szCs w:val="24"/>
        </w:rPr>
        <w:t>the most highly conserved position in the TPR motif-MSA, exemplified this observ</w:t>
      </w:r>
      <w:r w:rsidR="004120E3">
        <w:rPr>
          <w:rFonts w:ascii="Times New Roman" w:hAnsi="Times New Roman" w:cs="Times New Roman"/>
          <w:sz w:val="24"/>
          <w:szCs w:val="24"/>
        </w:rPr>
        <w:t xml:space="preserve">ation, by not only exhibiting the lowest </w:t>
      </w:r>
      <w:r w:rsidR="002E281D">
        <w:rPr>
          <w:rFonts w:ascii="Times New Roman" w:hAnsi="Times New Roman" w:cs="Times New Roman"/>
          <w:sz w:val="24"/>
          <w:szCs w:val="24"/>
        </w:rPr>
        <w:t xml:space="preserve">median SIFT score, but also a very sharp distribution with </w:t>
      </w:r>
      <w:r w:rsidR="00242525">
        <w:rPr>
          <w:rFonts w:ascii="Times New Roman" w:hAnsi="Times New Roman" w:cs="Times New Roman"/>
          <w:sz w:val="24"/>
          <w:szCs w:val="24"/>
        </w:rPr>
        <w:t>a very long tail</w:t>
      </w:r>
      <w:r w:rsidR="002E281D">
        <w:rPr>
          <w:rFonts w:ascii="Times New Roman" w:hAnsi="Times New Roman" w:cs="Times New Roman"/>
          <w:sz w:val="24"/>
          <w:szCs w:val="24"/>
        </w:rPr>
        <w:t xml:space="preserve"> (</w:t>
      </w:r>
      <w:r w:rsidR="002E281D" w:rsidRPr="00265BFD">
        <w:rPr>
          <w:rFonts w:ascii="Times New Roman" w:hAnsi="Times New Roman" w:cs="Times New Roman"/>
          <w:color w:val="FF0000"/>
          <w:sz w:val="24"/>
          <w:szCs w:val="24"/>
        </w:rPr>
        <w:t>Figure 3a</w:t>
      </w:r>
      <w:r w:rsidR="004120E3">
        <w:rPr>
          <w:rFonts w:ascii="Times New Roman" w:hAnsi="Times New Roman" w:cs="Times New Roman"/>
          <w:color w:val="FF0000"/>
          <w:sz w:val="24"/>
          <w:szCs w:val="24"/>
        </w:rPr>
        <w:t xml:space="preserve"> and 3d</w:t>
      </w:r>
      <w:r w:rsidR="002E281D">
        <w:rPr>
          <w:rFonts w:ascii="Times New Roman" w:hAnsi="Times New Roman" w:cs="Times New Roman"/>
          <w:sz w:val="24"/>
          <w:szCs w:val="24"/>
        </w:rPr>
        <w:t xml:space="preserve">). </w:t>
      </w:r>
    </w:p>
    <w:p w:rsidR="00353D5D" w:rsidRDefault="00353D5D" w:rsidP="006B37B8">
      <w:pPr>
        <w:spacing w:after="0" w:line="240" w:lineRule="auto"/>
        <w:rPr>
          <w:rFonts w:ascii="Times New Roman" w:hAnsi="Times New Roman" w:cs="Times New Roman"/>
          <w:sz w:val="24"/>
          <w:szCs w:val="24"/>
        </w:rPr>
      </w:pPr>
    </w:p>
    <w:p w:rsidR="00353D5D" w:rsidRDefault="008E3504" w:rsidP="006B37B8">
      <w:pPr>
        <w:spacing w:after="0" w:line="240" w:lineRule="auto"/>
        <w:rPr>
          <w:rFonts w:ascii="Times New Roman" w:hAnsi="Times New Roman" w:cs="Times New Roman"/>
          <w:sz w:val="24"/>
          <w:szCs w:val="24"/>
        </w:rPr>
      </w:pPr>
      <w:r>
        <w:rPr>
          <w:rFonts w:ascii="Times New Roman" w:hAnsi="Times New Roman" w:cs="Times New Roman"/>
          <w:sz w:val="24"/>
          <w:szCs w:val="24"/>
        </w:rPr>
        <w:t>To look at selection within the huma</w:t>
      </w:r>
      <w:r w:rsidR="00A769C4">
        <w:rPr>
          <w:rFonts w:ascii="Times New Roman" w:hAnsi="Times New Roman" w:cs="Times New Roman"/>
          <w:sz w:val="24"/>
          <w:szCs w:val="24"/>
        </w:rPr>
        <w:t>n population, we can compute R/C</w:t>
      </w:r>
      <w:r w:rsidR="003D6128">
        <w:rPr>
          <w:rFonts w:ascii="Times New Roman" w:hAnsi="Times New Roman" w:cs="Times New Roman"/>
          <w:sz w:val="24"/>
          <w:szCs w:val="24"/>
        </w:rPr>
        <w:t>, with an enrichment of rare variants (or depletion of common variants) signifying high conservation</w:t>
      </w:r>
      <w:r w:rsidR="00B07F12">
        <w:rPr>
          <w:rFonts w:ascii="Times New Roman" w:hAnsi="Times New Roman" w:cs="Times New Roman"/>
          <w:sz w:val="24"/>
          <w:szCs w:val="24"/>
        </w:rPr>
        <w:t xml:space="preserve"> (</w:t>
      </w:r>
      <w:r w:rsidR="00B07F12" w:rsidRPr="00162F29">
        <w:rPr>
          <w:rFonts w:ascii="Times New Roman" w:hAnsi="Times New Roman" w:cs="Times New Roman"/>
          <w:color w:val="FF0000"/>
          <w:sz w:val="24"/>
          <w:szCs w:val="24"/>
        </w:rPr>
        <w:t>Figure 3b</w:t>
      </w:r>
      <w:r w:rsidR="00B07F12">
        <w:rPr>
          <w:rFonts w:ascii="Times New Roman" w:hAnsi="Times New Roman" w:cs="Times New Roman"/>
          <w:sz w:val="24"/>
          <w:szCs w:val="24"/>
        </w:rPr>
        <w:t>)</w:t>
      </w:r>
      <w:r>
        <w:rPr>
          <w:rFonts w:ascii="Times New Roman" w:hAnsi="Times New Roman" w:cs="Times New Roman"/>
          <w:sz w:val="24"/>
          <w:szCs w:val="24"/>
        </w:rPr>
        <w:t xml:space="preserve">. </w:t>
      </w:r>
      <w:r w:rsidR="00DC5F09">
        <w:rPr>
          <w:rFonts w:ascii="Times New Roman" w:hAnsi="Times New Roman" w:cs="Times New Roman"/>
          <w:sz w:val="24"/>
          <w:szCs w:val="24"/>
        </w:rPr>
        <w:t>The idea is that the accumulation of rare variants (from a single population) reflects a low tolerance for a site to harbor deleterious mutations</w:t>
      </w:r>
      <w:r w:rsidR="00A769C4">
        <w:rPr>
          <w:rFonts w:ascii="Times New Roman" w:hAnsi="Times New Roman" w:cs="Times New Roman"/>
          <w:sz w:val="24"/>
          <w:szCs w:val="24"/>
        </w:rPr>
        <w:t>, a property similar to sites of high functional impact and conservation</w:t>
      </w:r>
      <w:r w:rsidR="00DC5F09">
        <w:rPr>
          <w:rFonts w:ascii="Times New Roman" w:hAnsi="Times New Roman" w:cs="Times New Roman"/>
          <w:sz w:val="24"/>
          <w:szCs w:val="24"/>
        </w:rPr>
        <w:t xml:space="preserve">. </w:t>
      </w:r>
      <w:r>
        <w:rPr>
          <w:rFonts w:ascii="Times New Roman" w:hAnsi="Times New Roman" w:cs="Times New Roman"/>
          <w:sz w:val="24"/>
          <w:szCs w:val="24"/>
        </w:rPr>
        <w:t xml:space="preserve">This has been </w:t>
      </w:r>
      <w:r w:rsidR="003E2F3E">
        <w:rPr>
          <w:rFonts w:ascii="Times New Roman" w:hAnsi="Times New Roman" w:cs="Times New Roman"/>
          <w:sz w:val="24"/>
          <w:szCs w:val="24"/>
        </w:rPr>
        <w:t xml:space="preserve">recently </w:t>
      </w:r>
      <w:r>
        <w:rPr>
          <w:rFonts w:ascii="Times New Roman" w:hAnsi="Times New Roman" w:cs="Times New Roman"/>
          <w:sz w:val="24"/>
          <w:szCs w:val="24"/>
        </w:rPr>
        <w:t>shown to give a good proxy</w:t>
      </w:r>
      <w:r w:rsidR="003E2F3E">
        <w:rPr>
          <w:rFonts w:ascii="Times New Roman" w:hAnsi="Times New Roman" w:cs="Times New Roman"/>
          <w:sz w:val="24"/>
          <w:szCs w:val="24"/>
        </w:rPr>
        <w:t xml:space="preserve"> for intra-species conservation.</w:t>
      </w:r>
      <w:r w:rsidR="0069002A">
        <w:rPr>
          <w:rFonts w:ascii="Times New Roman" w:hAnsi="Times New Roman" w:cs="Times New Roman"/>
          <w:sz w:val="24"/>
          <w:szCs w:val="24"/>
        </w:rPr>
        <w:fldChar w:fldCharType="begin" w:fldLock="1"/>
      </w:r>
      <w:r w:rsidR="00B26830">
        <w:rPr>
          <w:rFonts w:ascii="Times New Roman" w:hAnsi="Times New Roman" w:cs="Times New Roman"/>
          <w:sz w:val="24"/>
          <w:szCs w:val="24"/>
        </w:rPr>
        <w:instrText>ADDIN CSL_CITATION { "citationItems" : [ { "id" : "ITEM-1", "itemData" : { "DOI" : "10.1126/science.1219240", "ISSN" : "1095-9203", "PMID" : "22604720", "abstract" : "As a first step toward understanding how rare variants contribute to risk for complex diseases, we sequenced 15,585 human protein-coding genes to an average median depth of 111\u00d7 in 2440 individuals of European (n = 1351) and African (n = 1088) ancestry. We identified over 500,000 single-nucleotide variants (SNVs), the majority of which were rare (86% with a minor allele frequency less than 0.5%), previously unknown (82%), and population-specific (82%). On average, 2.3% of the 13,595 SNVs each person carried were predicted to affect protein function of ~313 genes per genome, and ~95.7% of SNVs predicted to be functionally important were rare. This excess of rare functional variants is due to the combined effects of explosive, recent accelerated population growth and weak purifying selection. Furthermore, we show that large sample sizes will be required to associate rare variants with complex traits.", "author" : [ { "dropping-particle" : "", "family" : "Tennessen", "given" : "Jacob A", "non-dropping-particle" : "", "parse-names" : false, "suffix" : "" }, { "dropping-particle" : "", "family" : "Bigham", "given" : "Abigail W", "non-dropping-particle" : "", "parse-names" : false, "suffix" : "" }, { "dropping-particle" : "", "family" : "O'Connor", "given" : "Timothy D", "non-dropping-particle" : "", "parse-names" : false, "suffix" : "" }, { "dropping-particle" : "", "family" : "Fu", "given" : "Wenqing", "non-dropping-particle" : "", "parse-names" : false, "suffix" : "" }, { "dropping-particle" : "", "family" : "Kenny", "given" : "Eimear E", "non-dropping-particle" : "", "parse-names" : false, "suffix" : "" }, { "dropping-particle" : "", "family" : "Gravel", "given" : "Simon", "non-dropping-particle" : "", "parse-names" : false, "suffix" : "" }, { "dropping-particle" : "", "family" : "McGee", "given" : "Sean", "non-dropping-particle" : "", "parse-names" : false, "suffix" : "" }, { "dropping-particle" : "", "family" : "Do", "given" : "Ron", "non-dropping-particle" : "", "parse-names" : false, "suffix" : "" }, { "dropping-particle" : "", "family" : "Liu", "given" : "Xiaoming", "non-dropping-particle" : "", "parse-names" : false, "suffix" : "" }, { "dropping-particle" : "", "family" : "Jun", "given" : "Goo", "non-dropping-particle" : "", "parse-names" : false, "suffix" : "" }, { "dropping-particle" : "", "family" : "Kang", "given" : "Hyun Min", "non-dropping-particle" : "", "parse-names" : false, "suffix" : "" }, { "dropping-particle" : "", "family" : "Jordan", "given" : "Daniel", "non-dropping-particle" : "", "parse-names" : false, "suffix" : "" }, { "dropping-particle" : "", "family" : "Leal", "given" : "Suzanne M", "non-dropping-particle" : "", "parse-names" : false, "suffix" : "" }, { "dropping-particle" : "", "family" : "Gabriel", "given" : "Stacey", "non-dropping-particle" : "", "parse-names" : false, "suffix" : "" }, { "dropping-particle" : "", "family" : "Rieder", "given" : "Mark J", "non-dropping-particle" : "", "parse-names" : false, "suffix" : "" }, { "dropping-particle" : "", "family" : "Abecasis", "given" : "Goncalo", "non-dropping-particle" : "", "parse-names" : false, "suffix" : "" }, { "dropping-particle" : "", "family" : "Altshuler", "given" : "David", "non-dropping-particle" : "", "parse-names" : false, "suffix" : "" }, { "dropping-particle" : "", "family" : "Nickerson", "given" : "Deborah A", "non-dropping-particle" : "", "parse-names" : false, "suffix" : "" }, { "dropping-particle" : "", "family" : "Boerwinkle", "given" : "Eric", "non-dropping-particle" : "", "parse-names" : false, "suffix" : "" }, { "dropping-particle" : "", "family" : "Sunyaev", "given" : "Shamil", "non-dropping-particle" : "", "parse-names" : false, "suffix" : "" }, { "dropping-particle" : "", "family" : "Bustamante", "given" : "Carlos D", "non-dropping-particle" : "", "parse-names" : false, "suffix" : "" }, { "dropping-particle" : "", "family" : "Bamshad", "given" : "Michael J", "non-dropping-particle" : "", "parse-names" : false, "suffix" : "" }, { "dropping-particle" : "", "family" : "Akey", "given" : "Joshua M", "non-dropping-particle" : "", "parse-names" : false, "suffix" : "" }, { "dropping-particle" : "", "family" : "Broad GO", "given" : "", "non-dropping-particle" : "", "parse-names" : false, "suffix" : "" }, { "dropping-particle" : "", "family" : "Seattle GO", "given" : "", "non-dropping-particle" : "", "parse-names" : false, "suffix" : "" }, { "dropping-particle" : "", "family" : "NHLBI Exome Sequencing Project", "given" : "", "non-dropping-particle" : "", "parse-names" : false, "suffix" : "" } ], "container-title" : "Science (New York, N.Y.)", "id" : "ITEM-1", "issue" : "6090", "issued" : { "date-parts" : [ [ "2012", "7", "6" ] ] }, "page" : "64-9", "title" : "Evolution and functional impact of rare coding variation from deep sequencing of human exomes.", "type" : "article-journal", "volume" : "337" }, "uris" : [ "http://www.mendeley.com/documents/?uuid=7219db7c-4aa8-4dc2-ab10-ea9946749433" ] }, { "id" : "ITEM-2", "itemData" : { "DOI" : "10.1038/nature11632", "ISSN" : "1476-4687", "PMID" : "23128226",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 million single nucleotide polymorphisms, 1.4 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"1000 Genomes Project Consortium", "given" : "", "non-dropping-particle" : "", "parse-names" : false, "suffix" : "" }, { "dropping-particle" : "", "family" : "Abecasis", "given" : "Goncalo R", "non-dropping-particle" : "", "parse-names" : false, "suffix" : "" }, { "dropping-particle" : "", "family" : "Auton", "given" : "Adam", "non-dropping-particle" : "", "parse-names" : false, "suffix" : "" }, { "dropping-particle" : "", "family" : "Brooks", "given" : "Lisa D", "non-dropping-particle" : "", "parse-names" : false, "suffix" : "" }, { "dropping-particle" : "", "family" : "DePristo", "given" : "Mark A", "non-dropping-particle" : "", "parse-names" : false, "suffix" : "" }, { "dropping-particle" : "", "family" : "Durbin", "given" : "Richard M", "non-dropping-particle" : "", "parse-names" : false, "suffix" : "" }, { "dropping-particle" : "", "family" : "Handsaker", "given" : "Robert E", "non-dropping-particle" : "", "parse-names" : false, "suffix" : "" }, { "dropping-particle" : "", "family" : "Kang", "given" : "Hyun Min", "non-dropping-particle" : "", "parse-names" : false, "suffix" : "" }, { "dropping-particle" : "", "family" : "Marth", "given" : "Gabor T", "non-dropping-particle" : "", "parse-names" : false, "suffix" : "" }, { "dropping-particle" : "", "family" : "McVean", "given" : "Gil A", "non-dropping-particle" : "", "parse-names" : false, "suffix" : "" } ], "container-title" : "Nature", "id" : "ITEM-2", "issue" : "7422", "issued" : { "date-parts" : [ [ "2012", "11", "1" ] ] }, "page" : "56-65", "title" : "An integrated map of genetic variation from 1,092 human genomes.", "type" : "article-journal", "volume" : "491" }, "uris" : [ "http://www.mendeley.com/documents/?uuid=5fa3b6bb-482b-4668-886e-9488e8ccf05c" ] }, { "id" : "ITEM-3", "itemData" : { "DOI" : "10.1126/science.1235587", "ISSN" : "1095-9203", "PMID" : "24092746", "abstract" : "Interpreting variants, especially noncoding ones, in the increasing number of personal genomes is challenging. We used patterns of polymorphisms in functionally annotated regions in 1092 humans to identify deleterious variants; then we experimentally validated candidates. We analyzed both coding and noncoding regions, with the former corroborating the latter. We found regions particularly sensitive to mutations (\"ultrasensitive\") and variants that are disruptive because of mechanistic effects on transcription-factor binding (that is, \"motif-breakers\"). We also found variants in regions with higher network centrality tend to be deleterious. Insertions and deletions followed a similar pattern to single-nucleotide variants, with some notable exceptions (e.g., certain deletions and enhancers). On the basis of these patterns, we developed a computational tool (FunSeq), whose application to ~90 cancer genomes reveals nearly a hundred candidate noncoding drivers.", "author" : [ { "dropping-particle" : "", "family" : "Khurana", "given" : "Ekta", "non-dropping-particle" : "", "parse-names" : false, "suffix" : "" }, { "dropping-particle" : "", "family" : "Fu", "given" : "Yao", "non-dropping-particle" : "", "parse-names" : false, "suffix" : "" }, { "dropping-particle" : "", "family" : "Colonna", "given" : "Vincenza", "non-dropping-particle" : "", "parse-names" : false, "suffix" : "" }, { "dropping-particle" : "", "family" : "Mu", "given" : "Xinmeng Jasmine", "non-dropping-particle" : "", "parse-names" : false, "suffix" : "" }, { "dropping-particle" : "", "family" : "Kang", "given" : "Hyun Min", "non-dropping-particle" : "", "parse-names" : false, "suffix" : "" }, { "dropping-particle" : "", "family" : "Lappalainen", "given" : "Tuuli", "non-dropping-particle" : "", "parse-names" : false, "suffix" : "" }, { "dropping-particle" : "", "family" : "Sboner", "given" : "Andrea", "non-dropping-particle" : "", "parse-names" : false, "suffix" : "" }, { "dropping-particle" : "", "family" : "Lochovsky", "given" : "Lucas", "non-dropping-particle" : "", "parse-names" : false, "suffix" : "" }, { "dropping-particle" : "", "family" : "Chen", "given" : "Jieming", "non-dropping-particle" : "", "parse-names" : false, "suffix" : "" }, { "dropping-particle" : "", "family" : "Harmanci", "given" : "Arif", "non-dropping-particle" : "", "parse-names" : false, "suffix" : "" }, { "dropping-particle" : "", "family" : "Das", "given" : "Jishnu", "non-dropping-particle" : "", "parse-names" : false, "suffix" : "" }, { "dropping-particle" : "", "family" : "Abyzov", "given" : "Alexej", "non-dropping-particle" : "", "parse-names" : false, "suffix" : "" }, { "dropping-particle" : "", "family" : "Balasubramanian", "given" : "Suganthi", "non-dropping-particle" : "", "parse-names" : false, "suffix" : "" }, { "dropping-particle" : "", "family" : "Beal", "given" : "Kathryn", "non-dropping-particle" : "", "parse-names" : false, "suffix" : "" }, { "dropping-particle" : "", "family" : "Chakravarty", "given" : "Dimple", "non-dropping-particle" : "", "parse-names" : false, "suffix" : "" }, { "dropping-particle" : "", "family" : "Challis", "given" : "Daniel", "non-dropping-particle" : "", "parse-names" : false, "suffix" : "" }, { "dropping-particle" : "", "family" : "Chen", "given" : "Yuan", "non-dropping-particle" : "", "parse-names" : false, "suffix" : "" }, { "dropping-particle" : "", "family" : "Clarke", "given" : "Declan", "non-dropping-particle" : "", "parse-names" : false, "suffix" : "" }, { "dropping-particle" : "", "family" : "Clarke", "given" : "Laura", "non-dropping-particle" : "", "parse-names" : false, "suffix" : "" }, { "dropping-particle" : "", "family" : "Cunningham", "given" : "Fiona", "non-dropping-particle" : "", "parse-names" : false, "suffix" : "" }, { "dropping-particle" : "", "family" : "Evani", "given" : "Uday S", "non-dropping-particle" : "", "parse-names" : false, "suffix" : "" }, { "dropping-particle" : "", "family" : "Flicek", "given" : "Paul", "non-dropping-particle" : "", "parse-names" : false, "suffix" : "" }, { "dropping-particle" : "", "family" : "Fragoza", "given" : "Robert", "non-dropping-particle" : "", "parse-names" : false, "suffix" : "" }, { "dropping-particle" : "", "family" : "Garrison", "given" : "Erik", "non-dropping-particle" : "", "parse-names" : false, "suffix" : "" }, { "dropping-particle" : "", "family" : "Gibbs", "given" : "Richard", "non-dropping-particle" : "", "parse-names" : false, "suffix" : "" }, { "dropping-particle" : "", "family" : "G\u00fcm\u00fcs", "given" : "Zeynep H", "non-dropping-particle" : "", "parse-names" : false, "suffix" : "" }, { "dropping-particle" : "", "family" : "Herrero", "given" : "Javier", "non-dropping-particle" : "", "parse-names" : false, "suffix" : "" }, { "dropping-particle" : "", "family" : "Kitabayashi", "given" : "Naoki", "non-dropping-particle" : "", "parse-names" : false, "suffix" : "" }, { "dropping-particle" : "", "family" : "Kong", "given" : "Yong", "non-dropping-particle" : "", "parse-names" : false, "suffix" : "" }, { "dropping-particle" : "", "family" : "Lage", "given" : "Kasper", "non-dropping-particle" : "", "parse-names" : false, "suffix" : "" }, { "dropping-particle" : "", "family" : "Liluashvili", "given" : "Vaja", "non-dropping-particle" : "", "parse-names" : false, "suffix" : "" }, { "dropping-particle" : "", "family" : "Lipkin", "given" : "Steven M", "non-dropping-particle" : "", "parse-names" : false, "suffix" : "" }, { "dropping-particle" : "", "family" : "MacArthur", "given" : "Daniel G", "non-dropping-particle" : "", "parse-names" : false, "suffix" : "" }, { "dropping-particle" : "", "family" : "Marth", "given" : "Gabor", "non-dropping-particle" : "", "parse-names" : false, "suffix" : "" }, { "dropping-particle" : "", "family" : "Muzny", "given" : "Donna", "non-dropping-particle" : "", "parse-names" : false, "suffix" : "" }, { "dropping-particle" : "", "family" : "Pers", "given" : "Tune H", "non-dropping-particle" : "", "parse-names" : false, "suffix" : "" }, { "dropping-particle" : "", "family" : "Ritchie", "given" : "Graham R S", "non-dropping-particle" : "", "parse-names" : false, "suffix" : "" }, { "dropping-particle" : "", "family" : "Rosenfeld", "given" : "Jeffrey A", "non-dropping-particle" : "", "parse-names" : false, "suffix" : "" }, { "dropping-particle" : "", "family" : "Sisu", "given" : "Cristina", "non-dropping-particle" : "", "parse-names" : false, "suffix" : "" }, { "dropping-particle" : "", "family" : "Wei", "given" : "Xiaomu", "non-dropping-particle" : "", "parse-names" : false, "suffix" : "" }, { "dropping-particle" : "", "family" : "Wilson", "given" : "Michael", "non-dropping-particle" : "", "parse-names" : false, "suffix" : "" }, { "dropping-particle" : "", "family" : "Xue", "given" : "Yali", "non-dropping-particle" : "", "parse-names" : false, "suffix" : "" }, { "dropping-particle" : "", "family" : "Yu", "given" : "Fuli", "non-dropping-particle" : "", "parse-names" : false, "suffix" : "" }, { "dropping-particle" : "", "family" : "1000 Genomes Project Consortium", "given" : "", "non-dropping-particle" : "", "parse-names" : false, "suffix" : "" }, { "dropping-particle" : "", "family" : "Dermitzakis", "given" : "Emmanouil T", "non-dropping-particle" : "", "parse-names" : false, "suffix" : "" }, { "dropping-particle" : "", "family" : "Yu", "given" : "Haiyuan", "non-dropping-particle" : "", "parse-names" : false, "suffix" : "" }, { "dropping-particle" : "", "family" : "Rubin", "given" : "Mark A", "non-dropping-particle" : "", "parse-names" : false, "suffix" : "" }, { "dropping-particle" : "", "family" : "Tyler-Smith", "given" : "Chris", "non-dropping-particle" : "", "parse-names" : false, "suffix" : "" }, { "dropping-particle" : "", "family" : "Gerstein", "given" : "Mark", "non-dropping-particle" : "", "parse-names" : false, "suffix" : "" } ], "container-title" : "Science (New York, N.Y.)", "id" : "ITEM-3", "issue" : "6154", "issued" : { "date-parts" : [ [ "2013", "10", "4" ] ] }, "page" : "1235587", "title" : "Integrative annotation of variants from 1092 humans: application to cancer genomics.", "type" : "article-journal", "volume" : "342" }, "uris" : [ "http://www.mendeley.com/documents/?uuid=61e99a46-cc92-409f-b08c-a60f469d23dd" ] } ], "mendeley" : { "formattedCitation" : "&lt;sup&gt;17\u201319&lt;/sup&gt;", "plainTextFormattedCitation" : "17\u201319", "previouslyFormattedCitation" : "&lt;sup&gt;17\u201319&lt;/sup&gt;" }, "properties" : { "noteIndex" : 0 }, "schema" : "https://github.com/citation-style-language/schema/raw/master/csl-citation.json" }</w:instrText>
      </w:r>
      <w:r w:rsidR="0069002A">
        <w:rPr>
          <w:rFonts w:ascii="Times New Roman" w:hAnsi="Times New Roman" w:cs="Times New Roman"/>
          <w:sz w:val="24"/>
          <w:szCs w:val="24"/>
        </w:rPr>
        <w:fldChar w:fldCharType="separate"/>
      </w:r>
      <w:r w:rsidR="0069002A" w:rsidRPr="0069002A">
        <w:rPr>
          <w:rFonts w:ascii="Times New Roman" w:hAnsi="Times New Roman" w:cs="Times New Roman"/>
          <w:noProof/>
          <w:sz w:val="24"/>
          <w:szCs w:val="24"/>
          <w:vertAlign w:val="superscript"/>
        </w:rPr>
        <w:t>17–19</w:t>
      </w:r>
      <w:r w:rsidR="0069002A">
        <w:rPr>
          <w:rFonts w:ascii="Times New Roman" w:hAnsi="Times New Roman" w:cs="Times New Roman"/>
          <w:sz w:val="24"/>
          <w:szCs w:val="24"/>
        </w:rPr>
        <w:fldChar w:fldCharType="end"/>
      </w:r>
      <w:r w:rsidR="00006816">
        <w:rPr>
          <w:rFonts w:ascii="Times New Roman" w:hAnsi="Times New Roman" w:cs="Times New Roman"/>
          <w:sz w:val="24"/>
          <w:szCs w:val="24"/>
        </w:rPr>
        <w:t xml:space="preserve"> </w:t>
      </w:r>
      <w:proofErr w:type="gramStart"/>
      <w:r w:rsidR="00DC5F09">
        <w:rPr>
          <w:rFonts w:ascii="Times New Roman" w:hAnsi="Times New Roman" w:cs="Times New Roman"/>
          <w:sz w:val="24"/>
          <w:szCs w:val="24"/>
        </w:rPr>
        <w:t>In</w:t>
      </w:r>
      <w:proofErr w:type="gramEnd"/>
      <w:r w:rsidR="00DC5F09">
        <w:rPr>
          <w:rFonts w:ascii="Times New Roman" w:hAnsi="Times New Roman" w:cs="Times New Roman"/>
          <w:sz w:val="24"/>
          <w:szCs w:val="24"/>
        </w:rPr>
        <w:t xml:space="preserve"> general, </w:t>
      </w:r>
      <w:r w:rsidR="00E81261">
        <w:rPr>
          <w:rFonts w:ascii="Times New Roman" w:hAnsi="Times New Roman" w:cs="Times New Roman"/>
          <w:sz w:val="24"/>
          <w:szCs w:val="24"/>
        </w:rPr>
        <w:t xml:space="preserve">we find that </w:t>
      </w:r>
      <w:r w:rsidR="00162F29">
        <w:rPr>
          <w:rFonts w:ascii="Times New Roman" w:hAnsi="Times New Roman" w:cs="Times New Roman"/>
          <w:sz w:val="24"/>
          <w:szCs w:val="24"/>
        </w:rPr>
        <w:t xml:space="preserve">there is </w:t>
      </w:r>
      <w:r w:rsidR="00DC5F09">
        <w:rPr>
          <w:rFonts w:ascii="Times New Roman" w:hAnsi="Times New Roman" w:cs="Times New Roman"/>
          <w:sz w:val="24"/>
          <w:szCs w:val="24"/>
        </w:rPr>
        <w:t xml:space="preserve">a </w:t>
      </w:r>
      <w:r w:rsidR="003D6128">
        <w:rPr>
          <w:rFonts w:ascii="Times New Roman" w:hAnsi="Times New Roman" w:cs="Times New Roman"/>
          <w:sz w:val="24"/>
          <w:szCs w:val="24"/>
        </w:rPr>
        <w:t xml:space="preserve">high </w:t>
      </w:r>
      <w:r w:rsidR="00B07F12">
        <w:rPr>
          <w:rFonts w:ascii="Times New Roman" w:hAnsi="Times New Roman" w:cs="Times New Roman"/>
          <w:sz w:val="24"/>
          <w:szCs w:val="24"/>
        </w:rPr>
        <w:t>rare variant load</w:t>
      </w:r>
      <w:r w:rsidR="003D6128">
        <w:rPr>
          <w:rFonts w:ascii="Times New Roman" w:hAnsi="Times New Roman" w:cs="Times New Roman"/>
          <w:sz w:val="24"/>
          <w:szCs w:val="24"/>
        </w:rPr>
        <w:t xml:space="preserve"> </w:t>
      </w:r>
      <w:r w:rsidR="00DC5F09">
        <w:rPr>
          <w:rFonts w:ascii="Times New Roman" w:hAnsi="Times New Roman" w:cs="Times New Roman"/>
          <w:sz w:val="24"/>
          <w:szCs w:val="24"/>
        </w:rPr>
        <w:t xml:space="preserve">across </w:t>
      </w:r>
      <w:r w:rsidR="00162F29">
        <w:rPr>
          <w:rFonts w:ascii="Times New Roman" w:hAnsi="Times New Roman" w:cs="Times New Roman"/>
          <w:sz w:val="24"/>
          <w:szCs w:val="24"/>
        </w:rPr>
        <w:t xml:space="preserve">the </w:t>
      </w:r>
      <w:r w:rsidR="00DC5F09">
        <w:rPr>
          <w:rFonts w:ascii="Times New Roman" w:hAnsi="Times New Roman" w:cs="Times New Roman"/>
          <w:sz w:val="24"/>
          <w:szCs w:val="24"/>
        </w:rPr>
        <w:t>motif-MSA profile</w:t>
      </w:r>
      <w:r w:rsidR="00162F29">
        <w:rPr>
          <w:rFonts w:ascii="Times New Roman" w:hAnsi="Times New Roman" w:cs="Times New Roman"/>
          <w:sz w:val="24"/>
          <w:szCs w:val="24"/>
        </w:rPr>
        <w:t>s</w:t>
      </w:r>
      <w:r w:rsidR="00DC5F09">
        <w:rPr>
          <w:rFonts w:ascii="Times New Roman" w:hAnsi="Times New Roman" w:cs="Times New Roman"/>
          <w:sz w:val="24"/>
          <w:szCs w:val="24"/>
        </w:rPr>
        <w:t>, regardless of residue or positional conservation within the repeat motif</w:t>
      </w:r>
      <w:r w:rsidR="0069002A">
        <w:rPr>
          <w:rFonts w:ascii="Times New Roman" w:hAnsi="Times New Roman" w:cs="Times New Roman"/>
          <w:sz w:val="24"/>
          <w:szCs w:val="24"/>
        </w:rPr>
        <w:t>;</w:t>
      </w:r>
      <w:r w:rsidR="00162F29">
        <w:rPr>
          <w:rFonts w:ascii="Times New Roman" w:hAnsi="Times New Roman" w:cs="Times New Roman"/>
          <w:sz w:val="24"/>
          <w:szCs w:val="24"/>
        </w:rPr>
        <w:t xml:space="preserve"> a representative example </w:t>
      </w:r>
      <w:r w:rsidR="0069002A">
        <w:rPr>
          <w:rFonts w:ascii="Times New Roman" w:hAnsi="Times New Roman" w:cs="Times New Roman"/>
          <w:sz w:val="24"/>
          <w:szCs w:val="24"/>
        </w:rPr>
        <w:t xml:space="preserve">is </w:t>
      </w:r>
      <w:r w:rsidR="00162F29">
        <w:rPr>
          <w:rFonts w:ascii="Times New Roman" w:hAnsi="Times New Roman" w:cs="Times New Roman"/>
          <w:sz w:val="24"/>
          <w:szCs w:val="24"/>
        </w:rPr>
        <w:t>shown for the TPR domains (</w:t>
      </w:r>
      <w:r w:rsidR="00162F29" w:rsidRPr="00162F29">
        <w:rPr>
          <w:rFonts w:ascii="Times New Roman" w:hAnsi="Times New Roman" w:cs="Times New Roman"/>
          <w:color w:val="FF0000"/>
          <w:sz w:val="24"/>
          <w:szCs w:val="24"/>
        </w:rPr>
        <w:t>Figure 3b</w:t>
      </w:r>
      <w:r w:rsidR="00162F29">
        <w:rPr>
          <w:rFonts w:ascii="Times New Roman" w:hAnsi="Times New Roman" w:cs="Times New Roman"/>
          <w:sz w:val="24"/>
          <w:szCs w:val="24"/>
        </w:rPr>
        <w:t>)</w:t>
      </w:r>
      <w:r w:rsidR="00DC5F09">
        <w:rPr>
          <w:rFonts w:ascii="Times New Roman" w:hAnsi="Times New Roman" w:cs="Times New Roman"/>
          <w:sz w:val="24"/>
          <w:szCs w:val="24"/>
        </w:rPr>
        <w:t xml:space="preserve">. </w:t>
      </w:r>
      <w:r w:rsidR="00B26830">
        <w:rPr>
          <w:rFonts w:ascii="Times New Roman" w:hAnsi="Times New Roman" w:cs="Times New Roman"/>
          <w:sz w:val="24"/>
          <w:szCs w:val="24"/>
        </w:rPr>
        <w:t xml:space="preserve">The differences in R/C between positions within the motif are too subtle for identifying important positions or residues. This is strongly reflective of our focus on </w:t>
      </w:r>
      <w:r w:rsidR="00E81261">
        <w:rPr>
          <w:rFonts w:ascii="Times New Roman" w:hAnsi="Times New Roman" w:cs="Times New Roman"/>
          <w:sz w:val="24"/>
          <w:szCs w:val="24"/>
        </w:rPr>
        <w:t xml:space="preserve">high impact </w:t>
      </w:r>
      <w:r w:rsidR="00B26830">
        <w:rPr>
          <w:rFonts w:ascii="Times New Roman" w:hAnsi="Times New Roman" w:cs="Times New Roman"/>
          <w:sz w:val="24"/>
          <w:szCs w:val="24"/>
        </w:rPr>
        <w:t>domains involved in PPI.</w:t>
      </w:r>
    </w:p>
    <w:p w:rsidR="008D5333" w:rsidRDefault="008D5333" w:rsidP="006B37B8">
      <w:pPr>
        <w:spacing w:after="0" w:line="240" w:lineRule="auto"/>
        <w:rPr>
          <w:rFonts w:ascii="Times New Roman" w:hAnsi="Times New Roman" w:cs="Times New Roman"/>
          <w:sz w:val="24"/>
          <w:szCs w:val="24"/>
        </w:rPr>
      </w:pPr>
    </w:p>
    <w:p w:rsidR="00B07F12" w:rsidRDefault="0080214E" w:rsidP="006B37B8">
      <w:pPr>
        <w:spacing w:after="0" w:line="240" w:lineRule="auto"/>
        <w:rPr>
          <w:rFonts w:ascii="Times New Roman" w:hAnsi="Times New Roman" w:cs="Times New Roman"/>
          <w:sz w:val="24"/>
          <w:szCs w:val="24"/>
        </w:rPr>
      </w:pPr>
      <w:r>
        <w:rPr>
          <w:rFonts w:ascii="Times New Roman" w:hAnsi="Times New Roman" w:cs="Times New Roman"/>
          <w:sz w:val="24"/>
          <w:szCs w:val="24"/>
        </w:rPr>
        <w:t>W</w:t>
      </w:r>
      <w:r w:rsidR="00D24791">
        <w:rPr>
          <w:rFonts w:ascii="Times New Roman" w:hAnsi="Times New Roman" w:cs="Times New Roman"/>
          <w:sz w:val="24"/>
          <w:szCs w:val="24"/>
        </w:rPr>
        <w:t xml:space="preserve">e </w:t>
      </w:r>
      <w:r>
        <w:rPr>
          <w:rFonts w:ascii="Times New Roman" w:hAnsi="Times New Roman" w:cs="Times New Roman"/>
          <w:sz w:val="24"/>
          <w:szCs w:val="24"/>
        </w:rPr>
        <w:t xml:space="preserve">can </w:t>
      </w:r>
      <w:r w:rsidR="00D24791">
        <w:rPr>
          <w:rFonts w:ascii="Times New Roman" w:hAnsi="Times New Roman" w:cs="Times New Roman"/>
          <w:sz w:val="24"/>
          <w:szCs w:val="24"/>
        </w:rPr>
        <w:t xml:space="preserve">also compute </w:t>
      </w:r>
      <w:r w:rsidR="00E14036">
        <w:rPr>
          <w:rFonts w:ascii="Times New Roman" w:hAnsi="Times New Roman" w:cs="Times New Roman"/>
          <w:sz w:val="24"/>
          <w:szCs w:val="24"/>
        </w:rPr>
        <w:t xml:space="preserve">the </w:t>
      </w:r>
      <w:r w:rsidR="00D24791">
        <w:rPr>
          <w:rFonts w:ascii="Times New Roman" w:hAnsi="Times New Roman" w:cs="Times New Roman"/>
          <w:sz w:val="24"/>
          <w:szCs w:val="24"/>
        </w:rPr>
        <w:t>NS/S</w:t>
      </w:r>
      <w:r w:rsidR="00E14036">
        <w:rPr>
          <w:rFonts w:ascii="Times New Roman" w:hAnsi="Times New Roman" w:cs="Times New Roman"/>
          <w:sz w:val="24"/>
          <w:szCs w:val="24"/>
        </w:rPr>
        <w:t xml:space="preserve"> for each position </w:t>
      </w:r>
      <w:r w:rsidR="00012E43">
        <w:rPr>
          <w:rFonts w:ascii="Times New Roman" w:hAnsi="Times New Roman" w:cs="Times New Roman"/>
          <w:sz w:val="24"/>
          <w:szCs w:val="24"/>
        </w:rPr>
        <w:t xml:space="preserve">in </w:t>
      </w:r>
      <w:r w:rsidR="00E14036">
        <w:rPr>
          <w:rFonts w:ascii="Times New Roman" w:hAnsi="Times New Roman" w:cs="Times New Roman"/>
          <w:sz w:val="24"/>
          <w:szCs w:val="24"/>
        </w:rPr>
        <w:t>the</w:t>
      </w:r>
      <w:r w:rsidR="00012E43">
        <w:rPr>
          <w:rFonts w:ascii="Times New Roman" w:hAnsi="Times New Roman" w:cs="Times New Roman"/>
          <w:sz w:val="24"/>
          <w:szCs w:val="24"/>
        </w:rPr>
        <w:t xml:space="preserve"> motif-MSA profile</w:t>
      </w:r>
      <w:r w:rsidR="00B07F12">
        <w:rPr>
          <w:rFonts w:ascii="Times New Roman" w:hAnsi="Times New Roman" w:cs="Times New Roman"/>
          <w:sz w:val="24"/>
          <w:szCs w:val="24"/>
        </w:rPr>
        <w:t xml:space="preserve"> (</w:t>
      </w:r>
      <w:r w:rsidR="00B07F12" w:rsidRPr="00162F29">
        <w:rPr>
          <w:rFonts w:ascii="Times New Roman" w:hAnsi="Times New Roman" w:cs="Times New Roman"/>
          <w:color w:val="FF0000"/>
          <w:sz w:val="24"/>
          <w:szCs w:val="24"/>
        </w:rPr>
        <w:t>Figure 3</w:t>
      </w:r>
      <w:r w:rsidR="00B07F12">
        <w:rPr>
          <w:rFonts w:ascii="Times New Roman" w:hAnsi="Times New Roman" w:cs="Times New Roman"/>
          <w:color w:val="FF0000"/>
          <w:sz w:val="24"/>
          <w:szCs w:val="24"/>
        </w:rPr>
        <w:t>c</w:t>
      </w:r>
      <w:r w:rsidR="00B07F12">
        <w:rPr>
          <w:rFonts w:ascii="Times New Roman" w:hAnsi="Times New Roman" w:cs="Times New Roman"/>
          <w:sz w:val="24"/>
          <w:szCs w:val="24"/>
        </w:rPr>
        <w:t>)</w:t>
      </w:r>
      <w:r w:rsidR="00D24791">
        <w:rPr>
          <w:rFonts w:ascii="Times New Roman" w:hAnsi="Times New Roman" w:cs="Times New Roman"/>
          <w:sz w:val="24"/>
          <w:szCs w:val="24"/>
        </w:rPr>
        <w:t>. T</w:t>
      </w:r>
      <w:r w:rsidR="008D5333">
        <w:rPr>
          <w:rFonts w:ascii="Times New Roman" w:hAnsi="Times New Roman" w:cs="Times New Roman"/>
          <w:sz w:val="24"/>
          <w:szCs w:val="24"/>
        </w:rPr>
        <w:t xml:space="preserve">he use of NS/S has been </w:t>
      </w:r>
      <w:r w:rsidR="00316A04">
        <w:rPr>
          <w:rFonts w:ascii="Times New Roman" w:hAnsi="Times New Roman" w:cs="Times New Roman"/>
          <w:sz w:val="24"/>
          <w:szCs w:val="24"/>
        </w:rPr>
        <w:t xml:space="preserve">traditionally </w:t>
      </w:r>
      <w:r w:rsidR="008D5333">
        <w:rPr>
          <w:rFonts w:ascii="Times New Roman" w:hAnsi="Times New Roman" w:cs="Times New Roman"/>
          <w:sz w:val="24"/>
          <w:szCs w:val="24"/>
        </w:rPr>
        <w:t>useful in the estimation of selection pressures, especially for inter- and intra-species comparison</w:t>
      </w:r>
      <w:r w:rsidR="00316A04">
        <w:rPr>
          <w:rFonts w:ascii="Times New Roman" w:hAnsi="Times New Roman" w:cs="Times New Roman"/>
          <w:sz w:val="24"/>
          <w:szCs w:val="24"/>
        </w:rPr>
        <w:t>s</w:t>
      </w:r>
      <w:r w:rsidR="008D5333">
        <w:rPr>
          <w:rFonts w:ascii="Times New Roman" w:hAnsi="Times New Roman" w:cs="Times New Roman"/>
          <w:sz w:val="24"/>
          <w:szCs w:val="24"/>
        </w:rPr>
        <w:t xml:space="preserve"> </w:t>
      </w:r>
      <w:r w:rsidR="00316A04">
        <w:rPr>
          <w:rFonts w:ascii="Times New Roman" w:hAnsi="Times New Roman" w:cs="Times New Roman"/>
          <w:sz w:val="24"/>
          <w:szCs w:val="24"/>
        </w:rPr>
        <w:t xml:space="preserve">of protein-coding </w:t>
      </w:r>
      <w:r w:rsidR="00E14036">
        <w:rPr>
          <w:rFonts w:ascii="Times New Roman" w:hAnsi="Times New Roman" w:cs="Times New Roman"/>
          <w:sz w:val="24"/>
          <w:szCs w:val="24"/>
        </w:rPr>
        <w:t>regions typically at the gene level</w:t>
      </w:r>
      <w:r w:rsidR="00012E43">
        <w:rPr>
          <w:rFonts w:ascii="Times New Roman" w:hAnsi="Times New Roman" w:cs="Times New Roman"/>
          <w:sz w:val="24"/>
          <w:szCs w:val="24"/>
        </w:rPr>
        <w:t xml:space="preserve">, where </w:t>
      </w:r>
      <w:proofErr w:type="spellStart"/>
      <w:r w:rsidR="00012E43">
        <w:rPr>
          <w:rFonts w:ascii="Times New Roman" w:hAnsi="Times New Roman" w:cs="Times New Roman"/>
          <w:sz w:val="24"/>
          <w:szCs w:val="24"/>
        </w:rPr>
        <w:t>dN</w:t>
      </w:r>
      <w:proofErr w:type="spellEnd"/>
      <w:r w:rsidR="00012E43">
        <w:rPr>
          <w:rFonts w:ascii="Times New Roman" w:hAnsi="Times New Roman" w:cs="Times New Roman"/>
          <w:sz w:val="24"/>
          <w:szCs w:val="24"/>
        </w:rPr>
        <w:t>/</w:t>
      </w:r>
      <w:proofErr w:type="spellStart"/>
      <w:r w:rsidR="00012E43">
        <w:rPr>
          <w:rFonts w:ascii="Times New Roman" w:hAnsi="Times New Roman" w:cs="Times New Roman"/>
          <w:sz w:val="24"/>
          <w:szCs w:val="24"/>
        </w:rPr>
        <w:t>dS</w:t>
      </w:r>
      <w:proofErr w:type="spellEnd"/>
      <w:r w:rsidR="00012E43">
        <w:rPr>
          <w:rFonts w:ascii="Times New Roman" w:hAnsi="Times New Roman" w:cs="Times New Roman"/>
          <w:sz w:val="24"/>
          <w:szCs w:val="24"/>
        </w:rPr>
        <w:t xml:space="preserve">, </w:t>
      </w:r>
      <w:proofErr w:type="spellStart"/>
      <w:r w:rsidR="00012E43">
        <w:rPr>
          <w:rFonts w:ascii="Times New Roman" w:hAnsi="Times New Roman" w:cs="Times New Roman"/>
          <w:sz w:val="24"/>
          <w:szCs w:val="24"/>
        </w:rPr>
        <w:t>pN</w:t>
      </w:r>
      <w:proofErr w:type="spellEnd"/>
      <w:r w:rsidR="00012E43">
        <w:rPr>
          <w:rFonts w:ascii="Times New Roman" w:hAnsi="Times New Roman" w:cs="Times New Roman"/>
          <w:sz w:val="24"/>
          <w:szCs w:val="24"/>
        </w:rPr>
        <w:t>/</w:t>
      </w:r>
      <w:proofErr w:type="spellStart"/>
      <w:r w:rsidR="00012E43">
        <w:rPr>
          <w:rFonts w:ascii="Times New Roman" w:hAnsi="Times New Roman" w:cs="Times New Roman"/>
          <w:sz w:val="24"/>
          <w:szCs w:val="24"/>
        </w:rPr>
        <w:t>pS</w:t>
      </w:r>
      <w:proofErr w:type="spellEnd"/>
      <w:r w:rsidR="00012E43">
        <w:rPr>
          <w:rFonts w:ascii="Times New Roman" w:hAnsi="Times New Roman" w:cs="Times New Roman"/>
          <w:sz w:val="24"/>
          <w:szCs w:val="24"/>
        </w:rPr>
        <w:t xml:space="preserve"> and the McDonald </w:t>
      </w:r>
      <w:proofErr w:type="spellStart"/>
      <w:r w:rsidR="00012E43">
        <w:rPr>
          <w:rFonts w:ascii="Times New Roman" w:hAnsi="Times New Roman" w:cs="Times New Roman"/>
          <w:sz w:val="24"/>
          <w:szCs w:val="24"/>
        </w:rPr>
        <w:t>Kreitman’s</w:t>
      </w:r>
      <w:proofErr w:type="spellEnd"/>
      <w:r w:rsidR="00012E43">
        <w:rPr>
          <w:rFonts w:ascii="Times New Roman" w:hAnsi="Times New Roman" w:cs="Times New Roman"/>
          <w:sz w:val="24"/>
          <w:szCs w:val="24"/>
        </w:rPr>
        <w:t xml:space="preserve"> test have been extensively adapted and used</w:t>
      </w:r>
      <w:r w:rsidR="00316A04">
        <w:rPr>
          <w:rFonts w:ascii="Times New Roman" w:hAnsi="Times New Roman" w:cs="Times New Roman"/>
          <w:sz w:val="24"/>
          <w:szCs w:val="24"/>
        </w:rPr>
        <w:t xml:space="preserve"> [</w:t>
      </w:r>
      <w:r w:rsidR="00316A04" w:rsidRPr="00316A04">
        <w:rPr>
          <w:rFonts w:ascii="Times New Roman" w:hAnsi="Times New Roman" w:cs="Times New Roman"/>
          <w:color w:val="FF0000"/>
          <w:sz w:val="24"/>
          <w:szCs w:val="24"/>
        </w:rPr>
        <w:t xml:space="preserve">cite </w:t>
      </w:r>
      <w:proofErr w:type="spellStart"/>
      <w:r w:rsidR="00316A04" w:rsidRPr="00316A04">
        <w:rPr>
          <w:rFonts w:ascii="Times New Roman" w:hAnsi="Times New Roman" w:cs="Times New Roman"/>
          <w:color w:val="FF0000"/>
          <w:sz w:val="24"/>
          <w:szCs w:val="24"/>
        </w:rPr>
        <w:t>dN</w:t>
      </w:r>
      <w:proofErr w:type="spellEnd"/>
      <w:r w:rsidR="00316A04" w:rsidRPr="00316A04">
        <w:rPr>
          <w:rFonts w:ascii="Times New Roman" w:hAnsi="Times New Roman" w:cs="Times New Roman"/>
          <w:color w:val="FF0000"/>
          <w:sz w:val="24"/>
          <w:szCs w:val="24"/>
        </w:rPr>
        <w:t>/</w:t>
      </w:r>
      <w:proofErr w:type="spellStart"/>
      <w:r w:rsidR="00316A04" w:rsidRPr="00316A04">
        <w:rPr>
          <w:rFonts w:ascii="Times New Roman" w:hAnsi="Times New Roman" w:cs="Times New Roman"/>
          <w:color w:val="FF0000"/>
          <w:sz w:val="24"/>
          <w:szCs w:val="24"/>
        </w:rPr>
        <w:t>dS</w:t>
      </w:r>
      <w:proofErr w:type="spellEnd"/>
      <w:r w:rsidR="00316A04" w:rsidRPr="00316A04">
        <w:rPr>
          <w:rFonts w:ascii="Times New Roman" w:hAnsi="Times New Roman" w:cs="Times New Roman"/>
          <w:color w:val="FF0000"/>
          <w:sz w:val="24"/>
          <w:szCs w:val="24"/>
        </w:rPr>
        <w:t xml:space="preserve">, </w:t>
      </w:r>
      <w:proofErr w:type="spellStart"/>
      <w:r w:rsidR="00316A04" w:rsidRPr="00316A04">
        <w:rPr>
          <w:rFonts w:ascii="Times New Roman" w:hAnsi="Times New Roman" w:cs="Times New Roman"/>
          <w:color w:val="FF0000"/>
          <w:sz w:val="24"/>
          <w:szCs w:val="24"/>
        </w:rPr>
        <w:t>pN</w:t>
      </w:r>
      <w:proofErr w:type="spellEnd"/>
      <w:r w:rsidR="00316A04" w:rsidRPr="00316A04">
        <w:rPr>
          <w:rFonts w:ascii="Times New Roman" w:hAnsi="Times New Roman" w:cs="Times New Roman"/>
          <w:color w:val="FF0000"/>
          <w:sz w:val="24"/>
          <w:szCs w:val="24"/>
        </w:rPr>
        <w:t>/</w:t>
      </w:r>
      <w:proofErr w:type="spellStart"/>
      <w:r w:rsidR="00316A04" w:rsidRPr="00316A04">
        <w:rPr>
          <w:rFonts w:ascii="Times New Roman" w:hAnsi="Times New Roman" w:cs="Times New Roman"/>
          <w:color w:val="FF0000"/>
          <w:sz w:val="24"/>
          <w:szCs w:val="24"/>
        </w:rPr>
        <w:t>pS</w:t>
      </w:r>
      <w:proofErr w:type="spellEnd"/>
      <w:r w:rsidR="00316A04" w:rsidRPr="00316A04">
        <w:rPr>
          <w:rFonts w:ascii="Times New Roman" w:hAnsi="Times New Roman" w:cs="Times New Roman"/>
          <w:color w:val="FF0000"/>
          <w:sz w:val="24"/>
          <w:szCs w:val="24"/>
        </w:rPr>
        <w:t xml:space="preserve">, McDonald </w:t>
      </w:r>
      <w:proofErr w:type="spellStart"/>
      <w:r w:rsidR="00316A04" w:rsidRPr="00316A04">
        <w:rPr>
          <w:rFonts w:ascii="Times New Roman" w:hAnsi="Times New Roman" w:cs="Times New Roman"/>
          <w:color w:val="FF0000"/>
          <w:sz w:val="24"/>
          <w:szCs w:val="24"/>
        </w:rPr>
        <w:t>Kreitman</w:t>
      </w:r>
      <w:proofErr w:type="spellEnd"/>
      <w:r w:rsidR="00316A04">
        <w:rPr>
          <w:rFonts w:ascii="Times New Roman" w:hAnsi="Times New Roman" w:cs="Times New Roman"/>
          <w:sz w:val="24"/>
          <w:szCs w:val="24"/>
        </w:rPr>
        <w:t xml:space="preserve">]. </w:t>
      </w:r>
      <w:r w:rsidR="00B07F12">
        <w:rPr>
          <w:rFonts w:ascii="Times New Roman" w:hAnsi="Times New Roman" w:cs="Times New Roman"/>
          <w:sz w:val="24"/>
          <w:szCs w:val="24"/>
        </w:rPr>
        <w:t>In estimating selective constraints</w:t>
      </w:r>
      <w:r w:rsidR="005E104E">
        <w:rPr>
          <w:rFonts w:ascii="Times New Roman" w:hAnsi="Times New Roman" w:cs="Times New Roman"/>
          <w:sz w:val="24"/>
          <w:szCs w:val="24"/>
        </w:rPr>
        <w:t>, NS/S additionally takes into account the functional significance of the gene or genomic region based on the premise that NS amino acid changes would tend to be more disruptive in the function of a protein</w:t>
      </w:r>
      <w:r w:rsidR="000B089E">
        <w:rPr>
          <w:rFonts w:ascii="Times New Roman" w:hAnsi="Times New Roman" w:cs="Times New Roman"/>
          <w:sz w:val="24"/>
          <w:szCs w:val="24"/>
        </w:rPr>
        <w:t>, resulting in higher selective constraints against NS mutations in functionally-important regions</w:t>
      </w:r>
      <w:r w:rsidR="005E104E">
        <w:rPr>
          <w:rFonts w:ascii="Times New Roman" w:hAnsi="Times New Roman" w:cs="Times New Roman"/>
          <w:sz w:val="24"/>
          <w:szCs w:val="24"/>
        </w:rPr>
        <w:t xml:space="preserve">. Thus, a </w:t>
      </w:r>
      <w:r w:rsidR="00713124">
        <w:rPr>
          <w:rFonts w:ascii="Times New Roman" w:hAnsi="Times New Roman" w:cs="Times New Roman"/>
          <w:sz w:val="24"/>
          <w:szCs w:val="24"/>
        </w:rPr>
        <w:t xml:space="preserve">lower </w:t>
      </w:r>
      <w:r w:rsidR="005E104E">
        <w:rPr>
          <w:rFonts w:ascii="Times New Roman" w:hAnsi="Times New Roman" w:cs="Times New Roman"/>
          <w:sz w:val="24"/>
          <w:szCs w:val="24"/>
        </w:rPr>
        <w:t xml:space="preserve">NS/S ratio suggests that the gene or genomic region </w:t>
      </w:r>
      <w:r w:rsidR="00713124">
        <w:rPr>
          <w:rFonts w:ascii="Times New Roman" w:hAnsi="Times New Roman" w:cs="Times New Roman"/>
          <w:sz w:val="24"/>
          <w:szCs w:val="24"/>
        </w:rPr>
        <w:t xml:space="preserve">is </w:t>
      </w:r>
      <w:r w:rsidR="005E104E">
        <w:rPr>
          <w:rFonts w:ascii="Times New Roman" w:hAnsi="Times New Roman" w:cs="Times New Roman"/>
          <w:sz w:val="24"/>
          <w:szCs w:val="24"/>
        </w:rPr>
        <w:t>undergo</w:t>
      </w:r>
      <w:r w:rsidR="00713124">
        <w:rPr>
          <w:rFonts w:ascii="Times New Roman" w:hAnsi="Times New Roman" w:cs="Times New Roman"/>
          <w:sz w:val="24"/>
          <w:szCs w:val="24"/>
        </w:rPr>
        <w:t>ing</w:t>
      </w:r>
      <w:r w:rsidR="005E104E">
        <w:rPr>
          <w:rFonts w:ascii="Times New Roman" w:hAnsi="Times New Roman" w:cs="Times New Roman"/>
          <w:sz w:val="24"/>
          <w:szCs w:val="24"/>
        </w:rPr>
        <w:t xml:space="preserve"> </w:t>
      </w:r>
      <w:r w:rsidR="00713124">
        <w:rPr>
          <w:rFonts w:ascii="Times New Roman" w:hAnsi="Times New Roman" w:cs="Times New Roman"/>
          <w:sz w:val="24"/>
          <w:szCs w:val="24"/>
        </w:rPr>
        <w:t xml:space="preserve">more </w:t>
      </w:r>
      <w:r w:rsidR="005E104E">
        <w:rPr>
          <w:rFonts w:ascii="Times New Roman" w:hAnsi="Times New Roman" w:cs="Times New Roman"/>
          <w:sz w:val="24"/>
          <w:szCs w:val="24"/>
        </w:rPr>
        <w:t>selective constraints</w:t>
      </w:r>
      <w:r w:rsidR="00713124">
        <w:rPr>
          <w:rFonts w:ascii="Times New Roman" w:hAnsi="Times New Roman" w:cs="Times New Roman"/>
          <w:sz w:val="24"/>
          <w:szCs w:val="24"/>
        </w:rPr>
        <w:t xml:space="preserve"> and potentially more functionally important</w:t>
      </w:r>
      <w:r w:rsidR="005E104E">
        <w:rPr>
          <w:rFonts w:ascii="Times New Roman" w:hAnsi="Times New Roman" w:cs="Times New Roman"/>
          <w:sz w:val="24"/>
          <w:szCs w:val="24"/>
        </w:rPr>
        <w:t xml:space="preserve">. </w:t>
      </w:r>
      <w:r w:rsidR="00316A04">
        <w:rPr>
          <w:rFonts w:ascii="Times New Roman" w:hAnsi="Times New Roman" w:cs="Times New Roman"/>
          <w:sz w:val="24"/>
          <w:szCs w:val="24"/>
        </w:rPr>
        <w:t xml:space="preserve">Here, </w:t>
      </w:r>
      <w:r w:rsidR="00012E43">
        <w:rPr>
          <w:rFonts w:ascii="Times New Roman" w:hAnsi="Times New Roman" w:cs="Times New Roman"/>
          <w:sz w:val="24"/>
          <w:szCs w:val="24"/>
        </w:rPr>
        <w:t>rather than</w:t>
      </w:r>
      <w:r w:rsidR="00B07F12">
        <w:rPr>
          <w:rFonts w:ascii="Times New Roman" w:hAnsi="Times New Roman" w:cs="Times New Roman"/>
          <w:sz w:val="24"/>
          <w:szCs w:val="24"/>
        </w:rPr>
        <w:t xml:space="preserve"> at</w:t>
      </w:r>
      <w:r w:rsidR="00012E43">
        <w:rPr>
          <w:rFonts w:ascii="Times New Roman" w:hAnsi="Times New Roman" w:cs="Times New Roman"/>
          <w:sz w:val="24"/>
          <w:szCs w:val="24"/>
        </w:rPr>
        <w:t xml:space="preserve"> the gene level, NS/S is calculated at the codon level</w:t>
      </w:r>
      <w:r w:rsidR="00EF3D36">
        <w:rPr>
          <w:rFonts w:ascii="Times New Roman" w:hAnsi="Times New Roman" w:cs="Times New Roman"/>
          <w:sz w:val="24"/>
          <w:szCs w:val="24"/>
        </w:rPr>
        <w:t xml:space="preserve"> (</w:t>
      </w:r>
      <w:r w:rsidR="00EF3D36" w:rsidRPr="0080214E">
        <w:rPr>
          <w:rFonts w:ascii="Times New Roman" w:hAnsi="Times New Roman" w:cs="Times New Roman"/>
          <w:color w:val="FF0000"/>
          <w:sz w:val="24"/>
          <w:szCs w:val="24"/>
        </w:rPr>
        <w:t>Figure 3</w:t>
      </w:r>
      <w:r w:rsidR="00EF3D36">
        <w:rPr>
          <w:rFonts w:ascii="Times New Roman" w:hAnsi="Times New Roman" w:cs="Times New Roman"/>
          <w:color w:val="FF0000"/>
          <w:sz w:val="24"/>
          <w:szCs w:val="24"/>
        </w:rPr>
        <w:t>c</w:t>
      </w:r>
      <w:r w:rsidR="00EF3D36">
        <w:rPr>
          <w:rFonts w:ascii="Times New Roman" w:hAnsi="Times New Roman" w:cs="Times New Roman"/>
          <w:sz w:val="24"/>
          <w:szCs w:val="24"/>
        </w:rPr>
        <w:t>)</w:t>
      </w:r>
      <w:r w:rsidR="00C51756">
        <w:rPr>
          <w:rFonts w:ascii="Times New Roman" w:hAnsi="Times New Roman" w:cs="Times New Roman"/>
          <w:sz w:val="24"/>
          <w:szCs w:val="24"/>
        </w:rPr>
        <w:t xml:space="preserve">. </w:t>
      </w:r>
      <w:r>
        <w:rPr>
          <w:rFonts w:ascii="Times New Roman" w:hAnsi="Times New Roman" w:cs="Times New Roman"/>
          <w:sz w:val="24"/>
          <w:szCs w:val="24"/>
        </w:rPr>
        <w:t xml:space="preserve">We observe that most of the positions in the TPR motif with very low NS/S coincide </w:t>
      </w:r>
      <w:r w:rsidR="00040816">
        <w:rPr>
          <w:rFonts w:ascii="Times New Roman" w:hAnsi="Times New Roman" w:cs="Times New Roman"/>
          <w:sz w:val="24"/>
          <w:szCs w:val="24"/>
        </w:rPr>
        <w:t xml:space="preserve">very well </w:t>
      </w:r>
      <w:r>
        <w:rPr>
          <w:rFonts w:ascii="Times New Roman" w:hAnsi="Times New Roman" w:cs="Times New Roman"/>
          <w:sz w:val="24"/>
          <w:szCs w:val="24"/>
        </w:rPr>
        <w:t xml:space="preserve">with </w:t>
      </w:r>
      <w:r w:rsidR="00040816">
        <w:rPr>
          <w:rFonts w:ascii="Times New Roman" w:hAnsi="Times New Roman" w:cs="Times New Roman"/>
          <w:sz w:val="24"/>
          <w:szCs w:val="24"/>
        </w:rPr>
        <w:t xml:space="preserve">positions of </w:t>
      </w:r>
      <w:r>
        <w:rPr>
          <w:rFonts w:ascii="Times New Roman" w:hAnsi="Times New Roman" w:cs="Times New Roman"/>
          <w:sz w:val="24"/>
          <w:szCs w:val="24"/>
        </w:rPr>
        <w:t xml:space="preserve">high </w:t>
      </w:r>
      <w:r w:rsidR="00040816">
        <w:rPr>
          <w:rFonts w:ascii="Times New Roman" w:hAnsi="Times New Roman" w:cs="Times New Roman"/>
          <w:sz w:val="24"/>
          <w:szCs w:val="24"/>
        </w:rPr>
        <w:t xml:space="preserve">sequence conservation </w:t>
      </w:r>
      <w:r>
        <w:rPr>
          <w:rFonts w:ascii="Times New Roman" w:hAnsi="Times New Roman" w:cs="Times New Roman"/>
          <w:sz w:val="24"/>
          <w:szCs w:val="24"/>
        </w:rPr>
        <w:t xml:space="preserve">in </w:t>
      </w:r>
      <w:r w:rsidR="00040816">
        <w:rPr>
          <w:rFonts w:ascii="Times New Roman" w:hAnsi="Times New Roman" w:cs="Times New Roman"/>
          <w:sz w:val="24"/>
          <w:szCs w:val="24"/>
        </w:rPr>
        <w:t xml:space="preserve">the </w:t>
      </w:r>
      <w:r>
        <w:rPr>
          <w:rFonts w:ascii="Times New Roman" w:hAnsi="Times New Roman" w:cs="Times New Roman"/>
          <w:sz w:val="24"/>
          <w:szCs w:val="24"/>
        </w:rPr>
        <w:t xml:space="preserve">motif-MSA profile. In fact, </w:t>
      </w:r>
      <w:r w:rsidR="00E17591">
        <w:rPr>
          <w:rFonts w:ascii="Times New Roman" w:hAnsi="Times New Roman" w:cs="Times New Roman"/>
          <w:sz w:val="24"/>
          <w:szCs w:val="24"/>
        </w:rPr>
        <w:t xml:space="preserve">if we arbitrarily take the </w:t>
      </w:r>
      <w:r>
        <w:rPr>
          <w:rFonts w:ascii="Times New Roman" w:hAnsi="Times New Roman" w:cs="Times New Roman"/>
          <w:sz w:val="24"/>
          <w:szCs w:val="24"/>
        </w:rPr>
        <w:t xml:space="preserve">top five positions with the lowest NS/S, four of them are the positions with the four most conserved position in the TPR motif-MSA, reinforcing the </w:t>
      </w:r>
      <w:r w:rsidR="00251E79">
        <w:rPr>
          <w:rFonts w:ascii="Times New Roman" w:hAnsi="Times New Roman" w:cs="Times New Roman"/>
          <w:sz w:val="24"/>
          <w:szCs w:val="24"/>
        </w:rPr>
        <w:t xml:space="preserve">utility </w:t>
      </w:r>
      <w:r>
        <w:rPr>
          <w:rFonts w:ascii="Times New Roman" w:hAnsi="Times New Roman" w:cs="Times New Roman"/>
          <w:sz w:val="24"/>
          <w:szCs w:val="24"/>
        </w:rPr>
        <w:t xml:space="preserve">of motif-MSA </w:t>
      </w:r>
      <w:r w:rsidR="00251E79">
        <w:rPr>
          <w:rFonts w:ascii="Times New Roman" w:hAnsi="Times New Roman" w:cs="Times New Roman"/>
          <w:sz w:val="24"/>
          <w:szCs w:val="24"/>
        </w:rPr>
        <w:t xml:space="preserve">in </w:t>
      </w:r>
      <w:r>
        <w:rPr>
          <w:rFonts w:ascii="Times New Roman" w:hAnsi="Times New Roman" w:cs="Times New Roman"/>
          <w:sz w:val="24"/>
          <w:szCs w:val="24"/>
        </w:rPr>
        <w:t>pick</w:t>
      </w:r>
      <w:r w:rsidR="00251E79">
        <w:rPr>
          <w:rFonts w:ascii="Times New Roman" w:hAnsi="Times New Roman" w:cs="Times New Roman"/>
          <w:sz w:val="24"/>
          <w:szCs w:val="24"/>
        </w:rPr>
        <w:t>ing</w:t>
      </w:r>
      <w:r>
        <w:rPr>
          <w:rFonts w:ascii="Times New Roman" w:hAnsi="Times New Roman" w:cs="Times New Roman"/>
          <w:sz w:val="24"/>
          <w:szCs w:val="24"/>
        </w:rPr>
        <w:t xml:space="preserve"> out functionally important residue positions (</w:t>
      </w:r>
      <w:r w:rsidRPr="0080214E">
        <w:rPr>
          <w:rFonts w:ascii="Times New Roman" w:hAnsi="Times New Roman" w:cs="Times New Roman"/>
          <w:color w:val="FF0000"/>
          <w:sz w:val="24"/>
          <w:szCs w:val="24"/>
        </w:rPr>
        <w:t>Figure 3</w:t>
      </w:r>
      <w:r w:rsidR="00040816">
        <w:rPr>
          <w:rFonts w:ascii="Times New Roman" w:hAnsi="Times New Roman" w:cs="Times New Roman"/>
          <w:color w:val="FF0000"/>
          <w:sz w:val="24"/>
          <w:szCs w:val="24"/>
        </w:rPr>
        <w:t>c</w:t>
      </w:r>
      <w:r>
        <w:rPr>
          <w:rFonts w:ascii="Times New Roman" w:hAnsi="Times New Roman" w:cs="Times New Roman"/>
          <w:sz w:val="24"/>
          <w:szCs w:val="24"/>
        </w:rPr>
        <w:t>).</w:t>
      </w:r>
      <w:r w:rsidR="002F3488">
        <w:rPr>
          <w:rFonts w:ascii="Times New Roman" w:hAnsi="Times New Roman" w:cs="Times New Roman"/>
          <w:sz w:val="24"/>
          <w:szCs w:val="24"/>
        </w:rPr>
        <w:t xml:space="preserve"> </w:t>
      </w:r>
    </w:p>
    <w:p w:rsidR="00B07F12" w:rsidRDefault="00B07F12" w:rsidP="006B37B8">
      <w:pPr>
        <w:spacing w:after="0" w:line="240" w:lineRule="auto"/>
        <w:rPr>
          <w:rFonts w:ascii="Times New Roman" w:hAnsi="Times New Roman" w:cs="Times New Roman"/>
          <w:sz w:val="24"/>
          <w:szCs w:val="24"/>
        </w:rPr>
      </w:pPr>
    </w:p>
    <w:p w:rsidR="000B089E" w:rsidRDefault="00251E79" w:rsidP="006B37B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At this juncture, </w:t>
      </w:r>
      <w:r w:rsidR="00671783">
        <w:rPr>
          <w:rFonts w:ascii="Times New Roman" w:hAnsi="Times New Roman" w:cs="Times New Roman"/>
          <w:sz w:val="24"/>
          <w:szCs w:val="24"/>
        </w:rPr>
        <w:t>we also</w:t>
      </w:r>
      <w:r>
        <w:rPr>
          <w:rFonts w:ascii="Times New Roman" w:hAnsi="Times New Roman" w:cs="Times New Roman"/>
          <w:sz w:val="24"/>
          <w:szCs w:val="24"/>
        </w:rPr>
        <w:t xml:space="preserve"> note that this result was observable only with the ExAC data</w:t>
      </w:r>
      <w:r w:rsidR="002D7CD7">
        <w:rPr>
          <w:rFonts w:ascii="Times New Roman" w:hAnsi="Times New Roman" w:cs="Times New Roman"/>
          <w:sz w:val="24"/>
          <w:szCs w:val="24"/>
        </w:rPr>
        <w:t xml:space="preserve"> (</w:t>
      </w:r>
      <w:r>
        <w:rPr>
          <w:rFonts w:ascii="Times New Roman" w:hAnsi="Times New Roman" w:cs="Times New Roman"/>
          <w:sz w:val="24"/>
          <w:szCs w:val="24"/>
        </w:rPr>
        <w:t>60,</w:t>
      </w:r>
      <w:r w:rsidR="002D7CD7">
        <w:rPr>
          <w:rFonts w:ascii="Times New Roman" w:hAnsi="Times New Roman" w:cs="Times New Roman"/>
          <w:sz w:val="24"/>
          <w:szCs w:val="24"/>
        </w:rPr>
        <w:t>706</w:t>
      </w:r>
      <w:r>
        <w:rPr>
          <w:rFonts w:ascii="Times New Roman" w:hAnsi="Times New Roman" w:cs="Times New Roman"/>
          <w:sz w:val="24"/>
          <w:szCs w:val="24"/>
        </w:rPr>
        <w:t xml:space="preserve"> exomes)</w:t>
      </w:r>
      <w:r w:rsidR="005003AB">
        <w:rPr>
          <w:rFonts w:ascii="Times New Roman" w:hAnsi="Times New Roman" w:cs="Times New Roman"/>
          <w:sz w:val="24"/>
          <w:szCs w:val="24"/>
        </w:rPr>
        <w:t>[</w:t>
      </w:r>
      <w:r w:rsidR="005003AB" w:rsidRPr="005003AB">
        <w:rPr>
          <w:rFonts w:ascii="Times New Roman" w:hAnsi="Times New Roman" w:cs="Times New Roman"/>
          <w:color w:val="FF0000"/>
          <w:sz w:val="24"/>
          <w:szCs w:val="24"/>
        </w:rPr>
        <w:t>cite</w:t>
      </w:r>
      <w:r w:rsidR="005003AB">
        <w:rPr>
          <w:rFonts w:ascii="Times New Roman" w:hAnsi="Times New Roman" w:cs="Times New Roman"/>
          <w:sz w:val="24"/>
          <w:szCs w:val="24"/>
        </w:rPr>
        <w:t>]</w:t>
      </w:r>
      <w:r>
        <w:rPr>
          <w:rFonts w:ascii="Times New Roman" w:hAnsi="Times New Roman" w:cs="Times New Roman"/>
          <w:sz w:val="24"/>
          <w:szCs w:val="24"/>
        </w:rPr>
        <w:t xml:space="preserve">, but </w:t>
      </w:r>
      <w:r w:rsidR="00E65BE9">
        <w:rPr>
          <w:rFonts w:ascii="Times New Roman" w:hAnsi="Times New Roman" w:cs="Times New Roman"/>
          <w:sz w:val="24"/>
          <w:szCs w:val="24"/>
        </w:rPr>
        <w:t xml:space="preserve">not when </w:t>
      </w:r>
      <w:r>
        <w:rPr>
          <w:rFonts w:ascii="Times New Roman" w:hAnsi="Times New Roman" w:cs="Times New Roman"/>
          <w:sz w:val="24"/>
          <w:szCs w:val="24"/>
        </w:rPr>
        <w:t>solely with the 1000 Genomes Project Phase 1 data (</w:t>
      </w:r>
      <w:r w:rsidR="008225B8">
        <w:rPr>
          <w:rFonts w:ascii="Times New Roman" w:hAnsi="Times New Roman" w:cs="Times New Roman"/>
          <w:sz w:val="24"/>
          <w:szCs w:val="24"/>
        </w:rPr>
        <w:t xml:space="preserve">1000GP; </w:t>
      </w:r>
      <w:r>
        <w:rPr>
          <w:rFonts w:ascii="Times New Roman" w:hAnsi="Times New Roman" w:cs="Times New Roman"/>
          <w:sz w:val="24"/>
          <w:szCs w:val="24"/>
        </w:rPr>
        <w:t>1,092 whole genomes)</w:t>
      </w:r>
      <w:r w:rsidR="00CE6110">
        <w:rPr>
          <w:rFonts w:ascii="Times New Roman" w:hAnsi="Times New Roman" w:cs="Times New Roman"/>
          <w:sz w:val="24"/>
          <w:szCs w:val="24"/>
        </w:rPr>
        <w:fldChar w:fldCharType="begin" w:fldLock="1"/>
      </w:r>
      <w:r w:rsidR="00CE6110">
        <w:rPr>
          <w:rFonts w:ascii="Times New Roman" w:hAnsi="Times New Roman" w:cs="Times New Roman"/>
          <w:sz w:val="24"/>
          <w:szCs w:val="24"/>
        </w:rPr>
        <w:instrText>ADDIN CSL_CITATION { "citationItems" : [ { "id" : "ITEM-1", "itemData" : { "DOI" : "10.1038/nature11632", "ISSN" : "1476-4687", "PMID" : "23128226",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 million single nucleotide polymorphisms, 1.4 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"1000 Genomes Project Consortium", "given" : "", "non-dropping-particle" : "", "parse-names" : false, "suffix" : "" }, { "dropping-particle" : "", "family" : "Abecasis", "given" : "Goncalo R", "non-dropping-particle" : "", "parse-names" : false, "suffix" : "" }, { "dropping-particle" : "", "family" : "Auton", "given" : "Adam", "non-dropping-particle" : "", "parse-names" : false, "suffix" : "" }, { "dropping-particle" : "", "family" : "Brooks", "given" : "Lisa D", "non-dropping-particle" : "", "parse-names" : false, "suffix" : "" }, { "dropping-particle" : "", "family" : "DePristo", "given" : "Mark A", "non-dropping-particle" : "", "parse-names" : false, "suffix" : "" }, { "dropping-particle" : "", "family" : "Durbin", "given" : "Richard M", "non-dropping-particle" : "", "parse-names" : false, "suffix" : "" }, { "dropping-particle" : "", "family" : "Handsaker", "given" : "Robert E", "non-dropping-particle" : "", "parse-names" : false, "suffix" : "" }, { "dropping-particle" : "", "family" : "Kang", "given" : "Hyun Min", "non-dropping-particle" : "", "parse-names" : false, "suffix" : "" }, { "dropping-particle" : "", "family" : "Marth", "given" : "Gabor T", "non-dropping-particle" : "", "parse-names" : false, "suffix" : "" }, { "dropping-particle" : "", "family" : "McVean", "given" : "Gil A", "non-dropping-particle" : "", "parse-names" : false, "suffix" : "" } ], "container-title" : "Nature", "id" : "ITEM-1", "issue" : "7422", "issued" : { "date-parts" : [ [ "2012", "11", "1" ] ] }, "page" : "56-65", "title" : "An integrated map of genetic variation from 1,092 human genomes.", "type" : "article-journal", "volume" : "491" }, "uris" : [ "http://www.mendeley.com/documents/?uuid=5fa3b6bb-482b-4668-886e-9488e8ccf05c" ] } ], "mendeley" : { "formattedCitation" : "&lt;sup&gt;18&lt;/sup&gt;", "plainTextFormattedCitation" : "18", "previouslyFormattedCitation" : "&lt;sup&gt;18&lt;/sup&gt;" }, "properties" : { "noteIndex" : 0 }, "schema" : "https://github.com/citation-style-language/schema/raw/master/csl-citation.json" }</w:instrText>
      </w:r>
      <w:r w:rsidR="00CE6110">
        <w:rPr>
          <w:rFonts w:ascii="Times New Roman" w:hAnsi="Times New Roman" w:cs="Times New Roman"/>
          <w:sz w:val="24"/>
          <w:szCs w:val="24"/>
        </w:rPr>
        <w:fldChar w:fldCharType="separate"/>
      </w:r>
      <w:r w:rsidR="00CE6110" w:rsidRPr="00CE6110">
        <w:rPr>
          <w:rFonts w:ascii="Times New Roman" w:hAnsi="Times New Roman" w:cs="Times New Roman"/>
          <w:noProof/>
          <w:sz w:val="24"/>
          <w:szCs w:val="24"/>
          <w:vertAlign w:val="superscript"/>
        </w:rPr>
        <w:t>18</w:t>
      </w:r>
      <w:r w:rsidR="00CE6110">
        <w:rPr>
          <w:rFonts w:ascii="Times New Roman" w:hAnsi="Times New Roman" w:cs="Times New Roman"/>
          <w:sz w:val="24"/>
          <w:szCs w:val="24"/>
        </w:rPr>
        <w:fldChar w:fldCharType="end"/>
      </w:r>
      <w:r>
        <w:rPr>
          <w:rFonts w:ascii="Times New Roman" w:hAnsi="Times New Roman" w:cs="Times New Roman"/>
          <w:sz w:val="24"/>
          <w:szCs w:val="24"/>
        </w:rPr>
        <w:t xml:space="preserve"> nor its combination with the Exome Sequencing Project (</w:t>
      </w:r>
      <w:r w:rsidR="008225B8">
        <w:rPr>
          <w:rFonts w:ascii="Times New Roman" w:hAnsi="Times New Roman" w:cs="Times New Roman"/>
          <w:sz w:val="24"/>
          <w:szCs w:val="24"/>
        </w:rPr>
        <w:t xml:space="preserve">ESP; </w:t>
      </w:r>
      <w:r>
        <w:rPr>
          <w:rFonts w:ascii="Times New Roman" w:hAnsi="Times New Roman" w:cs="Times New Roman"/>
          <w:sz w:val="24"/>
          <w:szCs w:val="24"/>
        </w:rPr>
        <w:t>6,500 exomes)</w:t>
      </w:r>
      <w:r w:rsidR="00CE6110">
        <w:rPr>
          <w:rFonts w:ascii="Times New Roman" w:hAnsi="Times New Roman" w:cs="Times New Roman"/>
          <w:sz w:val="24"/>
          <w:szCs w:val="24"/>
        </w:rPr>
        <w:fldChar w:fldCharType="begin" w:fldLock="1"/>
      </w:r>
      <w:r w:rsidR="00AE7AEE">
        <w:rPr>
          <w:rFonts w:ascii="Times New Roman" w:hAnsi="Times New Roman" w:cs="Times New Roman"/>
          <w:sz w:val="24"/>
          <w:szCs w:val="24"/>
        </w:rPr>
        <w:instrText>ADDIN CSL_CITATION { "citationItems" : [ { "id" : "ITEM-1", "itemData" : { "DOI" : "10.1126/science.1219240", "ISSN" : "1095-9203", "PMID" : "22604720", "abstract" : "As a first step toward understanding how rare variants contribute to risk for complex diseases, we sequenced 15,585 human protein-coding genes to an average median depth of 111\u00d7 in 2440 individuals of European (n = 1351) and African (n = 1088) ancestry. We identified over 500,000 single-nucleotide variants (SNVs), the majority of which were rare (86% with a minor allele frequency less than 0.5%), previously unknown (82%), and population-specific (82%). On average, 2.3% of the 13,595 SNVs each person carried were predicted to affect protein function of ~313 genes per genome, and ~95.7% of SNVs predicted to be functionally important were rare. This excess of rare functional variants is due to the combined effects of explosive, recent accelerated population growth and weak purifying selection. Furthermore, we show that large sample sizes will be required to associate rare variants with complex traits.", "author" : [ { "dropping-particle" : "", "family" : "Tennessen", "given" : "Jacob A", "non-dropping-particle" : "", "parse-names" : false, "suffix" : "" }, { "dropping-particle" : "", "family" : "Bigham", "given" : "Abigail W", "non-dropping-particle" : "", "parse-names" : false, "suffix" : "" }, { "dropping-particle" : "", "family" : "O'Connor", "given" : "Timothy D", "non-dropping-particle" : "", "parse-names" : false, "suffix" : "" }, { "dropping-particle" : "", "family" : "Fu", "given" : "Wenqing", "non-dropping-particle" : "", "parse-names" : false, "suffix" : "" }, { "dropping-particle" : "", "family" : "Kenny", "given" : "Eimear E", "non-dropping-particle" : "", "parse-names" : false, "suffix" : "" }, { "dropping-particle" : "", "family" : "Gravel", "given" : "Simon", "non-dropping-particle" : "", "parse-names" : false, "suffix" : "" }, { "dropping-particle" : "", "family" : "McGee", "given" : "Sean", "non-dropping-particle" : "", "parse-names" : false, "suffix" : "" }, { "dropping-particle" : "", "family" : "Do", "given" : "Ron", "non-dropping-particle" : "", "parse-names" : false, "suffix" : "" }, { "dropping-particle" : "", "family" : "Liu", "given" : "Xiaoming", "non-dropping-particle" : "", "parse-names" : false, "suffix" : "" }, { "dropping-particle" : "", "family" : "Jun", "given" : "Goo", "non-dropping-particle" : "", "parse-names" : false, "suffix" : "" }, { "dropping-particle" : "", "family" : "Kang", "given" : "Hyun Min", "non-dropping-particle" : "", "parse-names" : false, "suffix" : "" }, { "dropping-particle" : "", "family" : "Jordan", "given" : "Daniel", "non-dropping-particle" : "", "parse-names" : false, "suffix" : "" }, { "dropping-particle" : "", "family" : "Leal", "given" : "Suzanne M", "non-dropping-particle" : "", "parse-names" : false, "suffix" : "" }, { "dropping-particle" : "", "family" : "Gabriel", "given" : "Stacey", "non-dropping-particle" : "", "parse-names" : false, "suffix" : "" }, { "dropping-particle" : "", "family" : "Rieder", "given" : "Mark J", "non-dropping-particle" : "", "parse-names" : false, "suffix" : "" }, { "dropping-particle" : "", "family" : "Abecasis", "given" : "Goncalo", "non-dropping-particle" : "", "parse-names" : false, "suffix" : "" }, { "dropping-particle" : "", "family" : "Altshuler", "given" : "David", "non-dropping-particle" : "", "parse-names" : false, "suffix" : "" }, { "dropping-particle" : "", "family" : "Nickerson", "given" : "Deborah A", "non-dropping-particle" : "", "parse-names" : false, "suffix" : "" }, { "dropping-particle" : "", "family" : "Boerwinkle", "given" : "Eric", "non-dropping-particle" : "", "parse-names" : false, "suffix" : "" }, { "dropping-particle" : "", "family" : "Sunyaev", "given" : "Shamil", "non-dropping-particle" : "", "parse-names" : false, "suffix" : "" }, { "dropping-particle" : "", "family" : "Bustamante", "given" : "Carlos D", "non-dropping-particle" : "", "parse-names" : false, "suffix" : "" }, { "dropping-particle" : "", "family" : "Bamshad", "given" : "Michael J", "non-dropping-particle" : "", "parse-names" : false, "suffix" : "" }, { "dropping-particle" : "", "family" : "Akey", "given" : "Joshua M", "non-dropping-particle" : "", "parse-names" : false, "suffix" : "" }, { "dropping-particle" : "", "family" : "Broad GO", "given" : "", "non-dropping-particle" : "", "parse-names" : false, "suffix" : "" }, { "dropping-particle" : "", "family" : "Seattle GO", "given" : "", "non-dropping-particle" : "", "parse-names" : false, "suffix" : "" }, { "dropping-particle" : "", "family" : "NHLBI Exome Sequencing Project", "given" : "", "non-dropping-particle" : "", "parse-names" : false, "suffix" : "" } ], "container-title" : "Science (New York, N.Y.)", "id" : "ITEM-1", "issue" : "6090", "issued" : { "date-parts" : [ [ "2012", "7", "6" ] ] }, "page" : "64-9", "title" : "Evolution and functional impact of rare coding variation from deep sequencing of human exomes.", "type" : "article-journal", "volume" : "337" }, "uris" : [ "http://www.mendeley.com/documents/?uuid=7219db7c-4aa8-4dc2-ab10-ea9946749433" ] } ], "mendeley" : { "formattedCitation" : "&lt;sup&gt;17&lt;/sup&gt;", "plainTextFormattedCitation" : "17", "previouslyFormattedCitation" : "&lt;sup&gt;17&lt;/sup&gt;" }, "properties" : { "noteIndex" : 0 }, "schema" : "https://github.com/citation-style-language/schema/raw/master/csl-citation.json" }</w:instrText>
      </w:r>
      <w:r w:rsidR="00CE6110">
        <w:rPr>
          <w:rFonts w:ascii="Times New Roman" w:hAnsi="Times New Roman" w:cs="Times New Roman"/>
          <w:sz w:val="24"/>
          <w:szCs w:val="24"/>
        </w:rPr>
        <w:fldChar w:fldCharType="separate"/>
      </w:r>
      <w:r w:rsidR="00CE6110" w:rsidRPr="00CE6110">
        <w:rPr>
          <w:rFonts w:ascii="Times New Roman" w:hAnsi="Times New Roman" w:cs="Times New Roman"/>
          <w:noProof/>
          <w:sz w:val="24"/>
          <w:szCs w:val="24"/>
          <w:vertAlign w:val="superscript"/>
        </w:rPr>
        <w:t>17</w:t>
      </w:r>
      <w:r w:rsidR="00CE6110">
        <w:rPr>
          <w:rFonts w:ascii="Times New Roman" w:hAnsi="Times New Roman" w:cs="Times New Roman"/>
          <w:sz w:val="24"/>
          <w:szCs w:val="24"/>
        </w:rPr>
        <w:fldChar w:fldCharType="end"/>
      </w:r>
      <w:r>
        <w:rPr>
          <w:rFonts w:ascii="Times New Roman" w:hAnsi="Times New Roman" w:cs="Times New Roman"/>
          <w:sz w:val="24"/>
          <w:szCs w:val="24"/>
        </w:rPr>
        <w:t>,</w:t>
      </w:r>
      <w:r w:rsidR="00B07F12">
        <w:rPr>
          <w:rFonts w:ascii="Times New Roman" w:hAnsi="Times New Roman" w:cs="Times New Roman"/>
          <w:sz w:val="24"/>
          <w:szCs w:val="24"/>
        </w:rPr>
        <w:t xml:space="preserve"> which total more than 7</w:t>
      </w:r>
      <w:r w:rsidR="002B6BE3">
        <w:rPr>
          <w:rFonts w:ascii="Times New Roman" w:hAnsi="Times New Roman" w:cs="Times New Roman"/>
          <w:sz w:val="24"/>
          <w:szCs w:val="24"/>
        </w:rPr>
        <w:t>,</w:t>
      </w:r>
      <w:r w:rsidR="00B07F12">
        <w:rPr>
          <w:rFonts w:ascii="Times New Roman" w:hAnsi="Times New Roman" w:cs="Times New Roman"/>
          <w:sz w:val="24"/>
          <w:szCs w:val="24"/>
        </w:rPr>
        <w:t>5</w:t>
      </w:r>
      <w:r>
        <w:rPr>
          <w:rFonts w:ascii="Times New Roman" w:hAnsi="Times New Roman" w:cs="Times New Roman"/>
          <w:sz w:val="24"/>
          <w:szCs w:val="24"/>
        </w:rPr>
        <w:t>00 protein-coding exome data</w:t>
      </w:r>
      <w:r w:rsidR="005003AB">
        <w:rPr>
          <w:rFonts w:ascii="Times New Roman" w:hAnsi="Times New Roman" w:cs="Times New Roman"/>
          <w:sz w:val="24"/>
          <w:szCs w:val="24"/>
        </w:rPr>
        <w:t xml:space="preserve"> (</w:t>
      </w:r>
      <w:r w:rsidR="005003AB" w:rsidRPr="00356777">
        <w:rPr>
          <w:rFonts w:ascii="Times New Roman" w:hAnsi="Times New Roman" w:cs="Times New Roman"/>
          <w:color w:val="FF0000"/>
          <w:sz w:val="24"/>
          <w:szCs w:val="24"/>
        </w:rPr>
        <w:t>Supplementary Figure 2</w:t>
      </w:r>
      <w:r w:rsidR="00335D76">
        <w:rPr>
          <w:rFonts w:ascii="Times New Roman" w:hAnsi="Times New Roman" w:cs="Times New Roman"/>
          <w:color w:val="FF0000"/>
          <w:sz w:val="24"/>
          <w:szCs w:val="24"/>
        </w:rPr>
        <w:t xml:space="preserve"> </w:t>
      </w:r>
      <w:r w:rsidR="00335D76" w:rsidRPr="00335D76">
        <w:rPr>
          <w:rFonts w:ascii="Times New Roman" w:hAnsi="Times New Roman" w:cs="Times New Roman"/>
          <w:color w:val="FF0000"/>
          <w:sz w:val="24"/>
          <w:szCs w:val="24"/>
        </w:rPr>
        <w:t>and Supplementary Table 1</w:t>
      </w:r>
      <w:r w:rsidR="005003AB">
        <w:rPr>
          <w:rFonts w:ascii="Times New Roman" w:hAnsi="Times New Roman" w:cs="Times New Roman"/>
          <w:sz w:val="24"/>
          <w:szCs w:val="24"/>
        </w:rPr>
        <w:t>)</w:t>
      </w:r>
      <w:r>
        <w:rPr>
          <w:rFonts w:ascii="Times New Roman" w:hAnsi="Times New Roman" w:cs="Times New Roman"/>
          <w:sz w:val="24"/>
          <w:szCs w:val="24"/>
        </w:rPr>
        <w:t xml:space="preserve">. </w:t>
      </w:r>
      <w:r w:rsidR="00D60F7F">
        <w:rPr>
          <w:rFonts w:ascii="Times New Roman" w:hAnsi="Times New Roman" w:cs="Times New Roman"/>
          <w:sz w:val="24"/>
          <w:szCs w:val="24"/>
        </w:rPr>
        <w:t xml:space="preserve">The </w:t>
      </w:r>
      <w:r w:rsidR="008225B8">
        <w:rPr>
          <w:rFonts w:ascii="Times New Roman" w:hAnsi="Times New Roman" w:cs="Times New Roman"/>
          <w:sz w:val="24"/>
          <w:szCs w:val="24"/>
        </w:rPr>
        <w:t xml:space="preserve">combined dataset of 1000GP and ESP </w:t>
      </w:r>
      <w:r w:rsidR="008E2E13">
        <w:rPr>
          <w:rFonts w:ascii="Times New Roman" w:hAnsi="Times New Roman" w:cs="Times New Roman"/>
          <w:sz w:val="24"/>
          <w:szCs w:val="24"/>
        </w:rPr>
        <w:t>is about 7</w:t>
      </w:r>
      <w:r w:rsidR="008225B8">
        <w:rPr>
          <w:rFonts w:ascii="Times New Roman" w:hAnsi="Times New Roman" w:cs="Times New Roman"/>
          <w:sz w:val="24"/>
          <w:szCs w:val="24"/>
        </w:rPr>
        <w:t xml:space="preserve"> folds </w:t>
      </w:r>
      <w:r w:rsidR="008E2E13">
        <w:rPr>
          <w:rFonts w:ascii="Times New Roman" w:hAnsi="Times New Roman" w:cs="Times New Roman"/>
          <w:sz w:val="24"/>
          <w:szCs w:val="24"/>
        </w:rPr>
        <w:t xml:space="preserve">and 3 folds </w:t>
      </w:r>
      <w:r w:rsidR="008225B8">
        <w:rPr>
          <w:rFonts w:ascii="Times New Roman" w:hAnsi="Times New Roman" w:cs="Times New Roman"/>
          <w:sz w:val="24"/>
          <w:szCs w:val="24"/>
        </w:rPr>
        <w:t>the size of the 1000GP data</w:t>
      </w:r>
      <w:r w:rsidR="008E2E13">
        <w:rPr>
          <w:rFonts w:ascii="Times New Roman" w:hAnsi="Times New Roman" w:cs="Times New Roman"/>
          <w:sz w:val="24"/>
          <w:szCs w:val="24"/>
        </w:rPr>
        <w:t xml:space="preserve"> in terms of the number of individuals and autosomal SNVs respectively</w:t>
      </w:r>
      <w:r w:rsidR="008225B8">
        <w:rPr>
          <w:rFonts w:ascii="Times New Roman" w:hAnsi="Times New Roman" w:cs="Times New Roman"/>
          <w:sz w:val="24"/>
          <w:szCs w:val="24"/>
        </w:rPr>
        <w:t>,</w:t>
      </w:r>
      <w:r w:rsidR="008E2E13">
        <w:rPr>
          <w:rFonts w:ascii="Times New Roman" w:hAnsi="Times New Roman" w:cs="Times New Roman"/>
          <w:sz w:val="24"/>
          <w:szCs w:val="24"/>
        </w:rPr>
        <w:t xml:space="preserve"> and the ExAC dataset is about 8 folds and 5 folds the size of the combined set. Even though the rate of increase in sizes </w:t>
      </w:r>
      <w:r w:rsidR="00441AAE">
        <w:rPr>
          <w:rFonts w:ascii="Times New Roman" w:hAnsi="Times New Roman" w:cs="Times New Roman"/>
          <w:sz w:val="24"/>
          <w:szCs w:val="24"/>
        </w:rPr>
        <w:t xml:space="preserve">in both cases </w:t>
      </w:r>
      <w:r w:rsidR="008E2E13">
        <w:rPr>
          <w:rFonts w:ascii="Times New Roman" w:hAnsi="Times New Roman" w:cs="Times New Roman"/>
          <w:sz w:val="24"/>
          <w:szCs w:val="24"/>
        </w:rPr>
        <w:t xml:space="preserve">are comparable, the fact that only the </w:t>
      </w:r>
      <w:r w:rsidR="008E2E13">
        <w:rPr>
          <w:rFonts w:ascii="Times New Roman" w:hAnsi="Times New Roman" w:cs="Times New Roman"/>
          <w:sz w:val="24"/>
          <w:szCs w:val="24"/>
        </w:rPr>
        <w:lastRenderedPageBreak/>
        <w:t xml:space="preserve">largest dataset with more than 60K exomes and 7M SNVs yields interpretable results </w:t>
      </w:r>
      <w:r w:rsidR="007D645E">
        <w:rPr>
          <w:rFonts w:ascii="Times New Roman" w:hAnsi="Times New Roman" w:cs="Times New Roman"/>
          <w:sz w:val="24"/>
          <w:szCs w:val="24"/>
        </w:rPr>
        <w:t>underscores the importance of having more genome sequences</w:t>
      </w:r>
      <w:r w:rsidR="005048CC">
        <w:rPr>
          <w:rFonts w:ascii="Times New Roman" w:hAnsi="Times New Roman" w:cs="Times New Roman"/>
          <w:sz w:val="24"/>
          <w:szCs w:val="24"/>
        </w:rPr>
        <w:t xml:space="preserve"> and rare variants</w:t>
      </w:r>
      <w:r w:rsidR="007D645E">
        <w:rPr>
          <w:rFonts w:ascii="Times New Roman" w:hAnsi="Times New Roman" w:cs="Times New Roman"/>
          <w:sz w:val="24"/>
          <w:szCs w:val="24"/>
        </w:rPr>
        <w:t>.</w:t>
      </w:r>
    </w:p>
    <w:p w:rsidR="000B089E" w:rsidRDefault="000B089E" w:rsidP="006B37B8">
      <w:pPr>
        <w:spacing w:after="0" w:line="240" w:lineRule="auto"/>
        <w:rPr>
          <w:rFonts w:ascii="Times New Roman" w:hAnsi="Times New Roman" w:cs="Times New Roman"/>
          <w:sz w:val="24"/>
          <w:szCs w:val="24"/>
        </w:rPr>
      </w:pPr>
    </w:p>
    <w:p w:rsidR="0080214E" w:rsidRDefault="0080214E" w:rsidP="006B37B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Finally, using the motif-MSA, we are able to integrate </w:t>
      </w:r>
      <w:r w:rsidR="00F54902">
        <w:rPr>
          <w:rFonts w:ascii="Times New Roman" w:hAnsi="Times New Roman" w:cs="Times New Roman"/>
          <w:sz w:val="24"/>
          <w:szCs w:val="24"/>
        </w:rPr>
        <w:t xml:space="preserve">both </w:t>
      </w:r>
      <w:r>
        <w:rPr>
          <w:rFonts w:ascii="Times New Roman" w:hAnsi="Times New Roman" w:cs="Times New Roman"/>
          <w:sz w:val="24"/>
          <w:szCs w:val="24"/>
        </w:rPr>
        <w:t xml:space="preserve">protein and genomic information to </w:t>
      </w:r>
      <w:r w:rsidR="00F54902">
        <w:rPr>
          <w:rFonts w:ascii="Times New Roman" w:hAnsi="Times New Roman" w:cs="Times New Roman"/>
          <w:sz w:val="24"/>
          <w:szCs w:val="24"/>
        </w:rPr>
        <w:t>better pinpoint</w:t>
      </w:r>
      <w:r>
        <w:rPr>
          <w:rFonts w:ascii="Times New Roman" w:hAnsi="Times New Roman" w:cs="Times New Roman"/>
          <w:sz w:val="24"/>
          <w:szCs w:val="24"/>
        </w:rPr>
        <w:t xml:space="preserve"> </w:t>
      </w:r>
      <w:r w:rsidR="00F54902">
        <w:rPr>
          <w:rFonts w:ascii="Times New Roman" w:hAnsi="Times New Roman" w:cs="Times New Roman"/>
          <w:sz w:val="24"/>
          <w:szCs w:val="24"/>
        </w:rPr>
        <w:t xml:space="preserve">positions that might be more </w:t>
      </w:r>
      <w:r>
        <w:rPr>
          <w:rFonts w:ascii="Times New Roman" w:hAnsi="Times New Roman" w:cs="Times New Roman"/>
          <w:sz w:val="24"/>
          <w:szCs w:val="24"/>
        </w:rPr>
        <w:t>functi</w:t>
      </w:r>
      <w:r w:rsidR="00F54902">
        <w:rPr>
          <w:rFonts w:ascii="Times New Roman" w:hAnsi="Times New Roman" w:cs="Times New Roman"/>
          <w:sz w:val="24"/>
          <w:szCs w:val="24"/>
        </w:rPr>
        <w:t xml:space="preserve">onally important. By combining positions with </w:t>
      </w:r>
      <w:r w:rsidR="00441AAE">
        <w:rPr>
          <w:rFonts w:ascii="Times New Roman" w:hAnsi="Times New Roman" w:cs="Times New Roman"/>
          <w:sz w:val="24"/>
          <w:szCs w:val="24"/>
        </w:rPr>
        <w:t xml:space="preserve">the </w:t>
      </w:r>
      <w:r w:rsidR="00F54902">
        <w:rPr>
          <w:rFonts w:ascii="Times New Roman" w:hAnsi="Times New Roman" w:cs="Times New Roman"/>
          <w:sz w:val="24"/>
          <w:szCs w:val="24"/>
        </w:rPr>
        <w:t xml:space="preserve">highest </w:t>
      </w:r>
      <w:r w:rsidR="00441AAE">
        <w:rPr>
          <w:rFonts w:ascii="Times New Roman" w:hAnsi="Times New Roman" w:cs="Times New Roman"/>
          <w:sz w:val="24"/>
          <w:szCs w:val="24"/>
        </w:rPr>
        <w:t xml:space="preserve">five </w:t>
      </w:r>
      <w:r w:rsidR="00F54902">
        <w:rPr>
          <w:rFonts w:ascii="Times New Roman" w:hAnsi="Times New Roman" w:cs="Times New Roman"/>
          <w:sz w:val="24"/>
          <w:szCs w:val="24"/>
        </w:rPr>
        <w:t xml:space="preserve">sequence conservation in the motif-MSA and the lowest five median SIFT scores and NS/S ratio, we </w:t>
      </w:r>
      <w:r w:rsidR="00B645DC">
        <w:rPr>
          <w:rFonts w:ascii="Times New Roman" w:hAnsi="Times New Roman" w:cs="Times New Roman"/>
          <w:sz w:val="24"/>
          <w:szCs w:val="24"/>
        </w:rPr>
        <w:t xml:space="preserve">are able to </w:t>
      </w:r>
      <w:r w:rsidR="00F54902">
        <w:rPr>
          <w:rFonts w:ascii="Times New Roman" w:hAnsi="Times New Roman" w:cs="Times New Roman"/>
          <w:sz w:val="24"/>
          <w:szCs w:val="24"/>
        </w:rPr>
        <w:t xml:space="preserve">identify </w:t>
      </w:r>
      <w:r w:rsidR="00B645DC">
        <w:rPr>
          <w:rFonts w:ascii="Times New Roman" w:hAnsi="Times New Roman" w:cs="Times New Roman"/>
          <w:sz w:val="24"/>
          <w:szCs w:val="24"/>
        </w:rPr>
        <w:t xml:space="preserve">eight positions (out of 34 positions on the TPR motif), with </w:t>
      </w:r>
      <w:r w:rsidR="005E0B3D">
        <w:rPr>
          <w:rFonts w:ascii="Times New Roman" w:hAnsi="Times New Roman" w:cs="Times New Roman"/>
          <w:sz w:val="24"/>
          <w:szCs w:val="24"/>
        </w:rPr>
        <w:t xml:space="preserve">four </w:t>
      </w:r>
      <w:r w:rsidR="00B645DC">
        <w:rPr>
          <w:rFonts w:ascii="Times New Roman" w:hAnsi="Times New Roman" w:cs="Times New Roman"/>
          <w:sz w:val="24"/>
          <w:szCs w:val="24"/>
        </w:rPr>
        <w:t xml:space="preserve">positions that fulfil </w:t>
      </w:r>
      <w:r w:rsidR="005E0B3D">
        <w:rPr>
          <w:rFonts w:ascii="Times New Roman" w:hAnsi="Times New Roman" w:cs="Times New Roman"/>
          <w:sz w:val="24"/>
          <w:szCs w:val="24"/>
        </w:rPr>
        <w:t>at least two</w:t>
      </w:r>
      <w:r w:rsidR="00441AAE">
        <w:rPr>
          <w:rFonts w:ascii="Times New Roman" w:hAnsi="Times New Roman" w:cs="Times New Roman"/>
          <w:sz w:val="24"/>
          <w:szCs w:val="24"/>
        </w:rPr>
        <w:t xml:space="preserve"> of the</w:t>
      </w:r>
      <w:r w:rsidR="005E0B3D">
        <w:rPr>
          <w:rFonts w:ascii="Times New Roman" w:hAnsi="Times New Roman" w:cs="Times New Roman"/>
          <w:sz w:val="24"/>
          <w:szCs w:val="24"/>
        </w:rPr>
        <w:t xml:space="preserve"> </w:t>
      </w:r>
      <w:r w:rsidR="00441AAE">
        <w:rPr>
          <w:rFonts w:ascii="Times New Roman" w:hAnsi="Times New Roman" w:cs="Times New Roman"/>
          <w:sz w:val="24"/>
          <w:szCs w:val="24"/>
        </w:rPr>
        <w:t xml:space="preserve">three selective constraint conditions </w:t>
      </w:r>
      <w:r w:rsidR="00FA3BFE">
        <w:rPr>
          <w:rFonts w:ascii="Times New Roman" w:hAnsi="Times New Roman" w:cs="Times New Roman"/>
          <w:sz w:val="24"/>
          <w:szCs w:val="24"/>
        </w:rPr>
        <w:t>(</w:t>
      </w:r>
      <w:r w:rsidR="00FA3BFE" w:rsidRPr="00FA3BFE">
        <w:rPr>
          <w:rFonts w:ascii="Times New Roman" w:hAnsi="Times New Roman" w:cs="Times New Roman"/>
          <w:color w:val="FF0000"/>
          <w:sz w:val="24"/>
          <w:szCs w:val="24"/>
        </w:rPr>
        <w:t>Figure 3d</w:t>
      </w:r>
      <w:r w:rsidR="00FA3BFE">
        <w:rPr>
          <w:rFonts w:ascii="Times New Roman" w:hAnsi="Times New Roman" w:cs="Times New Roman"/>
          <w:sz w:val="24"/>
          <w:szCs w:val="24"/>
        </w:rPr>
        <w:t>)</w:t>
      </w:r>
      <w:r w:rsidR="00B645DC">
        <w:rPr>
          <w:rFonts w:ascii="Times New Roman" w:hAnsi="Times New Roman" w:cs="Times New Roman"/>
          <w:sz w:val="24"/>
          <w:szCs w:val="24"/>
        </w:rPr>
        <w:t xml:space="preserve">. </w:t>
      </w:r>
    </w:p>
    <w:p w:rsidR="00265BFD" w:rsidRDefault="00265BFD" w:rsidP="006B37B8">
      <w:pPr>
        <w:spacing w:after="0" w:line="240" w:lineRule="auto"/>
        <w:rPr>
          <w:rFonts w:ascii="Times New Roman" w:hAnsi="Times New Roman" w:cs="Times New Roman"/>
          <w:sz w:val="24"/>
          <w:szCs w:val="24"/>
        </w:rPr>
      </w:pPr>
    </w:p>
    <w:p w:rsidR="00265BFD" w:rsidRDefault="00FA3BFE" w:rsidP="006B37B8">
      <w:pPr>
        <w:spacing w:after="0" w:line="240" w:lineRule="auto"/>
        <w:rPr>
          <w:rFonts w:ascii="Times New Roman" w:hAnsi="Times New Roman" w:cs="Times New Roman"/>
          <w:b/>
          <w:i/>
          <w:sz w:val="24"/>
          <w:szCs w:val="24"/>
        </w:rPr>
      </w:pPr>
      <w:r>
        <w:rPr>
          <w:rFonts w:ascii="Times New Roman" w:hAnsi="Times New Roman" w:cs="Times New Roman"/>
          <w:b/>
          <w:i/>
          <w:sz w:val="24"/>
          <w:szCs w:val="24"/>
        </w:rPr>
        <w:t>Mapping genomic information onto protein structures</w:t>
      </w:r>
    </w:p>
    <w:p w:rsidR="00FA3BFE" w:rsidRDefault="00441AAE" w:rsidP="006B37B8">
      <w:pPr>
        <w:spacing w:after="0" w:line="240" w:lineRule="auto"/>
        <w:rPr>
          <w:rFonts w:ascii="Times New Roman" w:hAnsi="Times New Roman" w:cs="Times New Roman"/>
          <w:sz w:val="24"/>
          <w:szCs w:val="24"/>
        </w:rPr>
      </w:pPr>
      <w:r>
        <w:rPr>
          <w:rFonts w:ascii="Times New Roman" w:hAnsi="Times New Roman" w:cs="Times New Roman"/>
          <w:sz w:val="24"/>
          <w:szCs w:val="24"/>
        </w:rPr>
        <w:t>In order to visualize the eight residue positions in a spatial context, w</w:t>
      </w:r>
      <w:r w:rsidR="002F3488">
        <w:rPr>
          <w:rFonts w:ascii="Times New Roman" w:hAnsi="Times New Roman" w:cs="Times New Roman"/>
          <w:sz w:val="24"/>
          <w:szCs w:val="24"/>
        </w:rPr>
        <w:t>e further integrated genomic information with protein structures</w:t>
      </w:r>
      <w:r w:rsidR="008432A5">
        <w:rPr>
          <w:rFonts w:ascii="Times New Roman" w:hAnsi="Times New Roman" w:cs="Times New Roman"/>
          <w:sz w:val="24"/>
          <w:szCs w:val="24"/>
        </w:rPr>
        <w:t xml:space="preserve">. </w:t>
      </w:r>
      <w:r w:rsidR="00E30180">
        <w:rPr>
          <w:rFonts w:ascii="Times New Roman" w:hAnsi="Times New Roman" w:cs="Times New Roman"/>
          <w:sz w:val="24"/>
          <w:szCs w:val="24"/>
        </w:rPr>
        <w:t xml:space="preserve">We use </w:t>
      </w:r>
      <w:r w:rsidR="007D1F64">
        <w:rPr>
          <w:rFonts w:ascii="Times New Roman" w:hAnsi="Times New Roman" w:cs="Times New Roman"/>
          <w:sz w:val="24"/>
          <w:szCs w:val="24"/>
        </w:rPr>
        <w:t xml:space="preserve">the X-ray crystal structure of the </w:t>
      </w:r>
      <w:r w:rsidR="008432A5">
        <w:rPr>
          <w:rFonts w:ascii="Times New Roman" w:hAnsi="Times New Roman" w:cs="Times New Roman"/>
          <w:sz w:val="24"/>
          <w:szCs w:val="24"/>
        </w:rPr>
        <w:t xml:space="preserve">TPR domain </w:t>
      </w:r>
      <w:r w:rsidR="007D1F64">
        <w:rPr>
          <w:rFonts w:ascii="Times New Roman" w:hAnsi="Times New Roman" w:cs="Times New Roman"/>
          <w:sz w:val="24"/>
          <w:szCs w:val="24"/>
        </w:rPr>
        <w:t xml:space="preserve">(TPR1) </w:t>
      </w:r>
      <w:r w:rsidR="00E30180">
        <w:rPr>
          <w:rFonts w:ascii="Times New Roman" w:hAnsi="Times New Roman" w:cs="Times New Roman"/>
          <w:sz w:val="24"/>
          <w:szCs w:val="24"/>
        </w:rPr>
        <w:t xml:space="preserve">from the human protein </w:t>
      </w:r>
      <w:proofErr w:type="spellStart"/>
      <w:r w:rsidR="00E30180">
        <w:rPr>
          <w:rFonts w:ascii="Times New Roman" w:hAnsi="Times New Roman" w:cs="Times New Roman"/>
          <w:sz w:val="24"/>
          <w:szCs w:val="24"/>
        </w:rPr>
        <w:t>Hsp</w:t>
      </w:r>
      <w:proofErr w:type="spellEnd"/>
      <w:r w:rsidR="00E30180">
        <w:rPr>
          <w:rFonts w:ascii="Times New Roman" w:hAnsi="Times New Roman" w:cs="Times New Roman"/>
          <w:sz w:val="24"/>
          <w:szCs w:val="24"/>
        </w:rPr>
        <w:t xml:space="preserve">-organizing protein (HOP) bound to its cognate ligand, a short peptide sequence consisting of seven amino acids, PTIEEVD (PDB ID: 1ELW). We then map the eight positions derived from </w:t>
      </w:r>
      <w:r w:rsidR="00E30180" w:rsidRPr="00E30180">
        <w:rPr>
          <w:rFonts w:ascii="Times New Roman" w:hAnsi="Times New Roman" w:cs="Times New Roman"/>
          <w:color w:val="FF0000"/>
          <w:sz w:val="24"/>
          <w:szCs w:val="24"/>
        </w:rPr>
        <w:t xml:space="preserve">Figure 3d </w:t>
      </w:r>
      <w:r w:rsidR="00E30180">
        <w:rPr>
          <w:rFonts w:ascii="Times New Roman" w:hAnsi="Times New Roman" w:cs="Times New Roman"/>
          <w:sz w:val="24"/>
          <w:szCs w:val="24"/>
        </w:rPr>
        <w:t>onto the protein structure (</w:t>
      </w:r>
      <w:r w:rsidR="00E30180" w:rsidRPr="00A95ADA">
        <w:rPr>
          <w:rFonts w:ascii="Times New Roman" w:hAnsi="Times New Roman" w:cs="Times New Roman"/>
          <w:color w:val="FF0000"/>
          <w:sz w:val="24"/>
          <w:szCs w:val="24"/>
        </w:rPr>
        <w:t>Figure 4</w:t>
      </w:r>
      <w:r w:rsidR="00E30180">
        <w:rPr>
          <w:rFonts w:ascii="Times New Roman" w:hAnsi="Times New Roman" w:cs="Times New Roman"/>
          <w:sz w:val="24"/>
          <w:szCs w:val="24"/>
        </w:rPr>
        <w:t xml:space="preserve">). HOP is a scaffold protein with three </w:t>
      </w:r>
      <w:r>
        <w:rPr>
          <w:rFonts w:ascii="Times New Roman" w:hAnsi="Times New Roman" w:cs="Times New Roman"/>
          <w:sz w:val="24"/>
          <w:szCs w:val="24"/>
        </w:rPr>
        <w:t>domains</w:t>
      </w:r>
      <w:r w:rsidR="00E30180">
        <w:rPr>
          <w:rFonts w:ascii="Times New Roman" w:hAnsi="Times New Roman" w:cs="Times New Roman"/>
          <w:sz w:val="24"/>
          <w:szCs w:val="24"/>
        </w:rPr>
        <w:t xml:space="preserve"> of three TPR </w:t>
      </w:r>
      <w:r>
        <w:rPr>
          <w:rFonts w:ascii="Times New Roman" w:hAnsi="Times New Roman" w:cs="Times New Roman"/>
          <w:sz w:val="24"/>
          <w:szCs w:val="24"/>
        </w:rPr>
        <w:t xml:space="preserve">motifs </w:t>
      </w:r>
      <w:r w:rsidR="00E30180">
        <w:rPr>
          <w:rFonts w:ascii="Times New Roman" w:hAnsi="Times New Roman" w:cs="Times New Roman"/>
          <w:sz w:val="24"/>
          <w:szCs w:val="24"/>
        </w:rPr>
        <w:t>that bring together two critical molecular chaperones, Hsp70 and Hsp90. TPR1 contains three 34-amino-acid TPR motifs and mediates the interaction with Hsp70, by binding to the latter’s C-terminal peptide sequence of PTIEEVD.</w:t>
      </w:r>
      <w:r w:rsidR="00AE7AEE">
        <w:rPr>
          <w:rFonts w:ascii="Times New Roman" w:hAnsi="Times New Roman" w:cs="Times New Roman"/>
          <w:sz w:val="24"/>
          <w:szCs w:val="24"/>
        </w:rPr>
        <w:fldChar w:fldCharType="begin" w:fldLock="1"/>
      </w:r>
      <w:r w:rsidR="007F79CC">
        <w:rPr>
          <w:rFonts w:ascii="Times New Roman" w:hAnsi="Times New Roman" w:cs="Times New Roman"/>
          <w:sz w:val="24"/>
          <w:szCs w:val="24"/>
        </w:rPr>
        <w:instrText>ADDIN CSL_CITATION { "citationItems" : [ { "id" : "ITEM-1", "itemData" : { "DOI" : "10.1038/emboj.2011.472", "ISSN" : "1460-2075", "PMID" : "22227520", "abstract" : "Sti1/Hop is a modular protein required for the transfer of client proteins from the Hsp70 to the Hsp90 chaperone system in eukaryotes. It binds Hsp70 and Hsp90 simultaneously via TPR (tetratricopeptide repeat) domains. Sti1/Hop contains three TPR domains (TPR1, TPR2A and TPR2B) and two domains of unknown structure (DP1 and DP2). We show that TPR2A is the high affinity Hsp90-binding site and TPR1 and TPR2B bind Hsp70 with moderate affinity. The DP domains exhibit highly homologous \u03b1-helical folds as determined by NMR. These, and especially DP2, are important for client activation in vivo. The core module of Sti1 for Hsp90 inhibition is the TPR2A-TPR2B segment. In the crystal structure, the two TPR domains are connected via a rigid linker orienting their peptide-binding sites in opposite directions and allowing the simultaneous binding of TPR2A to the Hsp90 C-terminal domain and of TPR2B to Hsp70. Both domains also interact with the Hsp90 middle domain. The accessory TPR1-DP1 module may serve as an Hsp70-client delivery system for the TPR2A-TPR2B-DP2 segment, which is required for client activation in vivo.", "author" : [ { "dropping-particle" : "", "family" : "Schmid", "given" : "Andreas B", "non-dropping-particle" : "", "parse-names" : false, "suffix" : "" }, { "dropping-particle" : "", "family" : "Lagleder", "given" : "Stephan", "non-dropping-particle" : "", "parse-names" : false, "suffix" : "" }, { "dropping-particle" : "", "family" : "Gr\u00e4wert", "given" : "Melissa Ann", "non-dropping-particle" : "", "parse-names" : false, "suffix" : "" }, { "dropping-particle" : "", "family" : "R\u00f6hl", "given" : "Alina", "non-dropping-particle" : "", "parse-names" : false, "suffix" : "" }, { "dropping-particle" : "", "family" : "Hagn", "given" : "Franz", "non-dropping-particle" : "", "parse-names" : false, "suffix" : "" }, { "dropping-particle" : "", "family" : "Wandinger", "given" : "Sebastian K", "non-dropping-particle" : "", "parse-names" : false, "suffix" : "" }, { "dropping-particle" : "", "family" : "Cox", "given" : "Marc B", "non-dropping-particle" : "", "parse-names" : false, "suffix" : "" }, { "dropping-particle" : "", "family" : "Demmer", "given" : "Oliver", "non-dropping-particle" : "", "parse-names" : false, "suffix" : "" }, { "dropping-particle" : "", "family" : "Richter", "given" : "Klaus", "non-dropping-particle" : "", "parse-names" : false, "suffix" : "" }, { "dropping-particle" : "", "family" : "Groll", "given" : "Michael", "non-dropping-particle" : "", "parse-names" : false, "suffix" : "" }, { "dropping-particle" : "", "family" : "Kessler", "given" : "Horst", "non-dropping-particle" : "", "parse-names" : false, "suffix" : "" }, { "dropping-particle" : "", "family" : "Buchner", "given" : "Johannes", "non-dropping-particle" : "", "parse-names" : false, "suffix" : "" } ], "container-title" : "The EMBO journal", "id" : "ITEM-1", "issue" : "6", "issued" : { "date-parts" : [ [ "2012", "3", "21" ] ] }, "page" : "1506-17", "title" : "The architecture of functional modules in the Hsp90 co-chaperone Sti1/Hop.", "type" : "article-journal", "volume" : "31" }, "uris" : [ "http://www.mendeley.com/documents/?uuid=6ac73d8d-768c-4949-b3b3-3e4568414e15" ] } ], "mendeley" : { "formattedCitation" : "&lt;sup&gt;20&lt;/sup&gt;", "plainTextFormattedCitation" : "20", "previouslyFormattedCitation" : "&lt;sup&gt;20&lt;/sup&gt;" }, "properties" : { "noteIndex" : 0 }, "schema" : "https://github.com/citation-style-language/schema/raw/master/csl-citation.json" }</w:instrText>
      </w:r>
      <w:r w:rsidR="00AE7AEE">
        <w:rPr>
          <w:rFonts w:ascii="Times New Roman" w:hAnsi="Times New Roman" w:cs="Times New Roman"/>
          <w:sz w:val="24"/>
          <w:szCs w:val="24"/>
        </w:rPr>
        <w:fldChar w:fldCharType="separate"/>
      </w:r>
      <w:r w:rsidR="00AE7AEE" w:rsidRPr="00AE7AEE">
        <w:rPr>
          <w:rFonts w:ascii="Times New Roman" w:hAnsi="Times New Roman" w:cs="Times New Roman"/>
          <w:noProof/>
          <w:sz w:val="24"/>
          <w:szCs w:val="24"/>
          <w:vertAlign w:val="superscript"/>
        </w:rPr>
        <w:t>20</w:t>
      </w:r>
      <w:r w:rsidR="00AE7AEE">
        <w:rPr>
          <w:rFonts w:ascii="Times New Roman" w:hAnsi="Times New Roman" w:cs="Times New Roman"/>
          <w:sz w:val="24"/>
          <w:szCs w:val="24"/>
        </w:rPr>
        <w:fldChar w:fldCharType="end"/>
      </w:r>
      <w:r w:rsidR="00AE7AEE">
        <w:rPr>
          <w:rFonts w:ascii="Times New Roman" w:hAnsi="Times New Roman" w:cs="Times New Roman"/>
          <w:sz w:val="24"/>
          <w:szCs w:val="24"/>
        </w:rPr>
        <w:t xml:space="preserve"> </w:t>
      </w:r>
      <w:r w:rsidR="00E30180">
        <w:rPr>
          <w:rFonts w:ascii="Times New Roman" w:hAnsi="Times New Roman" w:cs="Times New Roman"/>
          <w:sz w:val="24"/>
          <w:szCs w:val="24"/>
        </w:rPr>
        <w:t>Except for position 17 in each of the three TPR motifs in TPR1, we found that all the other seven residue positions with high selective constraints (from either low median SIFT scores, low log (NS/S) or high motif sequence conservation) are buried residues in the PPI domain (</w:t>
      </w:r>
      <w:r w:rsidR="00E30180" w:rsidRPr="00E30180">
        <w:rPr>
          <w:rFonts w:ascii="Times New Roman" w:hAnsi="Times New Roman" w:cs="Times New Roman"/>
          <w:color w:val="FF0000"/>
          <w:sz w:val="24"/>
          <w:szCs w:val="24"/>
        </w:rPr>
        <w:t>Figure 4</w:t>
      </w:r>
      <w:r w:rsidR="007021B7">
        <w:rPr>
          <w:rFonts w:ascii="Times New Roman" w:hAnsi="Times New Roman" w:cs="Times New Roman"/>
          <w:color w:val="FF0000"/>
          <w:sz w:val="24"/>
          <w:szCs w:val="24"/>
        </w:rPr>
        <w:t>a</w:t>
      </w:r>
      <w:r w:rsidR="00E30180">
        <w:rPr>
          <w:rFonts w:ascii="Times New Roman" w:hAnsi="Times New Roman" w:cs="Times New Roman"/>
          <w:sz w:val="24"/>
          <w:szCs w:val="24"/>
        </w:rPr>
        <w:t xml:space="preserve">). </w:t>
      </w:r>
      <w:r w:rsidR="00DB01FC">
        <w:rPr>
          <w:rFonts w:ascii="Times New Roman" w:hAnsi="Times New Roman" w:cs="Times New Roman"/>
          <w:sz w:val="24"/>
          <w:szCs w:val="24"/>
        </w:rPr>
        <w:t xml:space="preserve">Buried residues are known to be essential in maintaining the </w:t>
      </w:r>
      <w:r w:rsidR="00217E6D">
        <w:rPr>
          <w:rFonts w:ascii="Times New Roman" w:hAnsi="Times New Roman" w:cs="Times New Roman"/>
          <w:sz w:val="24"/>
          <w:szCs w:val="24"/>
        </w:rPr>
        <w:t xml:space="preserve">stability </w:t>
      </w:r>
      <w:r w:rsidR="00DB01FC">
        <w:rPr>
          <w:rFonts w:ascii="Times New Roman" w:hAnsi="Times New Roman" w:cs="Times New Roman"/>
          <w:sz w:val="24"/>
          <w:szCs w:val="24"/>
        </w:rPr>
        <w:t>of globular proteins.[</w:t>
      </w:r>
      <w:r w:rsidR="00DB01FC" w:rsidRPr="00DB01FC">
        <w:rPr>
          <w:rFonts w:ascii="Times New Roman" w:hAnsi="Times New Roman" w:cs="Times New Roman"/>
          <w:color w:val="FF0000"/>
          <w:sz w:val="24"/>
          <w:szCs w:val="24"/>
        </w:rPr>
        <w:t>cite</w:t>
      </w:r>
      <w:r w:rsidR="00DB01FC">
        <w:rPr>
          <w:rFonts w:ascii="Times New Roman" w:hAnsi="Times New Roman" w:cs="Times New Roman"/>
          <w:sz w:val="24"/>
          <w:szCs w:val="24"/>
        </w:rPr>
        <w:t xml:space="preserve">] For short and non-globular PPI domains, these buried residues </w:t>
      </w:r>
      <w:r w:rsidR="00CE31DC">
        <w:rPr>
          <w:rFonts w:ascii="Times New Roman" w:hAnsi="Times New Roman" w:cs="Times New Roman"/>
          <w:sz w:val="24"/>
          <w:szCs w:val="24"/>
        </w:rPr>
        <w:t>become</w:t>
      </w:r>
      <w:r w:rsidR="00DB01FC">
        <w:rPr>
          <w:rFonts w:ascii="Times New Roman" w:hAnsi="Times New Roman" w:cs="Times New Roman"/>
          <w:sz w:val="24"/>
          <w:szCs w:val="24"/>
        </w:rPr>
        <w:t xml:space="preserve"> critical for maintaining the structural folds of the domains in order to perform their roles</w:t>
      </w:r>
      <w:r w:rsidR="00217E6D">
        <w:rPr>
          <w:rFonts w:ascii="Times New Roman" w:hAnsi="Times New Roman" w:cs="Times New Roman"/>
          <w:sz w:val="24"/>
          <w:szCs w:val="24"/>
        </w:rPr>
        <w:t xml:space="preserve"> in mediating protein</w:t>
      </w:r>
      <w:r w:rsidR="00CE31DC">
        <w:rPr>
          <w:rFonts w:ascii="Times New Roman" w:hAnsi="Times New Roman" w:cs="Times New Roman"/>
          <w:sz w:val="24"/>
          <w:szCs w:val="24"/>
        </w:rPr>
        <w:t>-protein</w:t>
      </w:r>
      <w:r w:rsidR="00217E6D">
        <w:rPr>
          <w:rFonts w:ascii="Times New Roman" w:hAnsi="Times New Roman" w:cs="Times New Roman"/>
          <w:sz w:val="24"/>
          <w:szCs w:val="24"/>
        </w:rPr>
        <w:t xml:space="preserve"> interactions.</w:t>
      </w:r>
      <w:r w:rsidR="00CE31DC">
        <w:rPr>
          <w:rFonts w:ascii="Times New Roman" w:hAnsi="Times New Roman" w:cs="Times New Roman"/>
          <w:sz w:val="24"/>
          <w:szCs w:val="24"/>
        </w:rPr>
        <w:t>[</w:t>
      </w:r>
      <w:r w:rsidR="00CE31DC" w:rsidRPr="00CE31DC">
        <w:rPr>
          <w:rFonts w:ascii="Times New Roman" w:hAnsi="Times New Roman" w:cs="Times New Roman"/>
          <w:color w:val="FF0000"/>
          <w:sz w:val="24"/>
          <w:szCs w:val="24"/>
        </w:rPr>
        <w:t>cite</w:t>
      </w:r>
      <w:r w:rsidR="00CE31DC">
        <w:rPr>
          <w:rFonts w:ascii="Times New Roman" w:hAnsi="Times New Roman" w:cs="Times New Roman"/>
          <w:sz w:val="24"/>
          <w:szCs w:val="24"/>
        </w:rPr>
        <w:t>]</w:t>
      </w:r>
    </w:p>
    <w:p w:rsidR="00DB01FC" w:rsidRDefault="00DB01FC" w:rsidP="006B37B8">
      <w:pPr>
        <w:spacing w:after="0" w:line="240" w:lineRule="auto"/>
        <w:rPr>
          <w:rFonts w:ascii="Times New Roman" w:hAnsi="Times New Roman" w:cs="Times New Roman"/>
          <w:sz w:val="24"/>
          <w:szCs w:val="24"/>
        </w:rPr>
      </w:pPr>
    </w:p>
    <w:p w:rsidR="00FA3BFE" w:rsidRDefault="00DB01FC" w:rsidP="006B37B8">
      <w:pPr>
        <w:spacing w:after="0" w:line="240" w:lineRule="auto"/>
        <w:rPr>
          <w:rFonts w:ascii="Times New Roman" w:hAnsi="Times New Roman" w:cs="Times New Roman"/>
          <w:b/>
          <w:i/>
          <w:sz w:val="24"/>
          <w:szCs w:val="24"/>
        </w:rPr>
      </w:pPr>
      <w:r w:rsidRPr="00DB01FC">
        <w:rPr>
          <w:rFonts w:ascii="Times New Roman" w:hAnsi="Times New Roman" w:cs="Times New Roman"/>
          <w:b/>
          <w:i/>
          <w:sz w:val="24"/>
          <w:szCs w:val="24"/>
        </w:rPr>
        <w:t xml:space="preserve">Relating </w:t>
      </w:r>
      <w:r>
        <w:rPr>
          <w:rFonts w:ascii="Times New Roman" w:hAnsi="Times New Roman" w:cs="Times New Roman"/>
          <w:b/>
          <w:i/>
          <w:sz w:val="24"/>
          <w:szCs w:val="24"/>
        </w:rPr>
        <w:t>residues positions to clinically-relevant and disease</w:t>
      </w:r>
      <w:r w:rsidR="007021B7">
        <w:rPr>
          <w:rFonts w:ascii="Times New Roman" w:hAnsi="Times New Roman" w:cs="Times New Roman"/>
          <w:b/>
          <w:i/>
          <w:sz w:val="24"/>
          <w:szCs w:val="24"/>
        </w:rPr>
        <w:t>-related</w:t>
      </w:r>
      <w:r>
        <w:rPr>
          <w:rFonts w:ascii="Times New Roman" w:hAnsi="Times New Roman" w:cs="Times New Roman"/>
          <w:b/>
          <w:i/>
          <w:sz w:val="24"/>
          <w:szCs w:val="24"/>
        </w:rPr>
        <w:t xml:space="preserve"> mutation data</w:t>
      </w:r>
    </w:p>
    <w:p w:rsidR="00DB01FC" w:rsidRDefault="00CE31DC" w:rsidP="006B37B8">
      <w:pPr>
        <w:spacing w:after="0" w:line="240" w:lineRule="auto"/>
        <w:rPr>
          <w:rFonts w:ascii="Times New Roman" w:hAnsi="Times New Roman" w:cs="Times New Roman"/>
          <w:sz w:val="24"/>
          <w:szCs w:val="24"/>
        </w:rPr>
      </w:pPr>
      <w:r>
        <w:rPr>
          <w:rFonts w:ascii="Times New Roman" w:hAnsi="Times New Roman" w:cs="Times New Roman"/>
          <w:sz w:val="24"/>
          <w:szCs w:val="24"/>
        </w:rPr>
        <w:t>Previous</w:t>
      </w:r>
      <w:r w:rsidR="00DB01FC">
        <w:rPr>
          <w:rFonts w:ascii="Times New Roman" w:hAnsi="Times New Roman" w:cs="Times New Roman"/>
          <w:sz w:val="24"/>
          <w:szCs w:val="24"/>
        </w:rPr>
        <w:t xml:space="preserve"> studies </w:t>
      </w:r>
      <w:r>
        <w:rPr>
          <w:rFonts w:ascii="Times New Roman" w:hAnsi="Times New Roman" w:cs="Times New Roman"/>
          <w:sz w:val="24"/>
          <w:szCs w:val="24"/>
        </w:rPr>
        <w:t xml:space="preserve">have </w:t>
      </w:r>
      <w:r w:rsidR="00DB01FC">
        <w:rPr>
          <w:rFonts w:ascii="Times New Roman" w:hAnsi="Times New Roman" w:cs="Times New Roman"/>
          <w:sz w:val="24"/>
          <w:szCs w:val="24"/>
        </w:rPr>
        <w:t>show</w:t>
      </w:r>
      <w:r>
        <w:rPr>
          <w:rFonts w:ascii="Times New Roman" w:hAnsi="Times New Roman" w:cs="Times New Roman"/>
          <w:sz w:val="24"/>
          <w:szCs w:val="24"/>
        </w:rPr>
        <w:t>n</w:t>
      </w:r>
      <w:r w:rsidR="00DB01FC">
        <w:rPr>
          <w:rFonts w:ascii="Times New Roman" w:hAnsi="Times New Roman" w:cs="Times New Roman"/>
          <w:sz w:val="24"/>
          <w:szCs w:val="24"/>
        </w:rPr>
        <w:t xml:space="preserve"> that buried residues are highly constrained and </w:t>
      </w:r>
      <w:r>
        <w:rPr>
          <w:rFonts w:ascii="Times New Roman" w:hAnsi="Times New Roman" w:cs="Times New Roman"/>
          <w:sz w:val="24"/>
          <w:szCs w:val="24"/>
        </w:rPr>
        <w:t xml:space="preserve">have a higher tendency to be </w:t>
      </w:r>
      <w:r w:rsidR="00DB01FC">
        <w:rPr>
          <w:rFonts w:ascii="Times New Roman" w:hAnsi="Times New Roman" w:cs="Times New Roman"/>
          <w:sz w:val="24"/>
          <w:szCs w:val="24"/>
        </w:rPr>
        <w:t>disease-causing.</w:t>
      </w:r>
      <w:r w:rsidR="007021B7">
        <w:rPr>
          <w:rFonts w:ascii="Times New Roman" w:hAnsi="Times New Roman" w:cs="Times New Roman"/>
          <w:sz w:val="24"/>
          <w:szCs w:val="24"/>
        </w:rPr>
        <w:t>[</w:t>
      </w:r>
      <w:r w:rsidR="007021B7" w:rsidRPr="007021B7">
        <w:rPr>
          <w:rFonts w:ascii="Times New Roman" w:hAnsi="Times New Roman" w:cs="Times New Roman"/>
          <w:color w:val="FF0000"/>
          <w:sz w:val="24"/>
          <w:szCs w:val="24"/>
        </w:rPr>
        <w:t>cite</w:t>
      </w:r>
      <w:r w:rsidR="007021B7">
        <w:rPr>
          <w:rFonts w:ascii="Times New Roman" w:hAnsi="Times New Roman" w:cs="Times New Roman"/>
          <w:sz w:val="24"/>
          <w:szCs w:val="24"/>
        </w:rPr>
        <w:t>]</w:t>
      </w:r>
      <w:r>
        <w:rPr>
          <w:rFonts w:ascii="Times New Roman" w:hAnsi="Times New Roman" w:cs="Times New Roman"/>
          <w:sz w:val="24"/>
          <w:szCs w:val="24"/>
        </w:rPr>
        <w:t xml:space="preserve"> Using two databases, ClinVar</w:t>
      </w:r>
      <w:r w:rsidR="007F79CC">
        <w:rPr>
          <w:rFonts w:ascii="Times New Roman" w:hAnsi="Times New Roman" w:cs="Times New Roman"/>
          <w:sz w:val="24"/>
          <w:szCs w:val="24"/>
        </w:rPr>
        <w:fldChar w:fldCharType="begin" w:fldLock="1"/>
      </w:r>
      <w:r w:rsidR="007F79CC">
        <w:rPr>
          <w:rFonts w:ascii="Times New Roman" w:hAnsi="Times New Roman" w:cs="Times New Roman"/>
          <w:sz w:val="24"/>
          <w:szCs w:val="24"/>
        </w:rPr>
        <w:instrText>ADDIN CSL_CITATION { "citationItems" : [ { "id" : "ITEM-1", "itemData" : { "DOI" : "10.1093/nar/gkt1113", "ISSN" : "1362-4962", "PMID" : "24234437", "abstract" : "ClinVar (http://www.ncbi.nlm.nih.gov/clinvar/) provides a freely available archive of reports of relationships among medically important variants and phenotypes. ClinVar accessions submissions reporting human variation, interpretations of the relationship of that variation to human health and the evidence supporting each interpretation. The database is tightly coupled with dbSNP and dbVar, which maintain information about the location of variation on human assemblies. ClinVar is also based on the phenotypic descriptions maintained in MedGen (http://www.ncbi.nlm.nih.gov/medgen). Each ClinVar record represents the submitter, the variation and the phenotype, i.e. the unit that is assigned an accession of the format SCV000000000.0. The submitter can update the submission at any time, in which case a new version is assigned. To facilitate evaluation of the medical importance of each variant, ClinVar aggregates submissions with the same variation/phenotype combination, adds value from other NCBI databases, assigns a distinct accession of the format RCV000000000.0 and reports if there are conflicting clinical interpretations. Data in ClinVar are available in multiple formats, including html, download as XML, VCF or tab-delimited subsets. Data from ClinVar are provided as annotation tracks on genomic RefSeqs and are used in tools such as Variation Reporter (http://www.ncbi.nlm.nih.gov/variation/tools/reporter), which reports what is known about variation based on user-supplied locations.", "author" : [ { "dropping-particle" : "", "family" : "Landrum", "given" : "Melissa J", "non-dropping-particle" : "", "parse-names" : false, "suffix" : "" }, { "dropping-particle" : "", "family" : "Lee", "given" : "Jennifer M", "non-dropping-particle" : "", "parse-names" : false, "suffix" : "" }, { "dropping-particle" : "", "family" : "Riley", "given" : "George R", "non-dropping-particle" : "", "parse-names" : false, "suffix" : "" }, { "dropping-particle" : "", "family" : "Jang", "given" : "Wonhee", "non-dropping-particle" : "", "parse-names" : false, "suffix" : "" }, { "dropping-particle" : "", "family" : "Rubinstein", "given" : "Wendy S", "non-dropping-particle" : "", "parse-names" : false, "suffix" : "" }, { "dropping-particle" : "", "family" : "Church", "given" : "Deanna M", "non-dropping-particle" : "", "parse-names" : false, "suffix" : "" }, { "dropping-particle" : "", "family" : "Maglott", "given" : "Donna R", "non-dropping-particle" : "", "parse-names" : false, "suffix" : "" } ], "container-title" : "Nucleic acids research", "id" : "ITEM-1", "issue" : "Database issue", "issued" : { "date-parts" : [ [ "2014", "1" ] ] }, "page" : "D980-5", "title" : "ClinVar: public archive of relationships among sequence variation and human phenotype.", "type" : "article-journal", "volume" : "42" }, "uris" : [ "http://www.mendeley.com/documents/?uuid=e773c150-7f67-446d-9511-00d500f98f91" ] } ], "mendeley" : { "formattedCitation" : "&lt;sup&gt;21&lt;/sup&gt;", "plainTextFormattedCitation" : "21", "previouslyFormattedCitation" : "&lt;sup&gt;21&lt;/sup&gt;" }, "properties" : { "noteIndex" : 0 }, "schema" : "https://github.com/citation-style-language/schema/raw/master/csl-citation.json" }</w:instrText>
      </w:r>
      <w:r w:rsidR="007F79CC">
        <w:rPr>
          <w:rFonts w:ascii="Times New Roman" w:hAnsi="Times New Roman" w:cs="Times New Roman"/>
          <w:sz w:val="24"/>
          <w:szCs w:val="24"/>
        </w:rPr>
        <w:fldChar w:fldCharType="separate"/>
      </w:r>
      <w:r w:rsidR="007F79CC" w:rsidRPr="007F79CC">
        <w:rPr>
          <w:rFonts w:ascii="Times New Roman" w:hAnsi="Times New Roman" w:cs="Times New Roman"/>
          <w:noProof/>
          <w:sz w:val="24"/>
          <w:szCs w:val="24"/>
          <w:vertAlign w:val="superscript"/>
        </w:rPr>
        <w:t>21</w:t>
      </w:r>
      <w:r w:rsidR="007F79CC">
        <w:rPr>
          <w:rFonts w:ascii="Times New Roman" w:hAnsi="Times New Roman" w:cs="Times New Roman"/>
          <w:sz w:val="24"/>
          <w:szCs w:val="24"/>
        </w:rPr>
        <w:fldChar w:fldCharType="end"/>
      </w:r>
      <w:r>
        <w:rPr>
          <w:rFonts w:ascii="Times New Roman" w:hAnsi="Times New Roman" w:cs="Times New Roman"/>
          <w:sz w:val="24"/>
          <w:szCs w:val="24"/>
        </w:rPr>
        <w:t xml:space="preserve"> and the proprietary Human Gene Mutation Database (HGMD)</w:t>
      </w:r>
      <w:r w:rsidR="007F79CC">
        <w:rPr>
          <w:rFonts w:ascii="Times New Roman" w:hAnsi="Times New Roman" w:cs="Times New Roman"/>
          <w:sz w:val="24"/>
          <w:szCs w:val="24"/>
        </w:rPr>
        <w:fldChar w:fldCharType="begin" w:fldLock="1"/>
      </w:r>
      <w:r w:rsidR="00E44585">
        <w:rPr>
          <w:rFonts w:ascii="Times New Roman" w:hAnsi="Times New Roman" w:cs="Times New Roman"/>
          <w:sz w:val="24"/>
          <w:szCs w:val="24"/>
        </w:rPr>
        <w:instrText>ADDIN CSL_CITATION { "citationItems" : [ { "id" : "ITEM-1", "itemData" : { "DOI" : "10.1007/s00439-013-1358-4", "ISSN" : "1432-1203", "PMID" : "24077912", "abstract" : "The Human Gene Mutation Database (HGMD\u00ae) is a comprehensive collection of germline mutations in nuclear genes that underlie, or are associated with, human inherited disease. By June 2013, the database contained over 141,000 different lesions detected in over 5,700 different genes, with new mutation entries currently accumulating at a rate exceeding 10,000 per annum. HGMD was originally established in 1996 for the scientific study of mutational mechanisms in human genes. However, it has since acquired a much broader utility as a central unified disease-oriented mutation repository utilized by human molecular geneticists, genome scientists, molecular biologists, clinicians and genetic counsellors as well as by those specializing in biopharmaceuticals, bioinformatics and personalized genomics. The public version of HGMD (http://www.hgmd.org) is freely available to registered users from academic institutions/non-profit organizations whilst the subscription version (HGMD Professional) is available to academic, clinical and commercial users under license via BIOBASE GmbH.", "author" : [ { "dropping-particle" : "", "family" : "Stenson", "given" : "Peter D", "non-dropping-particle" : "", "parse-names" : false, "suffix" : "" }, { "dropping-particle" : "", "family" : "Mort", "given" : "Matthew", "non-dropping-particle" : "", "parse-names" : false, "suffix" : "" }, { "dropping-particle" : "V", "family" : "Ball", "given" : "Edward", "non-dropping-particle" : "", "parse-names" : false, "suffix" : "" }, { "dropping-particle" : "", "family" : "Shaw", "given" : "Katy", "non-dropping-particle" : "", "parse-names" : false, "suffix" : "" }, { "dropping-particle" : "", "family" : "Phillips", "given" : "Andrew", "non-dropping-particle" : "", "parse-names" : false, "suffix" : "" }, { "dropping-particle" : "", "family" : "Cooper", "given" : "David N", "non-dropping-particle" : "", "parse-names" : false, "suffix" : "" } ], "container-title" : "Human genetics", "id" : "ITEM-1", "issue" : "1", "issued" : { "date-parts" : [ [ "2014", "1" ] ] }, "page" : "1-9", "title" : "The Human Gene Mutation Database: building a comprehensive mutation repository for clinical and molecular genetics, diagnostic testing and personalized genomic medicine.", "type" : "article-journal", "volume" : "133" }, "uris" : [ "http://www.mendeley.com/documents/?uuid=a9f12a6f-ff61-4d3a-bb9e-3c93a0b4065c" ] } ], "mendeley" : { "formattedCitation" : "&lt;sup&gt;22&lt;/sup&gt;", "plainTextFormattedCitation" : "22", "previouslyFormattedCitation" : "&lt;sup&gt;22&lt;/sup&gt;" }, "properties" : { "noteIndex" : 0 }, "schema" : "https://github.com/citation-style-language/schema/raw/master/csl-citation.json" }</w:instrText>
      </w:r>
      <w:r w:rsidR="007F79CC">
        <w:rPr>
          <w:rFonts w:ascii="Times New Roman" w:hAnsi="Times New Roman" w:cs="Times New Roman"/>
          <w:sz w:val="24"/>
          <w:szCs w:val="24"/>
        </w:rPr>
        <w:fldChar w:fldCharType="separate"/>
      </w:r>
      <w:r w:rsidR="007F79CC" w:rsidRPr="007F79CC">
        <w:rPr>
          <w:rFonts w:ascii="Times New Roman" w:hAnsi="Times New Roman" w:cs="Times New Roman"/>
          <w:noProof/>
          <w:sz w:val="24"/>
          <w:szCs w:val="24"/>
          <w:vertAlign w:val="superscript"/>
        </w:rPr>
        <w:t>22</w:t>
      </w:r>
      <w:r w:rsidR="007F79CC">
        <w:rPr>
          <w:rFonts w:ascii="Times New Roman" w:hAnsi="Times New Roman" w:cs="Times New Roman"/>
          <w:sz w:val="24"/>
          <w:szCs w:val="24"/>
        </w:rPr>
        <w:fldChar w:fldCharType="end"/>
      </w:r>
      <w:r>
        <w:rPr>
          <w:rFonts w:ascii="Times New Roman" w:hAnsi="Times New Roman" w:cs="Times New Roman"/>
          <w:sz w:val="24"/>
          <w:szCs w:val="24"/>
        </w:rPr>
        <w:t xml:space="preserve">, we found that </w:t>
      </w:r>
      <w:r w:rsidR="007021B7">
        <w:rPr>
          <w:rFonts w:ascii="Times New Roman" w:hAnsi="Times New Roman" w:cs="Times New Roman"/>
          <w:sz w:val="24"/>
          <w:szCs w:val="24"/>
        </w:rPr>
        <w:t xml:space="preserve">the highly constrained positions have some of the most occurrences of clinically-relevant </w:t>
      </w:r>
      <w:r w:rsidR="00654D33">
        <w:rPr>
          <w:rFonts w:ascii="Times New Roman" w:hAnsi="Times New Roman" w:cs="Times New Roman"/>
          <w:sz w:val="24"/>
          <w:szCs w:val="24"/>
        </w:rPr>
        <w:t>or</w:t>
      </w:r>
      <w:r w:rsidR="007021B7">
        <w:rPr>
          <w:rFonts w:ascii="Times New Roman" w:hAnsi="Times New Roman" w:cs="Times New Roman"/>
          <w:sz w:val="24"/>
          <w:szCs w:val="24"/>
        </w:rPr>
        <w:t xml:space="preserve"> disease-related mutations along the TPR motif-MSA profile, including the highest two at positions 6 and 7 (</w:t>
      </w:r>
      <w:r w:rsidR="007021B7" w:rsidRPr="007021B7">
        <w:rPr>
          <w:rFonts w:ascii="Times New Roman" w:hAnsi="Times New Roman" w:cs="Times New Roman"/>
          <w:color w:val="FF0000"/>
          <w:sz w:val="24"/>
          <w:szCs w:val="24"/>
        </w:rPr>
        <w:t>Figure 4b</w:t>
      </w:r>
      <w:r w:rsidR="007021B7">
        <w:rPr>
          <w:rFonts w:ascii="Times New Roman" w:hAnsi="Times New Roman" w:cs="Times New Roman"/>
          <w:sz w:val="24"/>
          <w:szCs w:val="24"/>
        </w:rPr>
        <w:t>). In fact, mechanistic studies of a number of these mutations show that the occurrence of certain NS mutations on these positions give rise to diseases precisely as a result of ablation of protein-protein interactions. For example, on position 8</w:t>
      </w:r>
      <w:r w:rsidR="00AC4A1E">
        <w:rPr>
          <w:rFonts w:ascii="Times New Roman" w:hAnsi="Times New Roman" w:cs="Times New Roman"/>
          <w:sz w:val="24"/>
          <w:szCs w:val="24"/>
        </w:rPr>
        <w:t xml:space="preserve"> of the TPR motif</w:t>
      </w:r>
      <w:r w:rsidR="007021B7">
        <w:rPr>
          <w:rFonts w:ascii="Times New Roman" w:hAnsi="Times New Roman" w:cs="Times New Roman"/>
          <w:sz w:val="24"/>
          <w:szCs w:val="24"/>
        </w:rPr>
        <w:t xml:space="preserve">, </w:t>
      </w:r>
      <w:r w:rsidR="00EA1356">
        <w:rPr>
          <w:rFonts w:ascii="Times New Roman" w:hAnsi="Times New Roman" w:cs="Times New Roman"/>
          <w:sz w:val="24"/>
          <w:szCs w:val="24"/>
        </w:rPr>
        <w:t>a</w:t>
      </w:r>
      <w:r w:rsidR="00E16DCF">
        <w:rPr>
          <w:rFonts w:ascii="Times New Roman" w:hAnsi="Times New Roman" w:cs="Times New Roman"/>
          <w:sz w:val="24"/>
          <w:szCs w:val="24"/>
        </w:rPr>
        <w:t>n</w:t>
      </w:r>
      <w:r w:rsidR="00EA1356">
        <w:rPr>
          <w:rFonts w:ascii="Times New Roman" w:hAnsi="Times New Roman" w:cs="Times New Roman"/>
          <w:sz w:val="24"/>
          <w:szCs w:val="24"/>
        </w:rPr>
        <w:t xml:space="preserve"> NS mutation, A128V, on the protein p67phox</w:t>
      </w:r>
      <w:r w:rsidR="00AC4A1E">
        <w:rPr>
          <w:rFonts w:ascii="Times New Roman" w:hAnsi="Times New Roman" w:cs="Times New Roman"/>
          <w:sz w:val="24"/>
          <w:szCs w:val="24"/>
        </w:rPr>
        <w:t xml:space="preserve"> (neutrophil cytosolic factor 2)</w:t>
      </w:r>
      <w:r w:rsidR="00EA1356">
        <w:rPr>
          <w:rFonts w:ascii="Times New Roman" w:hAnsi="Times New Roman" w:cs="Times New Roman"/>
          <w:sz w:val="24"/>
          <w:szCs w:val="24"/>
        </w:rPr>
        <w:t xml:space="preserve">, which is part of the enzyme complex NADPH oxidase found in neutrophils, disrupts its interaction with a </w:t>
      </w:r>
      <w:r w:rsidR="00AC4A1E">
        <w:rPr>
          <w:rFonts w:ascii="Times New Roman" w:hAnsi="Times New Roman" w:cs="Times New Roman"/>
          <w:sz w:val="24"/>
          <w:szCs w:val="24"/>
        </w:rPr>
        <w:t xml:space="preserve">membrane-bound cytochrome and </w:t>
      </w:r>
      <w:proofErr w:type="spellStart"/>
      <w:r w:rsidR="00EA1356">
        <w:rPr>
          <w:rFonts w:ascii="Times New Roman" w:hAnsi="Times New Roman" w:cs="Times New Roman"/>
          <w:sz w:val="24"/>
          <w:szCs w:val="24"/>
        </w:rPr>
        <w:t>GTPase</w:t>
      </w:r>
      <w:proofErr w:type="spellEnd"/>
      <w:r w:rsidR="00AC4A1E">
        <w:rPr>
          <w:rFonts w:ascii="Times New Roman" w:hAnsi="Times New Roman" w:cs="Times New Roman"/>
          <w:sz w:val="24"/>
          <w:szCs w:val="24"/>
        </w:rPr>
        <w:t xml:space="preserve"> b558</w:t>
      </w:r>
      <w:r w:rsidR="00EA1356">
        <w:rPr>
          <w:rFonts w:ascii="Times New Roman" w:hAnsi="Times New Roman" w:cs="Times New Roman"/>
          <w:sz w:val="24"/>
          <w:szCs w:val="24"/>
        </w:rPr>
        <w:t xml:space="preserve">, thereby </w:t>
      </w:r>
      <w:r w:rsidR="00E16DCF">
        <w:rPr>
          <w:rFonts w:ascii="Times New Roman" w:hAnsi="Times New Roman" w:cs="Times New Roman"/>
          <w:sz w:val="24"/>
          <w:szCs w:val="24"/>
        </w:rPr>
        <w:t>giving rise to</w:t>
      </w:r>
      <w:r w:rsidR="00EA1356">
        <w:rPr>
          <w:rFonts w:ascii="Times New Roman" w:hAnsi="Times New Roman" w:cs="Times New Roman"/>
          <w:sz w:val="24"/>
          <w:szCs w:val="24"/>
        </w:rPr>
        <w:t xml:space="preserve"> </w:t>
      </w:r>
      <w:r w:rsidR="00151B1D">
        <w:rPr>
          <w:rFonts w:ascii="Times New Roman" w:hAnsi="Times New Roman" w:cs="Times New Roman"/>
          <w:sz w:val="24"/>
          <w:szCs w:val="24"/>
        </w:rPr>
        <w:t>an immunodeficiency</w:t>
      </w:r>
      <w:r w:rsidR="00EA1356">
        <w:rPr>
          <w:rFonts w:ascii="Times New Roman" w:hAnsi="Times New Roman" w:cs="Times New Roman"/>
          <w:sz w:val="24"/>
          <w:szCs w:val="24"/>
        </w:rPr>
        <w:t xml:space="preserve"> disease known as chronic granulomatous disease.</w:t>
      </w:r>
      <w:r w:rsidR="00AC4A1E">
        <w:rPr>
          <w:rFonts w:ascii="Times New Roman" w:hAnsi="Times New Roman" w:cs="Times New Roman"/>
          <w:sz w:val="24"/>
          <w:szCs w:val="24"/>
        </w:rPr>
        <w:fldChar w:fldCharType="begin" w:fldLock="1"/>
      </w:r>
      <w:r w:rsidR="00E44585">
        <w:rPr>
          <w:rFonts w:ascii="Times New Roman" w:hAnsi="Times New Roman" w:cs="Times New Roman"/>
          <w:sz w:val="24"/>
          <w:szCs w:val="24"/>
        </w:rPr>
        <w:instrText>ADDIN CSL_CITATION { "citationItems" : [ { "id" : "ITEM-1", "itemData" : { "ISSN" : "0340-6717", "PMID" : "10598813", "abstract" : "Chronic granulomatous disease (CGD) is a rare inherited immunodeficiency disease that leads to severe recurrent infections. CGD is caused by defects in the phagocyte NADPH oxidase, a multiprotein enzyme that reduces oxygen to superoxide, a precursor of microbicidal oxidants. Less than 6% of CGD patients have an autosomal recessive form of the disease caused by mutations in NCF-2. This gene encodes p67-phox, a cytosolic oxidase subunit that associates with membrane-bound flavocytochrome b558 and regulates electron transfer. We studied six patients from five families with p67-phox deficiency and identified seven different mutant alleles. Patients from three of the kindreds were homozygous for their respective mutation, although the parents of only one family were known to be related. Five of the mutations have not previously been identified: (1) a missense mutation (383C--&gt;T) in exon 5, (2) a nonsense mutation (196C--&gt;T) in exon 3, (3) a missense mutation (230G--&gt;A) in exon 3, (4) a nonsense mutation (298C--&gt;T) in exon 4, and (5) a dinucleotide deletion (835-836 AC) from exon 9. Phagocytes from each of the patients analyzed failed to generate a measurable respiratory burst and had no detectable p67-phox protein. Our results further demonstrate that there is great heterogeneity among the mutations in p67-phox-deficient CGD patients, with no evidence for mutational hot-spots or a founder effect. Our data also support the hypothesis that the stability of p67-phox is particularly sensitive to missense mutations that cause amino acid substitutions within its N-terminal domain. In contrast, mutations predicting single amino acid changes elsewhere in the protein generally represent benign polymorphisms.", "author" : [ { "dropping-particle" : "", "family" : "Noack", "given" : "D", "non-dropping-particle" : "", "parse-names" : false, "suffix" : "" }, { "dropping-particle" : "", "family" : "Rae", "given" : "J", "non-dropping-particle" : "", "parse-names" : false, "suffix" : "" }, { "dropping-particle" : "", "family" : "Cross", "given" : "A R", "non-dropping-particle" : "", "parse-names" : false, "suffix" : "" }, { "dropping-particle" : "", "family" : "Mu\u00f1oz", "given" : "J", "non-dropping-particle" : "", "parse-names" : false, "suffix" : "" }, { "dropping-particle" : "", "family" : "Salmen", "given" : "S", "non-dropping-particle" : "", "parse-names" : false, "suffix" : "" }, { "dropping-particle" : "", "family" : "Mendoza", "given" : "J A", "non-dropping-particle" : "", "parse-names" : false, "suffix" : "" }, { "dropping-particle" : "", "family" : "Rossi", "given" : "N", "non-dropping-particle" : "", "parse-names" : false, "suffix" : "" }, { "dropping-particle" : "", "family" : "Curnutte", "given" : "J T", "non-dropping-particle" : "", "parse-names" : false, "suffix" : "" }, { "dropping-particle" : "", "family" : "Heyworth", "given" : "P G", "non-dropping-particle" : "", "parse-names" : false, "suffix" : "" } ], "container-title" : "Human genetics", "id" : "ITEM-1", "issue" : "5", "issued" : { "date-parts" : [ [ "1999", "11" ] ] }, "page" : "460-7", "title" : "Autosomal recessive chronic granulomatous disease caused by novel mutations in NCF-2, the gene encoding the p67-phox component of phagocyte NADPH oxidase.", "type" : "article-journal", "volume" : "105" }, "uris" : [ "http://www.mendeley.com/documents/?uuid=e91b4724-8f2f-4477-8b2a-76d66d38dfd3" ] } ], "mendeley" : { "formattedCitation" : "&lt;sup&gt;23&lt;/sup&gt;", "plainTextFormattedCitation" : "23", "previouslyFormattedCitation" : "&lt;sup&gt;23&lt;/sup&gt;" }, "properties" : { "noteIndex" : 0 }, "schema" : "https://github.com/citation-style-language/schema/raw/master/csl-citation.json" }</w:instrText>
      </w:r>
      <w:r w:rsidR="00AC4A1E">
        <w:rPr>
          <w:rFonts w:ascii="Times New Roman" w:hAnsi="Times New Roman" w:cs="Times New Roman"/>
          <w:sz w:val="24"/>
          <w:szCs w:val="24"/>
        </w:rPr>
        <w:fldChar w:fldCharType="separate"/>
      </w:r>
      <w:r w:rsidR="007F79CC" w:rsidRPr="007F79CC">
        <w:rPr>
          <w:rFonts w:ascii="Times New Roman" w:hAnsi="Times New Roman" w:cs="Times New Roman"/>
          <w:noProof/>
          <w:sz w:val="24"/>
          <w:szCs w:val="24"/>
          <w:vertAlign w:val="superscript"/>
        </w:rPr>
        <w:t>23</w:t>
      </w:r>
      <w:r w:rsidR="00AC4A1E">
        <w:rPr>
          <w:rFonts w:ascii="Times New Roman" w:hAnsi="Times New Roman" w:cs="Times New Roman"/>
          <w:sz w:val="24"/>
          <w:szCs w:val="24"/>
        </w:rPr>
        <w:fldChar w:fldCharType="end"/>
      </w:r>
      <w:r w:rsidR="00AC4A1E">
        <w:rPr>
          <w:rFonts w:ascii="Times New Roman" w:hAnsi="Times New Roman" w:cs="Times New Roman"/>
          <w:sz w:val="24"/>
          <w:szCs w:val="24"/>
        </w:rPr>
        <w:t xml:space="preserve"> A</w:t>
      </w:r>
      <w:r w:rsidR="00E16DCF">
        <w:rPr>
          <w:rFonts w:ascii="Times New Roman" w:hAnsi="Times New Roman" w:cs="Times New Roman"/>
          <w:sz w:val="24"/>
          <w:szCs w:val="24"/>
        </w:rPr>
        <w:t>nother</w:t>
      </w:r>
      <w:r w:rsidR="00AC4A1E">
        <w:rPr>
          <w:rFonts w:ascii="Times New Roman" w:hAnsi="Times New Roman" w:cs="Times New Roman"/>
          <w:sz w:val="24"/>
          <w:szCs w:val="24"/>
        </w:rPr>
        <w:t xml:space="preserve"> mutation, A197P, on the seemingly most conserved position </w:t>
      </w:r>
      <w:r w:rsidR="00E16DCF">
        <w:rPr>
          <w:rFonts w:ascii="Times New Roman" w:hAnsi="Times New Roman" w:cs="Times New Roman"/>
          <w:sz w:val="24"/>
          <w:szCs w:val="24"/>
        </w:rPr>
        <w:t xml:space="preserve">20 </w:t>
      </w:r>
      <w:r w:rsidR="00AC4A1E">
        <w:rPr>
          <w:rFonts w:ascii="Times New Roman" w:hAnsi="Times New Roman" w:cs="Times New Roman"/>
          <w:sz w:val="24"/>
          <w:szCs w:val="24"/>
        </w:rPr>
        <w:t xml:space="preserve">along the TPR motif, </w:t>
      </w:r>
      <w:r w:rsidR="00E16DCF">
        <w:rPr>
          <w:rFonts w:ascii="Times New Roman" w:hAnsi="Times New Roman" w:cs="Times New Roman"/>
          <w:sz w:val="24"/>
          <w:szCs w:val="24"/>
        </w:rPr>
        <w:t xml:space="preserve">occurring </w:t>
      </w:r>
      <w:r w:rsidR="00AC4A1E">
        <w:rPr>
          <w:rFonts w:ascii="Times New Roman" w:hAnsi="Times New Roman" w:cs="Times New Roman"/>
          <w:sz w:val="24"/>
          <w:szCs w:val="24"/>
        </w:rPr>
        <w:t>in the protein AIPL1</w:t>
      </w:r>
      <w:r w:rsidR="00CF76D1">
        <w:rPr>
          <w:rFonts w:ascii="Times New Roman" w:hAnsi="Times New Roman" w:cs="Times New Roman"/>
          <w:sz w:val="24"/>
          <w:szCs w:val="24"/>
        </w:rPr>
        <w:t xml:space="preserve"> (aryl hydrocarbon receptor interacting protein-like 1)</w:t>
      </w:r>
      <w:r w:rsidR="00AC4A1E">
        <w:rPr>
          <w:rFonts w:ascii="Times New Roman" w:hAnsi="Times New Roman" w:cs="Times New Roman"/>
          <w:sz w:val="24"/>
          <w:szCs w:val="24"/>
        </w:rPr>
        <w:t xml:space="preserve"> </w:t>
      </w:r>
      <w:r w:rsidR="00135C8D">
        <w:rPr>
          <w:rFonts w:ascii="Times New Roman" w:hAnsi="Times New Roman" w:cs="Times New Roman"/>
          <w:sz w:val="24"/>
          <w:szCs w:val="24"/>
        </w:rPr>
        <w:t xml:space="preserve">results in a loss of </w:t>
      </w:r>
      <w:r w:rsidR="00CF76D1">
        <w:rPr>
          <w:rFonts w:ascii="Times New Roman" w:hAnsi="Times New Roman" w:cs="Times New Roman"/>
          <w:sz w:val="24"/>
          <w:szCs w:val="24"/>
        </w:rPr>
        <w:t xml:space="preserve">interaction with </w:t>
      </w:r>
      <w:proofErr w:type="spellStart"/>
      <w:r w:rsidR="006B3477">
        <w:rPr>
          <w:rFonts w:ascii="Times New Roman" w:hAnsi="Times New Roman" w:cs="Times New Roman"/>
          <w:sz w:val="24"/>
          <w:szCs w:val="24"/>
        </w:rPr>
        <w:t>farnesylated</w:t>
      </w:r>
      <w:proofErr w:type="spellEnd"/>
      <w:r w:rsidR="006B3477">
        <w:rPr>
          <w:rFonts w:ascii="Times New Roman" w:hAnsi="Times New Roman" w:cs="Times New Roman"/>
          <w:sz w:val="24"/>
          <w:szCs w:val="24"/>
        </w:rPr>
        <w:t xml:space="preserve"> proteins</w:t>
      </w:r>
      <w:r w:rsidR="00CF76D1">
        <w:rPr>
          <w:rFonts w:ascii="Times New Roman" w:hAnsi="Times New Roman" w:cs="Times New Roman"/>
          <w:sz w:val="24"/>
          <w:szCs w:val="24"/>
        </w:rPr>
        <w:t xml:space="preserve">, </w:t>
      </w:r>
      <w:r w:rsidR="00135C8D">
        <w:rPr>
          <w:rFonts w:ascii="Times New Roman" w:hAnsi="Times New Roman" w:cs="Times New Roman"/>
          <w:sz w:val="24"/>
          <w:szCs w:val="24"/>
        </w:rPr>
        <w:t xml:space="preserve">due to a compromise in the stability of the TPR domain and AIPL1, </w:t>
      </w:r>
      <w:r w:rsidR="00CF76D1">
        <w:rPr>
          <w:rFonts w:ascii="Times New Roman" w:hAnsi="Times New Roman" w:cs="Times New Roman"/>
          <w:sz w:val="24"/>
          <w:szCs w:val="24"/>
        </w:rPr>
        <w:t xml:space="preserve">thereby </w:t>
      </w:r>
      <w:r w:rsidR="00135C8D">
        <w:rPr>
          <w:rFonts w:ascii="Times New Roman" w:hAnsi="Times New Roman" w:cs="Times New Roman"/>
          <w:sz w:val="24"/>
          <w:szCs w:val="24"/>
        </w:rPr>
        <w:t xml:space="preserve">giving rise to </w:t>
      </w:r>
      <w:r w:rsidR="006B3477">
        <w:rPr>
          <w:rFonts w:ascii="Times New Roman" w:hAnsi="Times New Roman" w:cs="Times New Roman"/>
          <w:sz w:val="24"/>
          <w:szCs w:val="24"/>
        </w:rPr>
        <w:t>retinal dystrophy</w:t>
      </w:r>
      <w:r w:rsidR="006B0F24">
        <w:rPr>
          <w:rFonts w:ascii="Times New Roman" w:hAnsi="Times New Roman" w:cs="Times New Roman"/>
          <w:sz w:val="24"/>
          <w:szCs w:val="24"/>
        </w:rPr>
        <w:t xml:space="preserve"> and blindness</w:t>
      </w:r>
      <w:r w:rsidR="00CF76D1">
        <w:rPr>
          <w:rFonts w:ascii="Times New Roman" w:hAnsi="Times New Roman" w:cs="Times New Roman"/>
          <w:sz w:val="24"/>
          <w:szCs w:val="24"/>
        </w:rPr>
        <w:t>.</w:t>
      </w:r>
      <w:r w:rsidR="00DD5C35">
        <w:rPr>
          <w:rFonts w:ascii="Times New Roman" w:hAnsi="Times New Roman" w:cs="Times New Roman"/>
          <w:sz w:val="24"/>
          <w:szCs w:val="24"/>
        </w:rPr>
        <w:t xml:space="preserve"> </w:t>
      </w:r>
      <w:r w:rsidR="0068524B">
        <w:rPr>
          <w:rFonts w:ascii="Times New Roman" w:hAnsi="Times New Roman" w:cs="Times New Roman"/>
          <w:sz w:val="24"/>
          <w:szCs w:val="24"/>
        </w:rPr>
        <w:t xml:space="preserve">It is </w:t>
      </w:r>
      <w:r w:rsidR="00230D61">
        <w:rPr>
          <w:rFonts w:ascii="Times New Roman" w:hAnsi="Times New Roman" w:cs="Times New Roman"/>
          <w:sz w:val="24"/>
          <w:szCs w:val="24"/>
        </w:rPr>
        <w:t xml:space="preserve">perhaps </w:t>
      </w:r>
      <w:r w:rsidR="0068524B">
        <w:rPr>
          <w:rFonts w:ascii="Times New Roman" w:hAnsi="Times New Roman" w:cs="Times New Roman"/>
          <w:sz w:val="24"/>
          <w:szCs w:val="24"/>
        </w:rPr>
        <w:t xml:space="preserve">worth mentioning </w:t>
      </w:r>
      <w:r w:rsidR="00DD5C35">
        <w:rPr>
          <w:rFonts w:ascii="Times New Roman" w:hAnsi="Times New Roman" w:cs="Times New Roman"/>
          <w:sz w:val="24"/>
          <w:szCs w:val="24"/>
        </w:rPr>
        <w:t xml:space="preserve">that the protein </w:t>
      </w:r>
      <w:r w:rsidR="00230D61" w:rsidRPr="00230D61">
        <w:rPr>
          <w:rFonts w:ascii="Times New Roman" w:hAnsi="Times New Roman" w:cs="Times New Roman"/>
          <w:i/>
          <w:sz w:val="24"/>
          <w:szCs w:val="24"/>
        </w:rPr>
        <w:t>per se</w:t>
      </w:r>
      <w:r w:rsidR="00230D61">
        <w:rPr>
          <w:rFonts w:ascii="Times New Roman" w:hAnsi="Times New Roman" w:cs="Times New Roman"/>
          <w:sz w:val="24"/>
          <w:szCs w:val="24"/>
        </w:rPr>
        <w:t xml:space="preserve"> </w:t>
      </w:r>
      <w:r w:rsidR="00DD5C35">
        <w:rPr>
          <w:rFonts w:ascii="Times New Roman" w:hAnsi="Times New Roman" w:cs="Times New Roman"/>
          <w:sz w:val="24"/>
          <w:szCs w:val="24"/>
        </w:rPr>
        <w:t>is able to fold and only the PPI is lost.</w:t>
      </w:r>
      <w:r w:rsidR="006B3477">
        <w:rPr>
          <w:rFonts w:ascii="Times New Roman" w:hAnsi="Times New Roman" w:cs="Times New Roman"/>
          <w:sz w:val="24"/>
          <w:szCs w:val="24"/>
        </w:rPr>
        <w:fldChar w:fldCharType="begin" w:fldLock="1"/>
      </w:r>
      <w:r w:rsidR="00E44585">
        <w:rPr>
          <w:rFonts w:ascii="Times New Roman" w:hAnsi="Times New Roman" w:cs="Times New Roman"/>
          <w:sz w:val="24"/>
          <w:szCs w:val="24"/>
        </w:rPr>
        <w:instrText>ADDIN CSL_CITATION { "citationItems" : [ { "id" : "ITEM-1", "itemData" : { "DOI" : "10.1073/pnas.2134194100", "ISSN" : "0027-8424", "PMID" : "14555765", "abstract" : "The most common form of blindness at birth, Leber's congenital amaurosis (LCA), is inherited in an autosomal recessive fashion. Mutations in six different retina-specific genes, including a recently discovered gene, AIPL1, have been linked to LCA in humans. To understand the molecular basis of LCA caused by aryl hydrocarbon receptor-interacting protein-like 1 (AIPL1) mutations, and to elucidate the normal function of AIPL1, we performed a yeast two-hybrid screen using AIPL1 as bait. The screen demonstrated that AIPL1 interacts specifically with farnesylated proteins. Mutations in AIPL1 linked to LCA compromise this activity. These findings suggest that the essential function of AIPL1 within photoreceptors requires interactions with farnesylated proteins. Analysis of isoprenylation in cultured human cells shows that AIPL1 enhances the processing of farnesylated proteins. Based on these findings, we propose that AIPL1 interacts with farnesylated proteins and plays an essential role in processing of farnesylated proteins in retina.", "author" : [ { "dropping-particle" : "", "family" : "Ramamurthy", "given" : "Visvanathan", "non-dropping-particle" : "", "parse-names" : false, "suffix" : "" }, { "dropping-particle" : "", "family" : "Roberts", "given" : "Melanie", "non-dropping-particle" : "", "parse-names" : false, "suffix" : "" }, { "dropping-particle" : "", "family" : "Akker", "given" : "Focco", "non-dropping-particle" : "van den", "parse-names" : false, "suffix" : "" }, { "dropping-particle" : "", "family" : "Niemi", "given" : "Gregory", "non-dropping-particle" : "", "parse-names" : false, "suffix" : "" }, { "dropping-particle" : "", "family" : "Reh", "given" : "T A", "non-dropping-particle" : "", "parse-names" : false, "suffix" : "" }, { "dropping-particle" : "", "family" : "Hurley", "given" : "James B", "non-dropping-particle" : "", "parse-names" : false, "suffix" : "" } ], "container-title" : "Proceedings of the National Academy of Sciences of the United States of America", "id" : "ITEM-1", "issue" : "22", "issued" : { "date-parts" : [ [ "2003", "10", "28" ] ] }, "page" : "12630-5", "title" : "AIPL1, a protein implicated in Leber's congenital amaurosis, interacts with and aids in processing of farnesylated proteins.", "type" : "article-journal", "volume" : "100" }, "uris" : [ "http://www.mendeley.com/documents/?uuid=24cecdf6-905d-46cf-a855-b0b5614fc96a" ] } ], "mendeley" : { "formattedCitation" : "&lt;sup&gt;24&lt;/sup&gt;", "plainTextFormattedCitation" : "24", "previouslyFormattedCitation" : "&lt;sup&gt;24&lt;/sup&gt;" }, "properties" : { "noteIndex" : 0 }, "schema" : "https://github.com/citation-style-language/schema/raw/master/csl-citation.json" }</w:instrText>
      </w:r>
      <w:r w:rsidR="006B3477">
        <w:rPr>
          <w:rFonts w:ascii="Times New Roman" w:hAnsi="Times New Roman" w:cs="Times New Roman"/>
          <w:sz w:val="24"/>
          <w:szCs w:val="24"/>
        </w:rPr>
        <w:fldChar w:fldCharType="separate"/>
      </w:r>
      <w:r w:rsidR="007F79CC" w:rsidRPr="007F79CC">
        <w:rPr>
          <w:rFonts w:ascii="Times New Roman" w:hAnsi="Times New Roman" w:cs="Times New Roman"/>
          <w:noProof/>
          <w:sz w:val="24"/>
          <w:szCs w:val="24"/>
          <w:vertAlign w:val="superscript"/>
        </w:rPr>
        <w:t>24</w:t>
      </w:r>
      <w:r w:rsidR="006B3477">
        <w:rPr>
          <w:rFonts w:ascii="Times New Roman" w:hAnsi="Times New Roman" w:cs="Times New Roman"/>
          <w:sz w:val="24"/>
          <w:szCs w:val="24"/>
        </w:rPr>
        <w:fldChar w:fldCharType="end"/>
      </w:r>
      <w:r w:rsidR="006B3477">
        <w:rPr>
          <w:rFonts w:ascii="Times New Roman" w:hAnsi="Times New Roman" w:cs="Times New Roman"/>
          <w:sz w:val="24"/>
          <w:szCs w:val="24"/>
        </w:rPr>
        <w:t xml:space="preserve"> </w:t>
      </w:r>
      <w:r w:rsidR="0068524B">
        <w:rPr>
          <w:rFonts w:ascii="Times New Roman" w:hAnsi="Times New Roman" w:cs="Times New Roman"/>
          <w:sz w:val="24"/>
          <w:szCs w:val="24"/>
        </w:rPr>
        <w:t xml:space="preserve">On the TPR motif profile, it might also be interesting to note </w:t>
      </w:r>
      <w:r w:rsidR="00654D33">
        <w:rPr>
          <w:rFonts w:ascii="Times New Roman" w:hAnsi="Times New Roman" w:cs="Times New Roman"/>
          <w:sz w:val="24"/>
          <w:szCs w:val="24"/>
        </w:rPr>
        <w:t xml:space="preserve">that position 2, </w:t>
      </w:r>
      <w:r w:rsidR="00230D61">
        <w:rPr>
          <w:rFonts w:ascii="Times New Roman" w:hAnsi="Times New Roman" w:cs="Times New Roman"/>
          <w:sz w:val="24"/>
          <w:szCs w:val="24"/>
        </w:rPr>
        <w:t xml:space="preserve">even though the </w:t>
      </w:r>
      <w:r w:rsidR="00654D33">
        <w:rPr>
          <w:rFonts w:ascii="Times New Roman" w:hAnsi="Times New Roman" w:cs="Times New Roman"/>
          <w:sz w:val="24"/>
          <w:szCs w:val="24"/>
        </w:rPr>
        <w:t>most variable position</w:t>
      </w:r>
      <w:r w:rsidR="00230D61">
        <w:rPr>
          <w:rFonts w:ascii="Times New Roman" w:hAnsi="Times New Roman" w:cs="Times New Roman"/>
          <w:sz w:val="24"/>
          <w:szCs w:val="24"/>
        </w:rPr>
        <w:t>,</w:t>
      </w:r>
      <w:r w:rsidR="00654D33">
        <w:rPr>
          <w:rFonts w:ascii="Times New Roman" w:hAnsi="Times New Roman" w:cs="Times New Roman"/>
          <w:sz w:val="24"/>
          <w:szCs w:val="24"/>
        </w:rPr>
        <w:t xml:space="preserve"> has a comparable number of disease-related variants as the </w:t>
      </w:r>
      <w:r w:rsidR="00230D61">
        <w:rPr>
          <w:rFonts w:ascii="Times New Roman" w:hAnsi="Times New Roman" w:cs="Times New Roman"/>
          <w:sz w:val="24"/>
          <w:szCs w:val="24"/>
        </w:rPr>
        <w:t xml:space="preserve">most </w:t>
      </w:r>
      <w:r w:rsidR="00654D33">
        <w:rPr>
          <w:rFonts w:ascii="Times New Roman" w:hAnsi="Times New Roman" w:cs="Times New Roman"/>
          <w:sz w:val="24"/>
          <w:szCs w:val="24"/>
        </w:rPr>
        <w:t xml:space="preserve">conserved positions 8 </w:t>
      </w:r>
      <w:r w:rsidR="00654D33">
        <w:rPr>
          <w:rFonts w:ascii="Times New Roman" w:hAnsi="Times New Roman" w:cs="Times New Roman"/>
          <w:sz w:val="24"/>
          <w:szCs w:val="24"/>
        </w:rPr>
        <w:lastRenderedPageBreak/>
        <w:t>and 20</w:t>
      </w:r>
      <w:r w:rsidR="00230D61">
        <w:rPr>
          <w:rFonts w:ascii="Times New Roman" w:hAnsi="Times New Roman" w:cs="Times New Roman"/>
          <w:sz w:val="24"/>
          <w:szCs w:val="24"/>
        </w:rPr>
        <w:t xml:space="preserve"> and t</w:t>
      </w:r>
      <w:r w:rsidR="00654D33">
        <w:rPr>
          <w:rFonts w:ascii="Times New Roman" w:hAnsi="Times New Roman" w:cs="Times New Roman"/>
          <w:sz w:val="24"/>
          <w:szCs w:val="24"/>
        </w:rPr>
        <w:t>here is a comparatively fair number of disease-related variants at some of the most variable positions in the TPR motif profile (</w:t>
      </w:r>
      <w:r w:rsidR="00654D33" w:rsidRPr="00654D33">
        <w:rPr>
          <w:rFonts w:ascii="Times New Roman" w:hAnsi="Times New Roman" w:cs="Times New Roman"/>
          <w:color w:val="FF0000"/>
          <w:sz w:val="24"/>
          <w:szCs w:val="24"/>
        </w:rPr>
        <w:t>Figure 4b</w:t>
      </w:r>
      <w:r w:rsidR="00654D33">
        <w:rPr>
          <w:rFonts w:ascii="Times New Roman" w:hAnsi="Times New Roman" w:cs="Times New Roman"/>
          <w:sz w:val="24"/>
          <w:szCs w:val="24"/>
        </w:rPr>
        <w:t xml:space="preserve">). </w:t>
      </w:r>
    </w:p>
    <w:p w:rsidR="00185739" w:rsidRDefault="00185739" w:rsidP="006B37B8">
      <w:pPr>
        <w:spacing w:after="0" w:line="240" w:lineRule="auto"/>
        <w:rPr>
          <w:rFonts w:ascii="Times New Roman" w:hAnsi="Times New Roman" w:cs="Times New Roman"/>
          <w:sz w:val="24"/>
          <w:szCs w:val="24"/>
        </w:rPr>
      </w:pPr>
    </w:p>
    <w:p w:rsidR="00996ABA" w:rsidRDefault="00996ABA" w:rsidP="006B37B8">
      <w:pPr>
        <w:spacing w:after="0" w:line="240" w:lineRule="auto"/>
        <w:rPr>
          <w:rFonts w:ascii="Times New Roman" w:hAnsi="Times New Roman" w:cs="Times New Roman"/>
          <w:b/>
          <w:i/>
          <w:sz w:val="24"/>
          <w:szCs w:val="24"/>
        </w:rPr>
      </w:pPr>
      <w:r>
        <w:rPr>
          <w:rFonts w:ascii="Times New Roman" w:hAnsi="Times New Roman" w:cs="Times New Roman"/>
          <w:b/>
          <w:i/>
          <w:sz w:val="24"/>
          <w:szCs w:val="24"/>
        </w:rPr>
        <w:t>Extending strategy to other repeat and non-repeat PPI domains</w:t>
      </w:r>
    </w:p>
    <w:p w:rsidR="00996ABA" w:rsidRPr="00996ABA" w:rsidRDefault="00996ABA" w:rsidP="006B37B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 demonstrate the generalizability of our approach, we extend the computation of the motif-MSA and selective constraint metrics to </w:t>
      </w:r>
      <w:r w:rsidRPr="0001287D">
        <w:rPr>
          <w:rFonts w:ascii="Times New Roman" w:hAnsi="Times New Roman" w:cs="Times New Roman"/>
          <w:color w:val="FF0000"/>
          <w:sz w:val="24"/>
          <w:szCs w:val="24"/>
        </w:rPr>
        <w:t>1</w:t>
      </w:r>
      <w:r w:rsidR="0001287D" w:rsidRPr="0001287D">
        <w:rPr>
          <w:rFonts w:ascii="Times New Roman" w:hAnsi="Times New Roman" w:cs="Times New Roman"/>
          <w:color w:val="FF0000"/>
          <w:sz w:val="24"/>
          <w:szCs w:val="24"/>
        </w:rPr>
        <w:t>7 repeat and 17</w:t>
      </w:r>
      <w:r w:rsidRPr="0001287D">
        <w:rPr>
          <w:rFonts w:ascii="Times New Roman" w:hAnsi="Times New Roman" w:cs="Times New Roman"/>
          <w:color w:val="FF0000"/>
          <w:sz w:val="24"/>
          <w:szCs w:val="24"/>
        </w:rPr>
        <w:t xml:space="preserve"> non-repeat PPI domains</w:t>
      </w:r>
      <w:r>
        <w:rPr>
          <w:rFonts w:ascii="Times New Roman" w:hAnsi="Times New Roman" w:cs="Times New Roman"/>
          <w:sz w:val="24"/>
          <w:szCs w:val="24"/>
        </w:rPr>
        <w:t xml:space="preserve">. Here, we use the </w:t>
      </w:r>
      <w:r w:rsidRPr="0001287D">
        <w:rPr>
          <w:rFonts w:ascii="Times New Roman" w:hAnsi="Times New Roman" w:cs="Times New Roman"/>
          <w:color w:val="FF0000"/>
          <w:sz w:val="24"/>
          <w:szCs w:val="24"/>
        </w:rPr>
        <w:t>Ankyrin domains</w:t>
      </w:r>
      <w:r>
        <w:rPr>
          <w:rFonts w:ascii="Times New Roman" w:hAnsi="Times New Roman" w:cs="Times New Roman"/>
          <w:sz w:val="24"/>
          <w:szCs w:val="24"/>
        </w:rPr>
        <w:t xml:space="preserve"> as an </w:t>
      </w:r>
      <w:r w:rsidR="0001287D">
        <w:rPr>
          <w:rFonts w:ascii="Times New Roman" w:hAnsi="Times New Roman" w:cs="Times New Roman"/>
          <w:sz w:val="24"/>
          <w:szCs w:val="24"/>
        </w:rPr>
        <w:t xml:space="preserve">additional </w:t>
      </w:r>
      <w:r>
        <w:rPr>
          <w:rFonts w:ascii="Times New Roman" w:hAnsi="Times New Roman" w:cs="Times New Roman"/>
          <w:sz w:val="24"/>
          <w:szCs w:val="24"/>
        </w:rPr>
        <w:t>example (</w:t>
      </w:r>
      <w:r w:rsidRPr="00996ABA">
        <w:rPr>
          <w:rFonts w:ascii="Times New Roman" w:hAnsi="Times New Roman" w:cs="Times New Roman"/>
          <w:color w:val="FF0000"/>
          <w:sz w:val="24"/>
          <w:szCs w:val="24"/>
        </w:rPr>
        <w:t>Supplementary Figure 3</w:t>
      </w:r>
      <w:r>
        <w:rPr>
          <w:rFonts w:ascii="Times New Roman" w:hAnsi="Times New Roman" w:cs="Times New Roman"/>
          <w:sz w:val="24"/>
          <w:szCs w:val="24"/>
        </w:rPr>
        <w:t xml:space="preserve">). To allow researchers to easily identify positions for RPDs </w:t>
      </w:r>
      <w:r w:rsidRPr="0001287D">
        <w:rPr>
          <w:rFonts w:ascii="Times New Roman" w:hAnsi="Times New Roman" w:cs="Times New Roman"/>
          <w:color w:val="FF0000"/>
          <w:sz w:val="24"/>
          <w:szCs w:val="24"/>
        </w:rPr>
        <w:t>and non-RPDs,</w:t>
      </w:r>
      <w:r>
        <w:rPr>
          <w:rFonts w:ascii="Times New Roman" w:hAnsi="Times New Roman" w:cs="Times New Roman"/>
          <w:sz w:val="24"/>
          <w:szCs w:val="24"/>
        </w:rPr>
        <w:t xml:space="preserve"> we provide the residue frequency table</w:t>
      </w:r>
      <w:r w:rsidR="00641B27">
        <w:rPr>
          <w:rFonts w:ascii="Times New Roman" w:hAnsi="Times New Roman" w:cs="Times New Roman"/>
          <w:sz w:val="24"/>
          <w:szCs w:val="24"/>
        </w:rPr>
        <w:t>s</w:t>
      </w:r>
      <w:r>
        <w:rPr>
          <w:rFonts w:ascii="Times New Roman" w:hAnsi="Times New Roman" w:cs="Times New Roman"/>
          <w:sz w:val="24"/>
          <w:szCs w:val="24"/>
        </w:rPr>
        <w:t xml:space="preserve"> </w:t>
      </w:r>
      <w:r w:rsidR="00641B27">
        <w:rPr>
          <w:rFonts w:ascii="Times New Roman" w:hAnsi="Times New Roman" w:cs="Times New Roman"/>
          <w:sz w:val="24"/>
          <w:szCs w:val="24"/>
        </w:rPr>
        <w:t>for their motif-MSA profiles for the most frequent motif size for each domain. Also, we provide the SIFT score distributions</w:t>
      </w:r>
      <w:r w:rsidR="0001287D">
        <w:rPr>
          <w:rFonts w:ascii="Times New Roman" w:hAnsi="Times New Roman" w:cs="Times New Roman"/>
          <w:sz w:val="24"/>
          <w:szCs w:val="24"/>
        </w:rPr>
        <w:t xml:space="preserve">, median SIFT scores, </w:t>
      </w:r>
      <w:proofErr w:type="gramStart"/>
      <w:r w:rsidR="0001287D">
        <w:rPr>
          <w:rFonts w:ascii="Times New Roman" w:hAnsi="Times New Roman" w:cs="Times New Roman"/>
          <w:sz w:val="24"/>
          <w:szCs w:val="24"/>
        </w:rPr>
        <w:t>log(</w:t>
      </w:r>
      <w:proofErr w:type="gramEnd"/>
      <w:r w:rsidR="0001287D">
        <w:rPr>
          <w:rFonts w:ascii="Times New Roman" w:hAnsi="Times New Roman" w:cs="Times New Roman"/>
          <w:sz w:val="24"/>
          <w:szCs w:val="24"/>
        </w:rPr>
        <w:t xml:space="preserve">NS/S), </w:t>
      </w:r>
      <w:r w:rsidR="00641B27">
        <w:rPr>
          <w:rFonts w:ascii="Times New Roman" w:hAnsi="Times New Roman" w:cs="Times New Roman"/>
          <w:sz w:val="24"/>
          <w:szCs w:val="24"/>
        </w:rPr>
        <w:t xml:space="preserve">log(R/C) </w:t>
      </w:r>
      <w:r w:rsidR="0001287D">
        <w:rPr>
          <w:rFonts w:ascii="Times New Roman" w:hAnsi="Times New Roman" w:cs="Times New Roman"/>
          <w:sz w:val="24"/>
          <w:szCs w:val="24"/>
        </w:rPr>
        <w:t>and</w:t>
      </w:r>
      <w:r w:rsidR="0001287D" w:rsidRPr="0001287D">
        <w:rPr>
          <w:rFonts w:ascii="Times New Roman" w:hAnsi="Times New Roman" w:cs="Times New Roman"/>
          <w:color w:val="FF0000"/>
          <w:sz w:val="24"/>
          <w:szCs w:val="24"/>
        </w:rPr>
        <w:t xml:space="preserve"> ∆DAF</w:t>
      </w:r>
      <w:r w:rsidR="0001287D">
        <w:rPr>
          <w:rFonts w:ascii="Times New Roman" w:hAnsi="Times New Roman" w:cs="Times New Roman"/>
          <w:sz w:val="24"/>
          <w:szCs w:val="24"/>
        </w:rPr>
        <w:t xml:space="preserve"> </w:t>
      </w:r>
      <w:r w:rsidR="00641B27">
        <w:rPr>
          <w:rFonts w:ascii="Times New Roman" w:hAnsi="Times New Roman" w:cs="Times New Roman"/>
          <w:sz w:val="24"/>
          <w:szCs w:val="24"/>
        </w:rPr>
        <w:t>values for each position along the motif to allow versatile thresholding</w:t>
      </w:r>
      <w:r w:rsidR="003D6E57">
        <w:rPr>
          <w:rFonts w:ascii="Times New Roman" w:hAnsi="Times New Roman" w:cs="Times New Roman"/>
          <w:sz w:val="24"/>
          <w:szCs w:val="24"/>
        </w:rPr>
        <w:t xml:space="preserve"> by the users</w:t>
      </w:r>
      <w:r w:rsidR="00641B27">
        <w:rPr>
          <w:rFonts w:ascii="Times New Roman" w:hAnsi="Times New Roman" w:cs="Times New Roman"/>
          <w:sz w:val="24"/>
          <w:szCs w:val="24"/>
        </w:rPr>
        <w:t>. W</w:t>
      </w:r>
      <w:r>
        <w:rPr>
          <w:rFonts w:ascii="Times New Roman" w:hAnsi="Times New Roman" w:cs="Times New Roman"/>
          <w:sz w:val="24"/>
          <w:szCs w:val="24"/>
        </w:rPr>
        <w:t>e host these data</w:t>
      </w:r>
      <w:r w:rsidR="006E5449">
        <w:rPr>
          <w:rFonts w:ascii="Times New Roman" w:hAnsi="Times New Roman" w:cs="Times New Roman"/>
          <w:sz w:val="24"/>
          <w:szCs w:val="24"/>
        </w:rPr>
        <w:t xml:space="preserve"> as flat files </w:t>
      </w:r>
      <w:r>
        <w:rPr>
          <w:rFonts w:ascii="Times New Roman" w:hAnsi="Times New Roman" w:cs="Times New Roman"/>
          <w:sz w:val="24"/>
          <w:szCs w:val="24"/>
        </w:rPr>
        <w:t xml:space="preserve">in a publicly available repository, </w:t>
      </w:r>
      <w:proofErr w:type="spellStart"/>
      <w:r w:rsidRPr="0001287D">
        <w:rPr>
          <w:rFonts w:ascii="Times New Roman" w:hAnsi="Times New Roman" w:cs="Times New Roman"/>
          <w:i/>
          <w:sz w:val="24"/>
          <w:szCs w:val="24"/>
        </w:rPr>
        <w:t>MotifVar</w:t>
      </w:r>
      <w:proofErr w:type="spellEnd"/>
      <w:r>
        <w:rPr>
          <w:rFonts w:ascii="Times New Roman" w:hAnsi="Times New Roman" w:cs="Times New Roman"/>
          <w:sz w:val="24"/>
          <w:szCs w:val="24"/>
        </w:rPr>
        <w:t xml:space="preserve"> (motifvar.gersteinlab.org). </w:t>
      </w:r>
    </w:p>
    <w:p w:rsidR="00996ABA" w:rsidRDefault="00996ABA" w:rsidP="006B37B8">
      <w:pPr>
        <w:spacing w:after="0" w:line="240" w:lineRule="auto"/>
        <w:rPr>
          <w:rFonts w:ascii="Times New Roman" w:hAnsi="Times New Roman" w:cs="Times New Roman"/>
          <w:sz w:val="24"/>
          <w:szCs w:val="24"/>
        </w:rPr>
      </w:pPr>
    </w:p>
    <w:p w:rsidR="00876685" w:rsidRDefault="00876685" w:rsidP="006B37B8">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Discussion</w:t>
      </w:r>
    </w:p>
    <w:p w:rsidR="00C50CD4" w:rsidRDefault="00162F84" w:rsidP="0081182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decades, </w:t>
      </w:r>
      <w:r w:rsidR="00E44585">
        <w:rPr>
          <w:rFonts w:ascii="Times New Roman" w:hAnsi="Times New Roman" w:cs="Times New Roman"/>
          <w:sz w:val="24"/>
          <w:szCs w:val="24"/>
        </w:rPr>
        <w:t xml:space="preserve">focus in </w:t>
      </w:r>
      <w:r w:rsidR="00616EA2">
        <w:rPr>
          <w:rFonts w:ascii="Times New Roman" w:hAnsi="Times New Roman" w:cs="Times New Roman"/>
          <w:sz w:val="24"/>
          <w:szCs w:val="24"/>
        </w:rPr>
        <w:t xml:space="preserve">research on </w:t>
      </w:r>
      <w:r>
        <w:rPr>
          <w:rFonts w:ascii="Times New Roman" w:hAnsi="Times New Roman" w:cs="Times New Roman"/>
          <w:sz w:val="24"/>
          <w:szCs w:val="24"/>
        </w:rPr>
        <w:t xml:space="preserve">PPI has typically been </w:t>
      </w:r>
      <w:r w:rsidR="00616EA2">
        <w:rPr>
          <w:rFonts w:ascii="Times New Roman" w:hAnsi="Times New Roman" w:cs="Times New Roman"/>
          <w:sz w:val="24"/>
          <w:szCs w:val="24"/>
        </w:rPr>
        <w:t xml:space="preserve">the investigation of protein </w:t>
      </w:r>
      <w:r w:rsidR="0004319A">
        <w:rPr>
          <w:rFonts w:ascii="Times New Roman" w:hAnsi="Times New Roman" w:cs="Times New Roman"/>
          <w:sz w:val="24"/>
          <w:szCs w:val="24"/>
        </w:rPr>
        <w:t xml:space="preserve">interfaces </w:t>
      </w:r>
      <w:r w:rsidR="00616EA2">
        <w:rPr>
          <w:rFonts w:ascii="Times New Roman" w:hAnsi="Times New Roman" w:cs="Times New Roman"/>
          <w:sz w:val="24"/>
          <w:szCs w:val="24"/>
        </w:rPr>
        <w:t xml:space="preserve">that directly take part in the protein interaction. </w:t>
      </w:r>
      <w:r w:rsidR="0004319A">
        <w:rPr>
          <w:rFonts w:ascii="Times New Roman" w:hAnsi="Times New Roman" w:cs="Times New Roman"/>
          <w:sz w:val="24"/>
          <w:szCs w:val="24"/>
        </w:rPr>
        <w:t>Historically, m</w:t>
      </w:r>
      <w:r w:rsidR="00616EA2">
        <w:rPr>
          <w:rFonts w:ascii="Times New Roman" w:hAnsi="Times New Roman" w:cs="Times New Roman"/>
          <w:sz w:val="24"/>
          <w:szCs w:val="24"/>
        </w:rPr>
        <w:t>ost studies involved the use of 3D protein structures, for instance, to identify protein-protein interfaces,</w:t>
      </w:r>
      <w:r w:rsidR="002A1634">
        <w:rPr>
          <w:rFonts w:ascii="Times New Roman" w:hAnsi="Times New Roman" w:cs="Times New Roman"/>
          <w:sz w:val="24"/>
          <w:szCs w:val="24"/>
        </w:rPr>
        <w:fldChar w:fldCharType="begin" w:fldLock="1"/>
      </w:r>
      <w:r w:rsidR="002A1634">
        <w:rPr>
          <w:rFonts w:ascii="Times New Roman" w:hAnsi="Times New Roman" w:cs="Times New Roman"/>
          <w:sz w:val="24"/>
          <w:szCs w:val="24"/>
        </w:rPr>
        <w:instrText>ADDIN CSL_CITATION { "citationItems" : [ { "id" : "ITEM-1", "itemData" : { "DOI" : "10.1006/jmbi.2001.5034", "ISSN" : "0022-2836", "PMID" : "11800565", "abstract" : "Some crystal contacts are biologically relevant, most are not. We assess the utility of combining measures of size and conservation to discriminate between biological and non-biological contacts. Conservation and size information is calculated for crystal contacts in 53 families of homodimers and 65 families of monomers. Biological contacts are shown to be usually conserved and typically the largest contact in the crystal. A range of neural networks accepting different combinations and encodings of this information is used to answer the following questions: (1) is a given crystal contact biological, and (2) given all crystal contacts in a homodimer, which is the biological one? Predictions for (1) are performed on both homodimer and monomer datasets. The best performing neural network combined size and conservation inputs. For the homodimers, it correctly classified 48 out of 53 biological contacts and 364 out of 366 non-biological contacts, giving a combined accuracy of 98.3 %. A more robust performance statistic, the phi-coefficient, which accounts for imbalances in the dataset, gave a value of 0.92. Taking all 535 non-biological contacts from the 65 monomers, this predictor made erroneous classifications only 4.3 % of the time. Predictions for (2) were performed on homodimers only. The best performing network achieved a prediction accuracy of 98.1 % using size information alone. We conclude that in answering question (1) size and conservation combined discriminate biological from non-biological contacts better than either measure alone. For answering question (2), we conclude that in our dataset size is so powerful a discriminant that conservation adds little predictive benefit.", "author" : [ { "dropping-particle" : "", "family" : "Valdar", "given" : "W S", "non-dropping-particle" : "", "parse-names" : false, "suffix" : "" }, { "dropping-particle" : "", "family" : "Thornton", "given" : "J M", "non-dropping-particle" : "", "parse-names" : false, "suffix" : "" } ], "container-title" : "Journal of molecular biology", "id" : "ITEM-1", "issue" : "2", "issued" : { "date-parts" : [ [ "2001", "10", "19" ] ] }, "page" : "399-416", "title" : "Conservation helps to identify biologically relevant crystal contacts.", "type" : "article-journal", "volume" : "313" }, "uris" : [ "http://www.mendeley.com/documents/?uuid=615eb020-68a3-4180-97eb-3fc18535eebb" ] }, { "id" : "ITEM-2", "itemData" : { "DOI" : "10.1038/nature11503", "ISSN" : "1476-4687", "PMID" : "23023127", "abstract" : "The genome-wide identification of pairs of interacting proteins is an important step in the elucidation of cell regulatory mechanisms. Much of our present knowledge derives from high-throughput techniques such as the yeast two-hybrid assay and affinity purification, as well as from manual curation of experiments on individual systems. A variety of computational approaches based, for example, on sequence homology, gene co-expression and phylogenetic profiles, have also been developed for the genome-wide inference of protein-protein interactions (PPIs). Yet comparative studies suggest that the development of accurate and complete repertoires of PPIs is still in its early stages. Here we show that three-dimensional structural information can be used to predict PPIs with an accuracy and coverage that are superior to predictions based on non-structural evidence. Moreover, an algorithm, termed PrePPI, which combines structural information with other functional clues, is comparable in accuracy to high-throughput experiments, yielding over 30,000 high-confidence interactions for yeast and over 300,000 for human. Experimental tests of a number of predictions demonstrate the ability of the PrePPI algorithm to identify unexpected PPIs of considerable biological interest. The surprising effectiveness of three-dimensional structural information can be attributed to the use of homology models combined with the exploitation of both close and remote geometric relationships between proteins.", "author" : [ { "dropping-particle" : "", "family" : "Zhang", "given" : "Qiangfeng Cliff", "non-dropping-particle" : "", "parse-names" : false, "suffix" : "" }, { "dropping-particle" : "", "family" : "Petrey", "given" : "Donald", "non-dropping-particle" : "", "parse-names" : false, "suffix" : "" }, { "dropping-particle" : "", "family" : "Deng", "given" : "Lei", "non-dropping-particle" : "", "parse-names" : false, "suffix" : "" }, { "dropping-particle" : "", "family" : "Qiang", "given" : "Li", "non-dropping-particle" : "", "parse-names" : false, "suffix" : "" }, { "dropping-particle" : "", "family" : "Shi", "given" : "Yu", "non-dropping-particle" : "", "parse-names" : false, "suffix" : "" }, { "dropping-particle" : "", "family" : "Thu", "given" : "Chan Aye", "non-dropping-particle" : "", "parse-names" : false, "suffix" : "" }, { "dropping-particle" : "", "family" : "Bisikirska", "given" : "Brygida", "non-dropping-particle" : "", "parse-names" : false, "suffix" : "" }, { "dropping-particle" : "", "family" : "Lefebvre", "given" : "Celine", "non-dropping-particle" : "", "parse-names" : false, "suffix" : "" }, { "dropping-particle" : "", "family" : "Accili", "given" : "Domenico", "non-dropping-particle" : "", "parse-names" : false, "suffix" : "" }, { "dropping-particle" : "", "family" : "Hunter", "given" : "Tony", "non-dropping-particle" : "", "parse-names" : false, "suffix" : "" }, { "dropping-particle" : "", "family" : "Maniatis", "given" : "Tom", "non-dropping-particle" : "", "parse-names" : false, "suffix" : "" }, { "dropping-particle" : "", "family" : "Califano", "given" : "Andrea", "non-dropping-particle" : "", "parse-names" : false, "suffix" : "" }, { "dropping-particle" : "", "family" : "Honig", "given" : "Barry", "non-dropping-particle" : "", "parse-names" : false, "suffix" : "" } ], "container-title" : "Nature", "id" : "ITEM-2", "issue" : "7421", "issued" : { "date-parts" : [ [ "2012", "10", "25" ] ] }, "page" : "556-60", "title" : "Structure-based prediction of protein-protein interactions on a genome-wide scale.", "type" : "article-journal", "volume" : "490" }, "uris" : [ "http://www.mendeley.com/documents/?uuid=f5826ae8-5d20-478a-81e8-1891edd6d434" ] } ], "mendeley" : { "formattedCitation" : "&lt;sup&gt;25,26&lt;/sup&gt;", "plainTextFormattedCitation" : "25,26", "previouslyFormattedCitation" : "&lt;sup&gt;25,26&lt;/sup&gt;" }, "properties" : { "noteIndex" : 0 }, "schema" : "https://github.com/citation-style-language/schema/raw/master/csl-citation.json" }</w:instrText>
      </w:r>
      <w:r w:rsidR="002A1634">
        <w:rPr>
          <w:rFonts w:ascii="Times New Roman" w:hAnsi="Times New Roman" w:cs="Times New Roman"/>
          <w:sz w:val="24"/>
          <w:szCs w:val="24"/>
        </w:rPr>
        <w:fldChar w:fldCharType="separate"/>
      </w:r>
      <w:r w:rsidR="002A1634" w:rsidRPr="002A1634">
        <w:rPr>
          <w:rFonts w:ascii="Times New Roman" w:hAnsi="Times New Roman" w:cs="Times New Roman"/>
          <w:noProof/>
          <w:sz w:val="24"/>
          <w:szCs w:val="24"/>
          <w:vertAlign w:val="superscript"/>
        </w:rPr>
        <w:t>25,26</w:t>
      </w:r>
      <w:r w:rsidR="002A1634">
        <w:rPr>
          <w:rFonts w:ascii="Times New Roman" w:hAnsi="Times New Roman" w:cs="Times New Roman"/>
          <w:sz w:val="24"/>
          <w:szCs w:val="24"/>
        </w:rPr>
        <w:fldChar w:fldCharType="end"/>
      </w:r>
      <w:r w:rsidR="00616EA2">
        <w:rPr>
          <w:rFonts w:ascii="Times New Roman" w:hAnsi="Times New Roman" w:cs="Times New Roman"/>
          <w:sz w:val="24"/>
          <w:szCs w:val="24"/>
        </w:rPr>
        <w:t xml:space="preserve"> investigate</w:t>
      </w:r>
      <w:r w:rsidR="006A1568">
        <w:rPr>
          <w:rFonts w:ascii="Times New Roman" w:hAnsi="Times New Roman" w:cs="Times New Roman"/>
          <w:sz w:val="24"/>
          <w:szCs w:val="24"/>
        </w:rPr>
        <w:t xml:space="preserve"> interfacial properties</w:t>
      </w:r>
      <w:r w:rsidR="0004319A">
        <w:rPr>
          <w:rFonts w:ascii="Times New Roman" w:hAnsi="Times New Roman" w:cs="Times New Roman"/>
          <w:sz w:val="24"/>
          <w:szCs w:val="24"/>
        </w:rPr>
        <w:fldChar w:fldCharType="begin" w:fldLock="1"/>
      </w:r>
      <w:r w:rsidR="002A1634">
        <w:rPr>
          <w:rFonts w:ascii="Times New Roman" w:hAnsi="Times New Roman" w:cs="Times New Roman"/>
          <w:sz w:val="24"/>
          <w:szCs w:val="24"/>
        </w:rPr>
        <w:instrText>ADDIN CSL_CITATION { "citationItems" : [ { "id" : "ITEM-1", "itemData" : { "DOI" : "10.1002/pro.2230", "ISSN" : "1469-896X", "PMID" : "23389845", "abstract" : "Protein-protein interactions play key roles in many cellular processes and their affinities and specificities are finely tuned to the functions they perform. Here, we present a study on the relationship between binding affinity and the size and chemical nature of protein-protein interfaces. Our analysis focuses on heterodimers and includes curated structural and thermodynamic data for 113 complexes. We observe a direct correlation between binding affinity and the amount of surface area buried at the interface. For a given amount of surface area buried, the binding affinity spans four orders of magnitude in terms of the dissociation constant (Kd ). Across the entire dataset, we observe no obvious relationship between binding affinity and the chemical composition of the interface. We also calculate the free energy per unit surface area buried, or \"surface energy density,\" of each heterodimer. For interfacial surface areas between 500 and 2000 \u00c5(2) , the surface energy density decreases as the buried surface area increases. As the buried surface area increases beyond about 2000 \u00c5(2) , the surface energy density levels off to a constant value. We believe that these analyses and data will be useful for researchers with an interest in understanding, designing or inhibiting protein-protein interfaces.", "author" : [ { "dropping-particle" : "", "family" : "Chen", "given" : "Jieming", "non-dropping-particle" : "", "parse-names" : false, "suffix" : "" }, { "dropping-particle" : "", "family" : "Sawyer", "given" : "Nicholas", "non-dropping-particle" : "", "parse-names" : false, "suffix" : "" }, { "dropping-particle" : "", "family" : "Regan", "given" : "Lynne", "non-dropping-particle" : "", "parse-names" : false, "suffix" : "" } ], "container-title" : "Protein science : a publication of the Protein Society", "id" : "ITEM-1", "issue" : "4", "issued" : { "date-parts" : [ [ "2013", "4" ] ] }, "page" : "510-5", "title" : "Protein-protein interactions: general trends in the relationship between binding affinity and interfacial buried surface area.", "type" : "article-journal", "volume" : "22" }, "uris" : [ "http://www.mendeley.com/documents/?uuid=d7efc8b9-56c2-47c3-930d-fb9f4de7d933" ] }, { "id" : "ITEM-2", "itemData" : { "ISSN" : "0887-3585", "PMID" : "11093265", "abstract" : "Evolutionary information derived from the large number of available protein sequences and structures could powerfully guide both analysis and prediction of protein-protein interfaces. To test the relevance of this information, we assess the conservation of residues at protein-protein interfaces compared with other residues on the protein surface. Six homodimer families are analyzed: alkaline phosphatase, enolase, glutathione S-transferase, copper-zinc superoxide dismutase, Streptomyces subtilisin inhibitor, and triose phosphate isomerase. For each family, random simulation is used to calculate the probability (P value) that the level of conservation observed at the interface occurred by chance. The results show that interface conservation is higher than expected by chance and usually statistically significant at the 5% level or better. The effect on the P values of using different definitions of the interface and of excluding active site residues is discussed.", "author" : [ { "dropping-particle" : "", "family" : "Valdar", "given" : "W S", "non-dropping-particle" : "", "parse-names" : false, "suffix" : "" }, { "dropping-particle" : "", "family" : "Thornton", "given" : "J M", "non-dropping-particle" : "", "parse-names" : false, "suffix" : "" } ], "container-title" : "Proteins", "id" : "ITEM-2", "issue" : "1", "issued" : { "date-parts" : [ [ "2001", "1", "1" ] ] }, "page" : "108-24", "title" : "Protein-protein interfaces: analysis of amino acid conservation in homodimers.", "type" : "article-journal", "volume" : "42" }, "uris" : [ "http://www.mendeley.com/documents/?uuid=03dd7d5d-352b-4fc3-9bf1-267a20556cef" ] } ], "mendeley" : { "formattedCitation" : "&lt;sup&gt;27,28&lt;/sup&gt;", "plainTextFormattedCitation" : "27,28", "previouslyFormattedCitation" : "&lt;sup&gt;27,28&lt;/sup&gt;" }, "properties" : { "noteIndex" : 0 }, "schema" : "https://github.com/citation-style-language/schema/raw/master/csl-citation.json" }</w:instrText>
      </w:r>
      <w:r w:rsidR="0004319A">
        <w:rPr>
          <w:rFonts w:ascii="Times New Roman" w:hAnsi="Times New Roman" w:cs="Times New Roman"/>
          <w:sz w:val="24"/>
          <w:szCs w:val="24"/>
        </w:rPr>
        <w:fldChar w:fldCharType="separate"/>
      </w:r>
      <w:r w:rsidR="0004319A" w:rsidRPr="0004319A">
        <w:rPr>
          <w:rFonts w:ascii="Times New Roman" w:hAnsi="Times New Roman" w:cs="Times New Roman"/>
          <w:noProof/>
          <w:sz w:val="24"/>
          <w:szCs w:val="24"/>
          <w:vertAlign w:val="superscript"/>
        </w:rPr>
        <w:t>27,28</w:t>
      </w:r>
      <w:r w:rsidR="0004319A">
        <w:rPr>
          <w:rFonts w:ascii="Times New Roman" w:hAnsi="Times New Roman" w:cs="Times New Roman"/>
          <w:sz w:val="24"/>
          <w:szCs w:val="24"/>
        </w:rPr>
        <w:fldChar w:fldCharType="end"/>
      </w:r>
      <w:r w:rsidR="00616EA2">
        <w:rPr>
          <w:rFonts w:ascii="Times New Roman" w:hAnsi="Times New Roman" w:cs="Times New Roman"/>
          <w:sz w:val="24"/>
          <w:szCs w:val="24"/>
        </w:rPr>
        <w:t xml:space="preserve"> or to predict interacting ‘hotspots’</w:t>
      </w:r>
      <w:r w:rsidR="0004319A">
        <w:rPr>
          <w:rFonts w:ascii="Times New Roman" w:hAnsi="Times New Roman" w:cs="Times New Roman"/>
          <w:sz w:val="24"/>
          <w:szCs w:val="24"/>
        </w:rPr>
        <w:fldChar w:fldCharType="begin" w:fldLock="1"/>
      </w:r>
      <w:r w:rsidR="002A1634">
        <w:rPr>
          <w:rFonts w:ascii="Times New Roman" w:hAnsi="Times New Roman" w:cs="Times New Roman"/>
          <w:sz w:val="24"/>
          <w:szCs w:val="24"/>
        </w:rPr>
        <w:instrText>ADDIN CSL_CITATION { "citationItems" : [ { "id" : "ITEM-1", "itemData" : { "DOI" : "10.1093/bib/bbp001", "ISSN" : "1477-4054", "PMID" : "19240123", "abstract" : "The unanimous agreement that cellular processes are (largely) governed by interactions between proteins has led to enormous community efforts culminating in overwhelming information relating to these proteins; to the regulation of their interactions, to the way in which they interact and to the function which is determined by these interactions. These data have been organized in databases and servers. However, to make these really useful, it is essential not only to be aware of these, but in particular to have a working knowledge of which tools to use for a given problem; what are the tool advantages and drawbacks; and no less important how to combine these for a particular goal since usually it is not one tool, but some combination of tool-modules that is needed. This is the goal of this review.", "author" : [ { "dropping-particle" : "", "family" : "Tuncbag", "given" : "Nurcan", "non-dropping-particle" : "", "parse-names" : false, "suffix" : "" }, { "dropping-particle" : "", "family" : "Kar", "given" : "Gozde", "non-dropping-particle" : "", "parse-names" : false, "suffix" : "" }, { "dropping-particle" : "", "family" : "Keskin", "given" : "Ozlem", "non-dropping-particle" : "", "parse-names" : false, "suffix" : "" }, { "dropping-particle" : "", "family" : "Gursoy", "given" : "Attila", "non-dropping-particle" : "", "parse-names" : false, "suffix" : "" }, { "dropping-particle" : "", "family" : "Nussinov", "given" : "Ruth", "non-dropping-particle" : "", "parse-names" : false, "suffix" : "" } ], "container-title" : "Briefings in bioinformatics", "id" : "ITEM-1", "issue" : "3", "issued" : { "date-parts" : [ [ "2009", "5" ] ] }, "page" : "217-32", "title" : "A survey of available tools and web servers for analysis of protein-protein interactions and interfaces.", "type" : "article-journal", "volume" : "10" }, "uris" : [ "http://www.mendeley.com/documents/?uuid=fd5d7a06-5c0d-40d0-a16b-d041d11c07c0" ] }, { "id" : "ITEM-2", "itemData" : { "DOI" : "10.1002/prot.21396", "ISSN" : "1097-0134", "PMID" : "17546660", "abstract" : "Proteins tendency to bind to one another in a highly specific manner forming stable complexes is fundamental to all biological processes. A better understanding of complex formation has many practical applications, which include the rational design of new therapeutic agents, and the analysis of metabolic and signal transduction networks. Alanine-scanning mutagenesis made possible the detection of the functional epitopes, and demonstrated that most of the protein-protein binding energy is related only to a group of few amino acids at intermolecular protein interfaces: the hot spots. The scope of this review is to summarize all the available information regarding hot spots for a better atomic understanding of their structure and function. The ultimate objective is to improve the rational design of complexes of high affinity and specificity as well as that of small molecules, which can mimic the functional epitopes of the proteic complexes.", "author" : [ { "dropping-particle" : "", "family" : "Moreira", "given" : "Irina S", "non-dropping-particle" : "", "parse-names" : false, "suffix" : "" }, { "dropping-particle" : "", "family" : "Fernandes", "given" : "Pedro A", "non-dropping-particle" : "", "parse-names" : false, "suffix" : "" }, { "dropping-particle" : "", "family" : "Ramos", "given" : "Maria J", "non-dropping-particle" : "", "parse-names" : false, "suffix" : "" } ], "container-title" : "Proteins", "id" : "ITEM-2", "issue" : "4", "issued" : { "date-parts" : [ [ "2007", "9", "1" ] ] }, "page" : "803-12", "title" : "Hot spots--a review of the protein-protein interface determinant amino-acid residues.", "type" : "article-journal", "volume" : "68" }, "uris" : [ "http://www.mendeley.com/documents/?uuid=02cf801e-c4ae-4af1-bf5d-3c55250d40c0" ] }, { "id" : "ITEM-3", "itemData" : { "DOI" : "10.7554/eLife.02030", "ISSN" : "2050-084X", "PMID" : "24842992", "abstract" : "Do the amino acid sequence identities of residues that make contact across protein interfaces covary during evolution? If so, such covariance could be used to predict contacts across interfaces and assemble models of biological complexes. We find that residue pairs identified using a pseudo-likelihood-based method to covary across protein-protein interfaces in the 50S ribosomal unit and 28 additional bacterial protein complexes with known structure are almost always in contact in the complex, provided that the number of aligned sequences is greater than the average length of the two proteins. We use this method to make subunit contact predictions for an additional 36 protein complexes with unknown structures, and present models based on these predictions for the tripartite ATP-independent periplasmic (TRAP) transporter, the tripartite efflux system, the pyruvate formate lyase-activating enzyme complex, and the methionine ABC transporter.DOI: http://dx.doi.org/10.7554/eLife.02030.001.", "author" : [ { "dropping-particle" : "", "family" : "Ovchinnikov", "given" : "Sergey", "non-dropping-particle" : "", "parse-names" : false, "suffix" : "" }, { "dropping-particle" : "", "family" : "Kamisetty", "given" : "Hetunandan", "non-dropping-particle" : "", "parse-names" : false, "suffix" : "" }, { "dropping-particle" : "", "family" : "Baker", "given" : "David", "non-dropping-particle" : "", "parse-names" : false, "suffix" : "" } ], "container-title" : "eLife", "id" : "ITEM-3", "issued" : { "date-parts" : [ [ "2014" ] ] }, "page" : "e02030", "title" : "Robust and accurate prediction of residue-residue interactions across protein interfaces using evolutionary information.", "type" : "article-journal", "volume" : "3" }, "uris" : [ "http://www.mendeley.com/documents/?uuid=b6c09c72-88d1-48c5-ae49-df5335326d89" ] } ], "mendeley" : { "formattedCitation" : "&lt;sup&gt;29\u201331&lt;/sup&gt;", "plainTextFormattedCitation" : "29\u201331", "previouslyFormattedCitation" : "&lt;sup&gt;29\u201331&lt;/sup&gt;" }, "properties" : { "noteIndex" : 0 }, "schema" : "https://github.com/citation-style-language/schema/raw/master/csl-citation.json" }</w:instrText>
      </w:r>
      <w:r w:rsidR="0004319A">
        <w:rPr>
          <w:rFonts w:ascii="Times New Roman" w:hAnsi="Times New Roman" w:cs="Times New Roman"/>
          <w:sz w:val="24"/>
          <w:szCs w:val="24"/>
        </w:rPr>
        <w:fldChar w:fldCharType="separate"/>
      </w:r>
      <w:r w:rsidR="0004319A" w:rsidRPr="0004319A">
        <w:rPr>
          <w:rFonts w:ascii="Times New Roman" w:hAnsi="Times New Roman" w:cs="Times New Roman"/>
          <w:noProof/>
          <w:sz w:val="24"/>
          <w:szCs w:val="24"/>
          <w:vertAlign w:val="superscript"/>
        </w:rPr>
        <w:t>29–31</w:t>
      </w:r>
      <w:r w:rsidR="0004319A">
        <w:rPr>
          <w:rFonts w:ascii="Times New Roman" w:hAnsi="Times New Roman" w:cs="Times New Roman"/>
          <w:sz w:val="24"/>
          <w:szCs w:val="24"/>
        </w:rPr>
        <w:fldChar w:fldCharType="end"/>
      </w:r>
      <w:r w:rsidR="00616EA2">
        <w:rPr>
          <w:rFonts w:ascii="Times New Roman" w:hAnsi="Times New Roman" w:cs="Times New Roman"/>
          <w:sz w:val="24"/>
          <w:szCs w:val="24"/>
        </w:rPr>
        <w:t xml:space="preserve"> [</w:t>
      </w:r>
      <w:proofErr w:type="spellStart"/>
      <w:r w:rsidR="00616EA2" w:rsidRPr="00616EA2">
        <w:rPr>
          <w:rFonts w:ascii="Times New Roman" w:hAnsi="Times New Roman" w:cs="Times New Roman"/>
          <w:color w:val="FF0000"/>
          <w:sz w:val="24"/>
          <w:szCs w:val="24"/>
        </w:rPr>
        <w:t>barry</w:t>
      </w:r>
      <w:proofErr w:type="spellEnd"/>
      <w:r w:rsidR="00616EA2" w:rsidRPr="00616EA2">
        <w:rPr>
          <w:rFonts w:ascii="Times New Roman" w:hAnsi="Times New Roman" w:cs="Times New Roman"/>
          <w:color w:val="FF0000"/>
          <w:sz w:val="24"/>
          <w:szCs w:val="24"/>
        </w:rPr>
        <w:t xml:space="preserve"> </w:t>
      </w:r>
      <w:proofErr w:type="spellStart"/>
      <w:r w:rsidR="00616EA2" w:rsidRPr="00616EA2">
        <w:rPr>
          <w:rFonts w:ascii="Times New Roman" w:hAnsi="Times New Roman" w:cs="Times New Roman"/>
          <w:color w:val="FF0000"/>
          <w:sz w:val="24"/>
          <w:szCs w:val="24"/>
        </w:rPr>
        <w:t>honig</w:t>
      </w:r>
      <w:proofErr w:type="spellEnd"/>
      <w:r w:rsidR="00616EA2" w:rsidRPr="00616EA2">
        <w:rPr>
          <w:rFonts w:ascii="Times New Roman" w:hAnsi="Times New Roman" w:cs="Times New Roman"/>
          <w:color w:val="FF0000"/>
          <w:sz w:val="24"/>
          <w:szCs w:val="24"/>
        </w:rPr>
        <w:t xml:space="preserve"> </w:t>
      </w:r>
      <w:proofErr w:type="spellStart"/>
      <w:r w:rsidR="00616EA2" w:rsidRPr="00616EA2">
        <w:rPr>
          <w:rFonts w:ascii="Times New Roman" w:hAnsi="Times New Roman" w:cs="Times New Roman"/>
          <w:color w:val="FF0000"/>
          <w:sz w:val="24"/>
          <w:szCs w:val="24"/>
        </w:rPr>
        <w:t>PrePPI</w:t>
      </w:r>
      <w:proofErr w:type="spellEnd"/>
      <w:r w:rsidR="00616EA2" w:rsidRPr="00616EA2">
        <w:rPr>
          <w:rFonts w:ascii="Times New Roman" w:hAnsi="Times New Roman" w:cs="Times New Roman"/>
          <w:color w:val="FF0000"/>
          <w:sz w:val="24"/>
          <w:szCs w:val="24"/>
        </w:rPr>
        <w:t xml:space="preserve">, 1998 hotspots papers, interface </w:t>
      </w:r>
      <w:proofErr w:type="spellStart"/>
      <w:r w:rsidR="00616EA2" w:rsidRPr="00616EA2">
        <w:rPr>
          <w:rFonts w:ascii="Times New Roman" w:hAnsi="Times New Roman" w:cs="Times New Roman"/>
          <w:color w:val="FF0000"/>
          <w:sz w:val="24"/>
          <w:szCs w:val="24"/>
        </w:rPr>
        <w:t>propoerties</w:t>
      </w:r>
      <w:proofErr w:type="spellEnd"/>
      <w:r w:rsidR="00616EA2">
        <w:rPr>
          <w:rFonts w:ascii="Times New Roman" w:hAnsi="Times New Roman" w:cs="Times New Roman"/>
          <w:sz w:val="24"/>
          <w:szCs w:val="24"/>
        </w:rPr>
        <w:t>]</w:t>
      </w:r>
      <w:r w:rsidR="006A1568">
        <w:rPr>
          <w:rFonts w:ascii="Times New Roman" w:hAnsi="Times New Roman" w:cs="Times New Roman"/>
          <w:sz w:val="24"/>
          <w:szCs w:val="24"/>
        </w:rPr>
        <w:t>.</w:t>
      </w:r>
      <w:r w:rsidR="00616EA2">
        <w:rPr>
          <w:rFonts w:ascii="Times New Roman" w:hAnsi="Times New Roman" w:cs="Times New Roman"/>
          <w:sz w:val="24"/>
          <w:szCs w:val="24"/>
        </w:rPr>
        <w:t xml:space="preserve"> While extremely useful in </w:t>
      </w:r>
      <w:r w:rsidR="00C50CD4">
        <w:rPr>
          <w:rFonts w:ascii="Times New Roman" w:hAnsi="Times New Roman" w:cs="Times New Roman"/>
          <w:sz w:val="24"/>
          <w:szCs w:val="24"/>
        </w:rPr>
        <w:t xml:space="preserve">protein engineering and </w:t>
      </w:r>
      <w:r w:rsidR="00616EA2">
        <w:rPr>
          <w:rFonts w:ascii="Times New Roman" w:hAnsi="Times New Roman" w:cs="Times New Roman"/>
          <w:sz w:val="24"/>
          <w:szCs w:val="24"/>
        </w:rPr>
        <w:t xml:space="preserve">drug design, it is also very limited by the number of </w:t>
      </w:r>
      <w:r w:rsidR="00C50CD4">
        <w:rPr>
          <w:rFonts w:ascii="Times New Roman" w:hAnsi="Times New Roman" w:cs="Times New Roman"/>
          <w:sz w:val="24"/>
          <w:szCs w:val="24"/>
        </w:rPr>
        <w:t xml:space="preserve">available </w:t>
      </w:r>
      <w:r w:rsidR="006A1568">
        <w:rPr>
          <w:rFonts w:ascii="Times New Roman" w:hAnsi="Times New Roman" w:cs="Times New Roman"/>
          <w:sz w:val="24"/>
          <w:szCs w:val="24"/>
        </w:rPr>
        <w:t xml:space="preserve">protein structures. </w:t>
      </w:r>
      <w:r w:rsidR="00C50CD4">
        <w:rPr>
          <w:rFonts w:ascii="Times New Roman" w:hAnsi="Times New Roman" w:cs="Times New Roman"/>
          <w:sz w:val="24"/>
          <w:szCs w:val="24"/>
        </w:rPr>
        <w:t xml:space="preserve">On the other hand, </w:t>
      </w:r>
      <w:r w:rsidR="006A1568">
        <w:rPr>
          <w:rFonts w:ascii="Times New Roman" w:hAnsi="Times New Roman" w:cs="Times New Roman"/>
          <w:sz w:val="24"/>
          <w:szCs w:val="24"/>
        </w:rPr>
        <w:t xml:space="preserve">the amount of </w:t>
      </w:r>
      <w:r w:rsidR="003F48FE">
        <w:rPr>
          <w:rFonts w:ascii="Times New Roman" w:hAnsi="Times New Roman" w:cs="Times New Roman"/>
          <w:sz w:val="24"/>
          <w:szCs w:val="24"/>
        </w:rPr>
        <w:t xml:space="preserve">human </w:t>
      </w:r>
      <w:r w:rsidR="006A1568">
        <w:rPr>
          <w:rFonts w:ascii="Times New Roman" w:hAnsi="Times New Roman" w:cs="Times New Roman"/>
          <w:sz w:val="24"/>
          <w:szCs w:val="24"/>
        </w:rPr>
        <w:t xml:space="preserve">sequencing data has been growing dramatically over the past decade, </w:t>
      </w:r>
      <w:r w:rsidR="00C50CD4">
        <w:rPr>
          <w:rFonts w:ascii="Times New Roman" w:hAnsi="Times New Roman" w:cs="Times New Roman"/>
          <w:sz w:val="24"/>
          <w:szCs w:val="24"/>
        </w:rPr>
        <w:t xml:space="preserve">in particular, </w:t>
      </w:r>
      <w:r w:rsidR="006A1568">
        <w:rPr>
          <w:rFonts w:ascii="Times New Roman" w:hAnsi="Times New Roman" w:cs="Times New Roman"/>
          <w:sz w:val="24"/>
          <w:szCs w:val="24"/>
        </w:rPr>
        <w:t>the number of protein-coding exome sequences.</w:t>
      </w:r>
      <w:r w:rsidR="002A1634">
        <w:rPr>
          <w:rFonts w:ascii="Times New Roman" w:hAnsi="Times New Roman" w:cs="Times New Roman"/>
          <w:sz w:val="24"/>
          <w:szCs w:val="24"/>
        </w:rPr>
        <w:fldChar w:fldCharType="begin" w:fldLock="1"/>
      </w:r>
      <w:r w:rsidR="002A1634">
        <w:rPr>
          <w:rFonts w:ascii="Times New Roman" w:hAnsi="Times New Roman" w:cs="Times New Roman"/>
          <w:sz w:val="24"/>
          <w:szCs w:val="24"/>
        </w:rPr>
        <w:instrText>ADDIN CSL_CITATION { "citationItems" : [ { "id" : "ITEM-1", "itemData" : { "DOI" : "10.1016/j.sbi.2015.11.003", "ISSN" : "1879-033X", "PMID" : "26658741", "abstract" : "Structure has traditionally been interrelated with sequence, usually in the framework of comparing sequences across species sharing a common fold. However, the nature of information within the sequence and structure databases is evolving, changing the type of comparisons possible. In particular, we now have a vast amount of personal genome sequences from human populations and a greater fraction of new structures contain interacting proteins within large complexes. Consequently, we have to recast our conception of sequence conservation and its relation to structure-for example, focusing more on selection within the human population. Moreover, within structural biology there is less emphasis on the discovery of novel folds and more on relating structures to networks of protein interactions. We cover this changing mindset here.", "author" : [ { "dropping-particle" : "", "family" : "Sethi", "given" : "Anurag", "non-dropping-particle" : "", "parse-names" : false, "suffix" : "" }, { "dropping-particle" : "", "family" : "Clarke", "given" : "Declan", "non-dropping-particle" : "", "parse-names" : false, "suffix" : "" }, { "dropping-particle" : "", "family" : "Chen", "given" : "Jieming", "non-dropping-particle" : "", "parse-names" : false, "suffix" : "" }, { "dropping-particle" : "", "family" : "Kumar", "given" : "Sushant", "non-dropping-particle" : "", "parse-names" : false, "suffix" : "" }, { "dropping-particle" : "", "family" : "Galeev", "given" : "Timur R", "non-dropping-particle" : "", "parse-names" : false, "suffix" : "" }, { "dropping-particle" : "", "family" : "Regan", "given" : "Lynne", "non-dropping-particle" : "", "parse-names" : false, "suffix" : "" }, { "dropping-particle" : "", "family" : "Gerstein", "given" : "Mark", "non-dropping-particle" : "", "parse-names" : false, "suffix" : "" } ], "container-title" : "Current opinion in structural biology", "id" : "ITEM-1", "issued" : { "date-parts" : [ [ "2015", "12" ] ] }, "page" : "125-34", "title" : "Reads meet rotamers: structural biology in the age of deep sequencing.", "type" : "article-journal", "volume" : "35" }, "uris" : [ "http://www.mendeley.com/documents/?uuid=007623cf-cf7a-45c5-a157-eccf14bccd50" ] } ], "mendeley" : { "formattedCitation" : "&lt;sup&gt;32&lt;/sup&gt;", "plainTextFormattedCitation" : "32", "previouslyFormattedCitation" : "&lt;sup&gt;32&lt;/sup&gt;" }, "properties" : { "noteIndex" : 0 }, "schema" : "https://github.com/citation-style-language/schema/raw/master/csl-citation.json" }</w:instrText>
      </w:r>
      <w:r w:rsidR="002A1634">
        <w:rPr>
          <w:rFonts w:ascii="Times New Roman" w:hAnsi="Times New Roman" w:cs="Times New Roman"/>
          <w:sz w:val="24"/>
          <w:szCs w:val="24"/>
        </w:rPr>
        <w:fldChar w:fldCharType="separate"/>
      </w:r>
      <w:r w:rsidR="002A1634" w:rsidRPr="002A1634">
        <w:rPr>
          <w:rFonts w:ascii="Times New Roman" w:hAnsi="Times New Roman" w:cs="Times New Roman"/>
          <w:noProof/>
          <w:sz w:val="24"/>
          <w:szCs w:val="24"/>
          <w:vertAlign w:val="superscript"/>
        </w:rPr>
        <w:t>32</w:t>
      </w:r>
      <w:r w:rsidR="002A1634">
        <w:rPr>
          <w:rFonts w:ascii="Times New Roman" w:hAnsi="Times New Roman" w:cs="Times New Roman"/>
          <w:sz w:val="24"/>
          <w:szCs w:val="24"/>
        </w:rPr>
        <w:fldChar w:fldCharType="end"/>
      </w:r>
      <w:r w:rsidR="00C50CD4">
        <w:rPr>
          <w:rFonts w:ascii="Times New Roman" w:hAnsi="Times New Roman" w:cs="Times New Roman"/>
          <w:sz w:val="24"/>
          <w:szCs w:val="24"/>
        </w:rPr>
        <w:t xml:space="preserve"> As a result, there is also an increased urgency in the endeavor for variant annotation in protein-coding regions</w:t>
      </w:r>
      <w:r w:rsidR="002A1634">
        <w:rPr>
          <w:rFonts w:ascii="Times New Roman" w:hAnsi="Times New Roman" w:cs="Times New Roman"/>
          <w:sz w:val="24"/>
          <w:szCs w:val="24"/>
        </w:rPr>
        <w:t xml:space="preserve"> capitalizing on sequence information</w:t>
      </w:r>
      <w:r w:rsidR="00C50CD4">
        <w:rPr>
          <w:rFonts w:ascii="Times New Roman" w:hAnsi="Times New Roman" w:cs="Times New Roman"/>
          <w:sz w:val="24"/>
          <w:szCs w:val="24"/>
        </w:rPr>
        <w:t xml:space="preserve">. </w:t>
      </w:r>
      <w:r w:rsidR="006A1568">
        <w:rPr>
          <w:rFonts w:ascii="Times New Roman" w:hAnsi="Times New Roman" w:cs="Times New Roman"/>
          <w:sz w:val="24"/>
          <w:szCs w:val="24"/>
        </w:rPr>
        <w:t xml:space="preserve">Hence, there is great value in complementing protein data with </w:t>
      </w:r>
      <w:r w:rsidR="00976EB3">
        <w:rPr>
          <w:rFonts w:ascii="Times New Roman" w:hAnsi="Times New Roman" w:cs="Times New Roman"/>
          <w:sz w:val="24"/>
          <w:szCs w:val="24"/>
        </w:rPr>
        <w:t>the</w:t>
      </w:r>
      <w:r w:rsidR="006A1568">
        <w:rPr>
          <w:rFonts w:ascii="Times New Roman" w:hAnsi="Times New Roman" w:cs="Times New Roman"/>
          <w:sz w:val="24"/>
          <w:szCs w:val="24"/>
        </w:rPr>
        <w:t xml:space="preserve"> copious amount of </w:t>
      </w:r>
      <w:r w:rsidR="003F48FE">
        <w:rPr>
          <w:rFonts w:ascii="Times New Roman" w:hAnsi="Times New Roman" w:cs="Times New Roman"/>
          <w:sz w:val="24"/>
          <w:szCs w:val="24"/>
        </w:rPr>
        <w:t xml:space="preserve">human </w:t>
      </w:r>
      <w:r w:rsidR="006A1568">
        <w:rPr>
          <w:rFonts w:ascii="Times New Roman" w:hAnsi="Times New Roman" w:cs="Times New Roman"/>
          <w:sz w:val="24"/>
          <w:szCs w:val="24"/>
        </w:rPr>
        <w:t xml:space="preserve">genomic data. </w:t>
      </w:r>
      <w:r w:rsidR="00C50CD4">
        <w:rPr>
          <w:rFonts w:ascii="Times New Roman" w:hAnsi="Times New Roman" w:cs="Times New Roman"/>
          <w:sz w:val="24"/>
          <w:szCs w:val="24"/>
        </w:rPr>
        <w:t>Our introduction of the motif-MSA</w:t>
      </w:r>
      <w:r w:rsidR="00976EB3">
        <w:rPr>
          <w:rFonts w:ascii="Times New Roman" w:hAnsi="Times New Roman" w:cs="Times New Roman"/>
          <w:sz w:val="24"/>
          <w:szCs w:val="24"/>
        </w:rPr>
        <w:t xml:space="preserve"> facilitates</w:t>
      </w:r>
      <w:r w:rsidR="00C50CD4">
        <w:rPr>
          <w:rFonts w:ascii="Times New Roman" w:hAnsi="Times New Roman" w:cs="Times New Roman"/>
          <w:sz w:val="24"/>
          <w:szCs w:val="24"/>
        </w:rPr>
        <w:t xml:space="preserve"> genomic analyses with protein information</w:t>
      </w:r>
      <w:r w:rsidR="002A1634">
        <w:rPr>
          <w:rFonts w:ascii="Times New Roman" w:hAnsi="Times New Roman" w:cs="Times New Roman"/>
          <w:sz w:val="24"/>
          <w:szCs w:val="24"/>
        </w:rPr>
        <w:t xml:space="preserve"> (and vice versa)</w:t>
      </w:r>
      <w:r w:rsidR="00C50CD4">
        <w:rPr>
          <w:rFonts w:ascii="Times New Roman" w:hAnsi="Times New Roman" w:cs="Times New Roman"/>
          <w:sz w:val="24"/>
          <w:szCs w:val="24"/>
        </w:rPr>
        <w:t xml:space="preserve"> in </w:t>
      </w:r>
      <w:r w:rsidR="0098301E">
        <w:rPr>
          <w:rFonts w:ascii="Times New Roman" w:hAnsi="Times New Roman" w:cs="Times New Roman"/>
          <w:sz w:val="24"/>
          <w:szCs w:val="24"/>
        </w:rPr>
        <w:t>several</w:t>
      </w:r>
      <w:r w:rsidR="00C50CD4">
        <w:rPr>
          <w:rFonts w:ascii="Times New Roman" w:hAnsi="Times New Roman" w:cs="Times New Roman"/>
          <w:sz w:val="24"/>
          <w:szCs w:val="24"/>
        </w:rPr>
        <w:t xml:space="preserve"> ways.</w:t>
      </w:r>
    </w:p>
    <w:p w:rsidR="00C50CD4" w:rsidRDefault="00C50CD4" w:rsidP="00811820">
      <w:pPr>
        <w:spacing w:after="0" w:line="240" w:lineRule="auto"/>
        <w:rPr>
          <w:rFonts w:ascii="Times New Roman" w:hAnsi="Times New Roman" w:cs="Times New Roman"/>
          <w:sz w:val="24"/>
          <w:szCs w:val="24"/>
        </w:rPr>
      </w:pPr>
    </w:p>
    <w:p w:rsidR="003F48FE" w:rsidRDefault="00C50CD4" w:rsidP="0081182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Firstly, </w:t>
      </w:r>
      <w:r w:rsidR="00976EB3">
        <w:rPr>
          <w:rFonts w:ascii="Times New Roman" w:hAnsi="Times New Roman" w:cs="Times New Roman"/>
          <w:sz w:val="24"/>
          <w:szCs w:val="24"/>
        </w:rPr>
        <w:t>motif-MSA broke the limitation imposed by species-MSA, by enabling the ‘amplification’ of variant information for large-scale genomic analyses. Thus far, t</w:t>
      </w:r>
      <w:r w:rsidR="006A1568">
        <w:rPr>
          <w:rFonts w:ascii="Times New Roman" w:hAnsi="Times New Roman" w:cs="Times New Roman"/>
          <w:sz w:val="24"/>
          <w:szCs w:val="24"/>
        </w:rPr>
        <w:t xml:space="preserve">he </w:t>
      </w:r>
      <w:r w:rsidR="00976EB3">
        <w:rPr>
          <w:rFonts w:ascii="Times New Roman" w:hAnsi="Times New Roman" w:cs="Times New Roman"/>
          <w:sz w:val="24"/>
          <w:szCs w:val="24"/>
        </w:rPr>
        <w:t xml:space="preserve">utility </w:t>
      </w:r>
      <w:r w:rsidR="006A1568">
        <w:rPr>
          <w:rFonts w:ascii="Times New Roman" w:hAnsi="Times New Roman" w:cs="Times New Roman"/>
          <w:sz w:val="24"/>
          <w:szCs w:val="24"/>
        </w:rPr>
        <w:t xml:space="preserve">of protein </w:t>
      </w:r>
      <w:r w:rsidR="003F48FE">
        <w:rPr>
          <w:rFonts w:ascii="Times New Roman" w:hAnsi="Times New Roman" w:cs="Times New Roman"/>
          <w:sz w:val="24"/>
          <w:szCs w:val="24"/>
        </w:rPr>
        <w:t xml:space="preserve">sequences </w:t>
      </w:r>
      <w:r w:rsidR="006A1568">
        <w:rPr>
          <w:rFonts w:ascii="Times New Roman" w:hAnsi="Times New Roman" w:cs="Times New Roman"/>
          <w:sz w:val="24"/>
          <w:szCs w:val="24"/>
        </w:rPr>
        <w:t xml:space="preserve">has been </w:t>
      </w:r>
      <w:r>
        <w:rPr>
          <w:rFonts w:ascii="Times New Roman" w:hAnsi="Times New Roman" w:cs="Times New Roman"/>
          <w:sz w:val="24"/>
          <w:szCs w:val="24"/>
        </w:rPr>
        <w:t xml:space="preserve">largely </w:t>
      </w:r>
      <w:r w:rsidR="002F3476">
        <w:rPr>
          <w:rFonts w:ascii="Times New Roman" w:hAnsi="Times New Roman" w:cs="Times New Roman"/>
          <w:sz w:val="24"/>
          <w:szCs w:val="24"/>
        </w:rPr>
        <w:t>focused</w:t>
      </w:r>
      <w:r w:rsidR="00976EB3">
        <w:rPr>
          <w:rFonts w:ascii="Times New Roman" w:hAnsi="Times New Roman" w:cs="Times New Roman"/>
          <w:sz w:val="24"/>
          <w:szCs w:val="24"/>
        </w:rPr>
        <w:t xml:space="preserve"> </w:t>
      </w:r>
      <w:r w:rsidR="002F3476">
        <w:rPr>
          <w:rFonts w:ascii="Times New Roman" w:hAnsi="Times New Roman" w:cs="Times New Roman"/>
          <w:sz w:val="24"/>
          <w:szCs w:val="24"/>
        </w:rPr>
        <w:t xml:space="preserve">on </w:t>
      </w:r>
      <w:r w:rsidR="006A1568">
        <w:rPr>
          <w:rFonts w:ascii="Times New Roman" w:hAnsi="Times New Roman" w:cs="Times New Roman"/>
          <w:sz w:val="24"/>
          <w:szCs w:val="24"/>
        </w:rPr>
        <w:t xml:space="preserve">the more traditional perspective of </w:t>
      </w:r>
      <w:r w:rsidR="002F3476">
        <w:rPr>
          <w:rFonts w:ascii="Times New Roman" w:hAnsi="Times New Roman" w:cs="Times New Roman"/>
          <w:sz w:val="24"/>
          <w:szCs w:val="24"/>
        </w:rPr>
        <w:t>sequence conservation across multiple species based on homology</w:t>
      </w:r>
      <w:r w:rsidR="00976EB3">
        <w:rPr>
          <w:rFonts w:ascii="Times New Roman" w:hAnsi="Times New Roman" w:cs="Times New Roman"/>
          <w:sz w:val="24"/>
          <w:szCs w:val="24"/>
        </w:rPr>
        <w:t>.</w:t>
      </w:r>
      <w:r w:rsidR="002A1634">
        <w:rPr>
          <w:rFonts w:ascii="Times New Roman" w:hAnsi="Times New Roman" w:cs="Times New Roman"/>
          <w:sz w:val="24"/>
          <w:szCs w:val="24"/>
        </w:rPr>
        <w:fldChar w:fldCharType="begin" w:fldLock="1"/>
      </w:r>
      <w:r w:rsidR="00DF35E3">
        <w:rPr>
          <w:rFonts w:ascii="Times New Roman" w:hAnsi="Times New Roman" w:cs="Times New Roman"/>
          <w:sz w:val="24"/>
          <w:szCs w:val="24"/>
        </w:rPr>
        <w:instrText>ADDIN CSL_CITATION { "citationItems" : [ { "id" : "ITEM-1", "itemData" : { "DOI" : "10.1093/nar/gkm238", "ISSN" : "1362-4962", "PMID" : "17526529", "abstract" : "Many genetic variations are single nucleotide polymorphisms (SNPs). Non-synonymous SNPs are 'neutral' if the resulting point-mutated protein is not functionally discernible from the wild type and 'non-neutral' otherwise. The ability to identify non-neutral substitutions could significantly aid targeting disease causing detrimental mutations, as well as SNPs that increase the fitness of particular phenotypes. Here, we introduced comprehensive data sets to assess the performance of methods that predict SNP effects. Along we introduced SNAP (screening for non-acceptable polymorphisms), a neural network-based method for the prediction of the functional effects of non-synonymous SNPs. SNAP needs only sequence information as input, but benefits from functional and structural annotations, if available. In a cross-validation test on over 80,000 mutants, SNAP identified 80% of the non-neutral substitutions at 77% accuracy and 76% of the neutral substitutions at 80% accuracy. This constituted an important improvement over other methods; the improvement rose to over ten percentage points for mutants for which existing methods disagreed. Possibly even more importantly SNAP introduced a well-calibrated measure for the reliability of each prediction. This measure will allow users to focus on the most accurate predictions and/or the most severe effects. Available at http://www.rostlab.org/services/SNAP.", "author" : [ { "dropping-particle" : "", "family" : "Bromberg", "given" : "Yana", "non-dropping-particle" : "", "parse-names" : false, "suffix" : "" }, { "dropping-particle" : "", "family" : "Rost", "given" : "Burkhard", "non-dropping-particle" : "", "parse-names" : false, "suffix" : "" } ], "container-title" : "Nucleic acids research", "id" : "ITEM-1", "issue" : "11", "issued" : { "date-parts" : [ [ "2007" ] ] }, "page" : "3823-35", "title" : "SNAP: predict effect of non-synonymous polymorphisms on function.", "type" : "article-journal", "volume" : "35" }, "uris" : [ "http://www.mendeley.com/documents/?uuid=d6149744-334b-4215-aadd-fccbf69b0d55" ] }, { "id" : "ITEM-2", "itemData" : { "DOI" : "10.1002/0471142905.hg0720s76", "ISSN" : "1934-8258", "PMID" : "23315928", "abstract" : "PolyPhen-2 (Polymorphism Phenotyping v2), available as software and via a Web server, predicts the possible impact of amino acid substitutions on the stability and function of human proteins using structural and comparative evolutionary considerations. It performs functional annotation of single-nucleotide polymorphisms (SNPs), maps coding SNPs to gene transcripts, extracts protein sequence annotations and structural attributes, and builds conservation profiles. It then estimates the probability of the missense mutation being damaging based on a combination of all these properties. PolyPhen-2 features include a high-quality multiple protein sequence alignment pipeline and a prediction method employing machine-learning classification. The software also integrates the UCSC Genome Browser's human genome annotations and MultiZ multiple alignments of vertebrate genomes with the human genome. PolyPhen-2 is capable of analyzing large volumes of data produced by next-generation sequencing projects, thanks to built-in support for high-performance computing environments like Grid Engine and Platform LSF.", "author" : [ { "dropping-particle" : "", "family" : "Adzhubei", "given" : "Ivan", "non-dropping-particle" : "", "parse-names" : false, "suffix" : "" }, { "dropping-particle" : "", "family" : "Jordan", "given" : "Daniel M", "non-dropping-particle" : "", "parse-names" : false, "suffix" : "" }, { "dropping-particle" : "", "family" : "Sunyaev", "given" : "Shamil R", "non-dropping-particle" : "", "parse-names" : false, "suffix" : "" } ], "container-title" : "Current protocols in human genetics / editorial board, Jonathan L. Haines ... [et al.]", "id" : "ITEM-2", "issued" : { "date-parts" : [ [ "2013", "1" ] ] }, "page" : "Unit7.20", "title" : "Predicting functional effect of human missense mutations using PolyPhen-2.", "type" : "article-journal", "volume" : "Chapter 7" }, "uris" : [ "http://www.mendeley.com/documents/?uuid=104199fa-ee4a-4c6b-b80c-95647c537a9b" ] }, { "id" : "ITEM-3", "itemData" : { "DOI" : "10.1038/nprot.2009.86", "ISSN" : "1750-2799", "PMID" : "19561590", "abstract" : "The effect of genetic mutation on phenotype is of significant interest in genetics. The type of genetic mutation that causes a single amino acid substitution (AAS) in a protein sequence is called a non-synonymous single nucleotide polymorphism (nsSNP). An nsSNP could potentially affect the function of the protein, subsequently altering the carrier's phenotype. This protocol describes the use of the 'Sorting Tolerant From Intolerant' (SIFT) algorithm in predicting whether an AAS affects protein function. To assess the effect of a substitution, SIFT assumes that important positions in a protein sequence have been conserved throughout evolution and therefore substitutions at these positions may affect protein function. Thus, by using sequence homology, SIFT predicts the effects of all possible substitutions at each position in the protein sequence. The protocol typically takes 5-20 min, depending on the input. SIFT is available as an online tool (http://sift.jcvi.org).", "author" : [ { "dropping-particle" : "", "family" : "Kumar", "given" : "Prateek", "non-dropping-particle" : "", "parse-names" : false, "suffix" : "" }, { "dropping-particle" : "", "family" : "Henikoff", "given" : "Steven", "non-dropping-particle" : "", "parse-names" : false, "suffix" : "" }, { "dropping-particle" : "", "family" : "Ng", "given" : "Pauline C", "non-dropping-particle" : "", "parse-names" : false, "suffix" : "" } ], "container-title" : "Nature protocols", "id" : "ITEM-3", "issue" : "7", "issued" : { "date-parts" : [ [ "2009" ] ] }, "page" : "1073-81", "title" : "Predicting the effects of coding non-synonymous variants on protein function using the SIFT algorithm.", "type" : "article-journal", "volume" : "4" }, "uris" : [ "http://www.mendeley.com/documents/?uuid=97e22dd1-814b-40d7-a741-731de568572c" ] } ], "mendeley" : { "formattedCitation" : "&lt;sup&gt;3,4,33&lt;/sup&gt;", "plainTextFormattedCitation" : "3,4,33", "previouslyFormattedCitation" : "&lt;sup&gt;3,4,33&lt;/sup&gt;" }, "properties" : { "noteIndex" : 0 }, "schema" : "https://github.com/citation-style-language/schema/raw/master/csl-citation.json" }</w:instrText>
      </w:r>
      <w:r w:rsidR="002A1634">
        <w:rPr>
          <w:rFonts w:ascii="Times New Roman" w:hAnsi="Times New Roman" w:cs="Times New Roman"/>
          <w:sz w:val="24"/>
          <w:szCs w:val="24"/>
        </w:rPr>
        <w:fldChar w:fldCharType="separate"/>
      </w:r>
      <w:r w:rsidR="002A1634" w:rsidRPr="002A1634">
        <w:rPr>
          <w:rFonts w:ascii="Times New Roman" w:hAnsi="Times New Roman" w:cs="Times New Roman"/>
          <w:noProof/>
          <w:sz w:val="24"/>
          <w:szCs w:val="24"/>
          <w:vertAlign w:val="superscript"/>
        </w:rPr>
        <w:t>3,4,33</w:t>
      </w:r>
      <w:r w:rsidR="002A1634">
        <w:rPr>
          <w:rFonts w:ascii="Times New Roman" w:hAnsi="Times New Roman" w:cs="Times New Roman"/>
          <w:sz w:val="24"/>
          <w:szCs w:val="24"/>
        </w:rPr>
        <w:fldChar w:fldCharType="end"/>
      </w:r>
      <w:r>
        <w:rPr>
          <w:rFonts w:ascii="Times New Roman" w:hAnsi="Times New Roman" w:cs="Times New Roman"/>
          <w:sz w:val="24"/>
          <w:szCs w:val="24"/>
        </w:rPr>
        <w:t xml:space="preserve"> </w:t>
      </w:r>
      <w:r w:rsidR="003F48FE">
        <w:rPr>
          <w:rFonts w:ascii="Times New Roman" w:hAnsi="Times New Roman" w:cs="Times New Roman"/>
          <w:sz w:val="24"/>
          <w:szCs w:val="24"/>
        </w:rPr>
        <w:t xml:space="preserve">This </w:t>
      </w:r>
      <w:r w:rsidR="009809EA">
        <w:rPr>
          <w:rFonts w:ascii="Times New Roman" w:hAnsi="Times New Roman" w:cs="Times New Roman"/>
          <w:sz w:val="24"/>
          <w:szCs w:val="24"/>
        </w:rPr>
        <w:t>limits the</w:t>
      </w:r>
      <w:r>
        <w:rPr>
          <w:rFonts w:ascii="Times New Roman" w:hAnsi="Times New Roman" w:cs="Times New Roman"/>
          <w:sz w:val="24"/>
          <w:szCs w:val="24"/>
        </w:rPr>
        <w:t xml:space="preserve"> use of the bulk of </w:t>
      </w:r>
      <w:r w:rsidR="00681863">
        <w:rPr>
          <w:rFonts w:ascii="Times New Roman" w:hAnsi="Times New Roman" w:cs="Times New Roman"/>
          <w:sz w:val="24"/>
          <w:szCs w:val="24"/>
        </w:rPr>
        <w:t xml:space="preserve">the available </w:t>
      </w:r>
      <w:r>
        <w:rPr>
          <w:rFonts w:ascii="Times New Roman" w:hAnsi="Times New Roman" w:cs="Times New Roman"/>
          <w:sz w:val="24"/>
          <w:szCs w:val="24"/>
        </w:rPr>
        <w:t>sequencing data</w:t>
      </w:r>
      <w:r w:rsidR="009809EA">
        <w:rPr>
          <w:rFonts w:ascii="Times New Roman" w:hAnsi="Times New Roman" w:cs="Times New Roman"/>
          <w:sz w:val="24"/>
          <w:szCs w:val="24"/>
        </w:rPr>
        <w:t xml:space="preserve">, </w:t>
      </w:r>
      <w:r>
        <w:rPr>
          <w:rFonts w:ascii="Times New Roman" w:hAnsi="Times New Roman" w:cs="Times New Roman"/>
          <w:sz w:val="24"/>
          <w:szCs w:val="24"/>
        </w:rPr>
        <w:t xml:space="preserve">which is focused on a single species, </w:t>
      </w:r>
      <w:r>
        <w:rPr>
          <w:rFonts w:ascii="Times New Roman" w:hAnsi="Times New Roman" w:cs="Times New Roman"/>
          <w:i/>
          <w:sz w:val="24"/>
          <w:szCs w:val="24"/>
        </w:rPr>
        <w:t>Homo sapiens</w:t>
      </w:r>
      <w:r w:rsidR="009809EA">
        <w:rPr>
          <w:rFonts w:ascii="Times New Roman" w:hAnsi="Times New Roman" w:cs="Times New Roman"/>
          <w:sz w:val="24"/>
          <w:szCs w:val="24"/>
        </w:rPr>
        <w:t>.</w:t>
      </w:r>
      <w:r>
        <w:rPr>
          <w:rFonts w:ascii="Times New Roman" w:hAnsi="Times New Roman" w:cs="Times New Roman"/>
          <w:sz w:val="24"/>
          <w:szCs w:val="24"/>
        </w:rPr>
        <w:t xml:space="preserve"> </w:t>
      </w:r>
      <w:r w:rsidR="00681863">
        <w:rPr>
          <w:rFonts w:ascii="Times New Roman" w:hAnsi="Times New Roman" w:cs="Times New Roman"/>
          <w:sz w:val="24"/>
          <w:szCs w:val="24"/>
        </w:rPr>
        <w:t xml:space="preserve">By using information from the same motif class, we can systematically aggregate variants from similar protein regions </w:t>
      </w:r>
      <w:r w:rsidR="005909FA">
        <w:rPr>
          <w:rFonts w:ascii="Times New Roman" w:hAnsi="Times New Roman" w:cs="Times New Roman"/>
          <w:sz w:val="24"/>
          <w:szCs w:val="24"/>
        </w:rPr>
        <w:t xml:space="preserve">within the genome of a single species </w:t>
      </w:r>
      <w:r w:rsidR="00681863">
        <w:rPr>
          <w:rFonts w:ascii="Times New Roman" w:hAnsi="Times New Roman" w:cs="Times New Roman"/>
          <w:sz w:val="24"/>
          <w:szCs w:val="24"/>
        </w:rPr>
        <w:t xml:space="preserve">in a reasonable manner. </w:t>
      </w:r>
      <w:r w:rsidR="005909FA">
        <w:rPr>
          <w:rFonts w:ascii="Times New Roman" w:hAnsi="Times New Roman" w:cs="Times New Roman"/>
          <w:sz w:val="24"/>
          <w:szCs w:val="24"/>
        </w:rPr>
        <w:t xml:space="preserve">This aggregation is key to achieving the </w:t>
      </w:r>
      <w:r w:rsidR="00F85D33">
        <w:rPr>
          <w:rFonts w:ascii="Times New Roman" w:hAnsi="Times New Roman" w:cs="Times New Roman"/>
          <w:sz w:val="24"/>
          <w:szCs w:val="24"/>
        </w:rPr>
        <w:t xml:space="preserve">variant </w:t>
      </w:r>
      <w:r w:rsidR="005909FA">
        <w:rPr>
          <w:rFonts w:ascii="Times New Roman" w:hAnsi="Times New Roman" w:cs="Times New Roman"/>
          <w:sz w:val="24"/>
          <w:szCs w:val="24"/>
        </w:rPr>
        <w:t>statistics required to perform analyses that are meaningful, especially in light of the observation that even a combined set of 1000GP and ESP6500 variant data</w:t>
      </w:r>
      <w:r w:rsidR="00AE492E">
        <w:rPr>
          <w:rFonts w:ascii="Times New Roman" w:hAnsi="Times New Roman" w:cs="Times New Roman"/>
          <w:sz w:val="24"/>
          <w:szCs w:val="24"/>
        </w:rPr>
        <w:t>,</w:t>
      </w:r>
      <w:r w:rsidR="005909FA">
        <w:rPr>
          <w:rFonts w:ascii="Times New Roman" w:hAnsi="Times New Roman" w:cs="Times New Roman"/>
          <w:sz w:val="24"/>
          <w:szCs w:val="24"/>
        </w:rPr>
        <w:t xml:space="preserve"> derived from almost 7600</w:t>
      </w:r>
      <w:r w:rsidR="00AE492E">
        <w:rPr>
          <w:rFonts w:ascii="Times New Roman" w:hAnsi="Times New Roman" w:cs="Times New Roman"/>
          <w:sz w:val="24"/>
          <w:szCs w:val="24"/>
        </w:rPr>
        <w:t xml:space="preserve"> exomes,</w:t>
      </w:r>
      <w:r w:rsidR="005909FA">
        <w:rPr>
          <w:rFonts w:ascii="Times New Roman" w:hAnsi="Times New Roman" w:cs="Times New Roman"/>
          <w:sz w:val="24"/>
          <w:szCs w:val="24"/>
        </w:rPr>
        <w:t xml:space="preserve"> was not sufficient to yield </w:t>
      </w:r>
      <w:r w:rsidR="00AE492E">
        <w:rPr>
          <w:rFonts w:ascii="Times New Roman" w:hAnsi="Times New Roman" w:cs="Times New Roman"/>
          <w:sz w:val="24"/>
          <w:szCs w:val="24"/>
        </w:rPr>
        <w:t>immediately-</w:t>
      </w:r>
      <w:r w:rsidR="005909FA">
        <w:rPr>
          <w:rFonts w:ascii="Times New Roman" w:hAnsi="Times New Roman" w:cs="Times New Roman"/>
          <w:sz w:val="24"/>
          <w:szCs w:val="24"/>
        </w:rPr>
        <w:t>interpretable results (</w:t>
      </w:r>
      <w:r w:rsidR="005909FA" w:rsidRPr="005909FA">
        <w:rPr>
          <w:rFonts w:ascii="Times New Roman" w:hAnsi="Times New Roman" w:cs="Times New Roman"/>
          <w:color w:val="FF0000"/>
          <w:sz w:val="24"/>
          <w:szCs w:val="24"/>
        </w:rPr>
        <w:t>Supplementary Figure 2 and Supplementary Table 1</w:t>
      </w:r>
      <w:r w:rsidR="005909FA">
        <w:rPr>
          <w:rFonts w:ascii="Times New Roman" w:hAnsi="Times New Roman" w:cs="Times New Roman"/>
          <w:sz w:val="24"/>
          <w:szCs w:val="24"/>
        </w:rPr>
        <w:t>).</w:t>
      </w:r>
    </w:p>
    <w:p w:rsidR="003F48FE" w:rsidRDefault="003F48FE" w:rsidP="00811820">
      <w:pPr>
        <w:spacing w:after="0" w:line="240" w:lineRule="auto"/>
        <w:rPr>
          <w:rFonts w:ascii="Times New Roman" w:hAnsi="Times New Roman" w:cs="Times New Roman"/>
          <w:sz w:val="24"/>
          <w:szCs w:val="24"/>
        </w:rPr>
      </w:pPr>
    </w:p>
    <w:p w:rsidR="00D835D9" w:rsidRDefault="00D835D9" w:rsidP="00D835D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Secondly, </w:t>
      </w:r>
      <w:r w:rsidR="00F85D33">
        <w:rPr>
          <w:rFonts w:ascii="Times New Roman" w:hAnsi="Times New Roman" w:cs="Times New Roman"/>
          <w:sz w:val="24"/>
          <w:szCs w:val="24"/>
        </w:rPr>
        <w:t xml:space="preserve">the ability to </w:t>
      </w:r>
      <w:r>
        <w:rPr>
          <w:rFonts w:ascii="Times New Roman" w:hAnsi="Times New Roman" w:cs="Times New Roman"/>
          <w:sz w:val="24"/>
          <w:szCs w:val="24"/>
        </w:rPr>
        <w:t xml:space="preserve">gain statistical power </w:t>
      </w:r>
      <w:r w:rsidR="00F85D33">
        <w:rPr>
          <w:rFonts w:ascii="Times New Roman" w:hAnsi="Times New Roman" w:cs="Times New Roman"/>
          <w:sz w:val="24"/>
          <w:szCs w:val="24"/>
        </w:rPr>
        <w:t xml:space="preserve">from variant aggregation </w:t>
      </w:r>
      <w:r>
        <w:rPr>
          <w:rFonts w:ascii="Times New Roman" w:hAnsi="Times New Roman" w:cs="Times New Roman"/>
          <w:sz w:val="24"/>
          <w:szCs w:val="24"/>
        </w:rPr>
        <w:t>makes motif-MSA an extremely powerful platform in investigating selective constraints in protein-coding regions using genomic information.</w:t>
      </w:r>
      <w:r w:rsidR="00DA38AF">
        <w:rPr>
          <w:rFonts w:ascii="Times New Roman" w:hAnsi="Times New Roman" w:cs="Times New Roman"/>
          <w:sz w:val="24"/>
          <w:szCs w:val="24"/>
        </w:rPr>
        <w:t xml:space="preserve"> </w:t>
      </w:r>
      <w:r w:rsidR="007B73A9">
        <w:rPr>
          <w:rFonts w:ascii="Times New Roman" w:hAnsi="Times New Roman" w:cs="Times New Roman"/>
          <w:sz w:val="24"/>
          <w:szCs w:val="24"/>
        </w:rPr>
        <w:t xml:space="preserve">We </w:t>
      </w:r>
      <w:r w:rsidR="00740061">
        <w:rPr>
          <w:rFonts w:ascii="Times New Roman" w:hAnsi="Times New Roman" w:cs="Times New Roman"/>
          <w:sz w:val="24"/>
          <w:szCs w:val="24"/>
        </w:rPr>
        <w:t xml:space="preserve">only </w:t>
      </w:r>
      <w:r w:rsidR="007B73A9">
        <w:rPr>
          <w:rFonts w:ascii="Times New Roman" w:hAnsi="Times New Roman" w:cs="Times New Roman"/>
          <w:sz w:val="24"/>
          <w:szCs w:val="24"/>
        </w:rPr>
        <w:t>use</w:t>
      </w:r>
      <w:r w:rsidR="00740061">
        <w:rPr>
          <w:rFonts w:ascii="Times New Roman" w:hAnsi="Times New Roman" w:cs="Times New Roman"/>
          <w:sz w:val="24"/>
          <w:szCs w:val="24"/>
        </w:rPr>
        <w:t>d</w:t>
      </w:r>
      <w:r w:rsidR="007B73A9">
        <w:rPr>
          <w:rFonts w:ascii="Times New Roman" w:hAnsi="Times New Roman" w:cs="Times New Roman"/>
          <w:sz w:val="24"/>
          <w:szCs w:val="24"/>
        </w:rPr>
        <w:t xml:space="preserve"> three metrics derived from the genomic data to identify highly constrained motif positions and residues. </w:t>
      </w:r>
      <w:r w:rsidR="002F6574">
        <w:rPr>
          <w:rFonts w:ascii="Times New Roman" w:hAnsi="Times New Roman" w:cs="Times New Roman"/>
          <w:sz w:val="24"/>
          <w:szCs w:val="24"/>
        </w:rPr>
        <w:t xml:space="preserve">It is encouraging to see that many of the top five positions for each metric overlap and show clear evidence of structural importance and disease implications. More importantly, these metrics also uncover complementing sites that show evidence for clinical and disease relevance, which would have been missed otherwise. </w:t>
      </w:r>
      <w:r w:rsidR="007B73A9">
        <w:rPr>
          <w:rFonts w:ascii="Times New Roman" w:hAnsi="Times New Roman" w:cs="Times New Roman"/>
          <w:sz w:val="24"/>
          <w:szCs w:val="24"/>
        </w:rPr>
        <w:lastRenderedPageBreak/>
        <w:t xml:space="preserve">Potentially, motif-MSA is amenable to the entire repertoire of </w:t>
      </w:r>
      <w:r w:rsidR="00740061">
        <w:rPr>
          <w:rFonts w:ascii="Times New Roman" w:hAnsi="Times New Roman" w:cs="Times New Roman"/>
          <w:sz w:val="24"/>
          <w:szCs w:val="24"/>
        </w:rPr>
        <w:t xml:space="preserve">genomic </w:t>
      </w:r>
      <w:r w:rsidR="007B73A9">
        <w:rPr>
          <w:rFonts w:ascii="Times New Roman" w:hAnsi="Times New Roman" w:cs="Times New Roman"/>
          <w:sz w:val="24"/>
          <w:szCs w:val="24"/>
        </w:rPr>
        <w:t>metrics such as ∆DAF</w:t>
      </w:r>
      <w:r w:rsidR="00DF35E3">
        <w:rPr>
          <w:rFonts w:ascii="Times New Roman" w:hAnsi="Times New Roman" w:cs="Times New Roman"/>
          <w:sz w:val="24"/>
          <w:szCs w:val="24"/>
        </w:rPr>
        <w:fldChar w:fldCharType="begin" w:fldLock="1"/>
      </w:r>
      <w:r w:rsidR="00DF35E3">
        <w:rPr>
          <w:rFonts w:ascii="Times New Roman" w:hAnsi="Times New Roman" w:cs="Times New Roman"/>
          <w:sz w:val="24"/>
          <w:szCs w:val="24"/>
        </w:rPr>
        <w:instrText>ADDIN CSL_CITATION { "citationItems" : [ { "id" : "ITEM-1", "itemData" : { "DOI" : "10.1186/gb-2014-15-6-r88", "ISSN" : "1474-760X", "PMID" : "24980144", "abstract" : "BACKGROUND Population differentiation has proved to be effective for identifying loci under geographically localized positive selection, and has the potential to identify loci subject to balancing selection. We have previously investigated the pattern of genetic differentiation among human populations at 36.8 million genomic variants to identify sites in the genome showing high frequency differences. Here, we extend this dataset to include additional variants, survey sites with low levels of differentiation, and evaluate the extent to which highly differentiated sites are likely to result from selective or other processes. RESULTS We demonstrate that while sites with low differentiation represent sampling effects rather than balancing selection, sites showing extremely high population differentiation are enriched for positive selection events and that one half may be the result of classic selective sweeps. Among these, we rediscover known examples, where we actually identify the established functional SNP, and discover novel examples including the genes ABCA12, CALD1 and ZNF804, which we speculate may be linked to adaptations in skin, calcium metabolism and defense, respectively. CONCLUSIONS We identify known and many novel candidate regions for geographically restricted positive selection, and suggest several directions for further research.", "author" : [ { "dropping-particle" : "", "family" : "Colonna", "given" : "Vincenza", "non-dropping-particle" : "", "parse-names" : false, "suffix" : "" }, { "dropping-particle" : "", "family" : "Ayub", "given" : "Qasim", "non-dropping-particle" : "", "parse-names" : false, "suffix" : "" }, { "dropping-particle" : "", "family" : "Chen", "given" : "Yuan", "non-dropping-particle" : "", "parse-names" : false, "suffix" : "" }, { "dropping-particle" : "", "family" : "Pagani", "given" : "Luca", "non-dropping-particle" : "", "parse-names" : false, "suffix" : "" }, { "dropping-particle" : "", "family" : "Luisi", "given" : "Pierre", "non-dropping-particle" : "", "parse-names" : false, "suffix" : "" }, { "dropping-particle" : "", "family" : "Pybus", "given" : "Marc", "non-dropping-particle" : "", "parse-names" : false, "suffix" : "" }, { "dropping-particle" : "", "family" : "Garrison", "given" : "Erik", "non-dropping-particle" : "", "parse-names" : false, "suffix" : "" }, { "dropping-particle" : "", "family" : "Xue", "given" : "Yali", "non-dropping-particle" : "", "parse-names" : false, "suffix" : "" }, { "dropping-particle" : "", "family" : "Tyler-Smith", "given" : "Chris", "non-dropping-particle" : "", "parse-names" : false, "suffix" : "" }, { "dropping-particle" : "", "family" : "1000 Genomes Project Consortium", "given" : "", "non-dropping-particle" : "", "parse-names" : false, "suffix" : "" }, { "dropping-particle" : "", "family" : "Abecasis", "given" : "Goncalo R", "non-dropping-particle" : "", "parse-names" : false, "suffix" : "" }, { "dropping-particle" : "", "family" : "Auton", "given" : "Adam", "non-dropping-particle" : "", "parse-names" : false, "suffix" : "" }, { "dropping-particle" : "", "family" : "Brooks", "given" : "Lisa D", "non-dropping-particle" : "", "parse-names" : false, "suffix" : "" }, { "dropping-particle" : "", "family" : "DePristo", "given" : "Mark A", "non-dropping-particle" : "", "parse-names" : false, "suffix" : "" }, { "dropping-particle" : "", "family" : "Durbin", "given" : "Richard M", "non-dropping-particle" : "", "parse-names" : false, "suffix" : "" }, { "dropping-particle" : "", "family" : "Handsaker", "given" : "Robert E", "non-dropping-particle" : "", "parse-names" : false, "suffix" : "" }, { "dropping-particle" : "", "family" : "Kang", "given" : "Hyun Min", "non-dropping-particle" : "", "parse-names" : false, "suffix" : "" }, { "dropping-particle" : "", "family" : "Marth", "given" : "Gabor T", "non-dropping-particle" : "", "parse-names" : false, "suffix" : "" }, { "dropping-particle" : "", "family" : "McVean", "given" : "Gil A", "non-dropping-particle" : "", "parse-names" : false, "suffix" : "" } ], "container-title" : "Genome biology", "id" : "ITEM-1", "issue" : "6", "issued" : { "date-parts" : [ [ "2014" ] ] }, "page" : "R88", "title" : "Human genomic regions with exceptionally high levels of population differentiation identified from 911 whole-genome sequences.", "type" : "article-journal", "volume" : "15" }, "uris" : [ "http://www.mendeley.com/documents/?uuid=68ef0f82-cf85-4862-b06a-2158eb9bb560" ] } ], "mendeley" : { "formattedCitation" : "&lt;sup&gt;34&lt;/sup&gt;", "plainTextFormattedCitation" : "34", "previouslyFormattedCitation" : "&lt;sup&gt;34&lt;/sup&gt;" }, "properties" : { "noteIndex" : 0 }, "schema" : "https://github.com/citation-style-language/schema/raw/master/csl-citation.json" }</w:instrText>
      </w:r>
      <w:r w:rsidR="00DF35E3">
        <w:rPr>
          <w:rFonts w:ascii="Times New Roman" w:hAnsi="Times New Roman" w:cs="Times New Roman"/>
          <w:sz w:val="24"/>
          <w:szCs w:val="24"/>
        </w:rPr>
        <w:fldChar w:fldCharType="separate"/>
      </w:r>
      <w:r w:rsidR="00DF35E3" w:rsidRPr="00DF35E3">
        <w:rPr>
          <w:rFonts w:ascii="Times New Roman" w:hAnsi="Times New Roman" w:cs="Times New Roman"/>
          <w:noProof/>
          <w:sz w:val="24"/>
          <w:szCs w:val="24"/>
          <w:vertAlign w:val="superscript"/>
        </w:rPr>
        <w:t>34</w:t>
      </w:r>
      <w:r w:rsidR="00DF35E3">
        <w:rPr>
          <w:rFonts w:ascii="Times New Roman" w:hAnsi="Times New Roman" w:cs="Times New Roman"/>
          <w:sz w:val="24"/>
          <w:szCs w:val="24"/>
        </w:rPr>
        <w:fldChar w:fldCharType="end"/>
      </w:r>
      <w:r w:rsidR="007B73A9">
        <w:rPr>
          <w:rFonts w:ascii="Times New Roman" w:hAnsi="Times New Roman" w:cs="Times New Roman"/>
          <w:sz w:val="24"/>
          <w:szCs w:val="24"/>
        </w:rPr>
        <w:t>, and F</w:t>
      </w:r>
      <w:r w:rsidR="007B73A9" w:rsidRPr="007B73A9">
        <w:rPr>
          <w:rFonts w:ascii="Times New Roman" w:hAnsi="Times New Roman" w:cs="Times New Roman"/>
          <w:sz w:val="24"/>
          <w:szCs w:val="24"/>
          <w:vertAlign w:val="subscript"/>
        </w:rPr>
        <w:t>ST</w:t>
      </w:r>
      <w:r w:rsidR="00DF35E3">
        <w:rPr>
          <w:rFonts w:ascii="Times New Roman" w:hAnsi="Times New Roman" w:cs="Times New Roman"/>
          <w:sz w:val="24"/>
          <w:szCs w:val="24"/>
        </w:rPr>
        <w:fldChar w:fldCharType="begin" w:fldLock="1"/>
      </w:r>
      <w:r w:rsidR="00DF35E3">
        <w:rPr>
          <w:rFonts w:ascii="Times New Roman" w:hAnsi="Times New Roman" w:cs="Times New Roman"/>
          <w:sz w:val="24"/>
          <w:szCs w:val="24"/>
        </w:rPr>
        <w:instrText>ADDIN CSL_CITATION { "citationItems" : [ { "id" : "ITEM-1", "itemData" : { "DOI" : "10.1038/nrg2611", "ISSN" : "1471-0064", "PMID" : "19687804", "abstract" : "Wright's F-statistics, and especially F(ST), provide important insights into the evolutionary processes that influence the structure of genetic variation within and among populations, and they are among the most widely used descriptive statistics in population and evolutionary genetics. Estimates of F(ST) can identify regions of the genome that have been the target of selection, and comparisons of F(ST) from different parts of the genome can provide insights into the demographic history of populations. For these reasons and others, F(ST) has a central role in population and evolutionary genetics and has wide applications in fields that range from disease association mapping to forensic science. This Review clarifies how F(ST) is defined, how it should be estimated, how it is related to similar statistics and how estimates of F(ST) should be interpreted.", "author" : [ { "dropping-particle" : "", "family" : "Holsinger", "given" : "Kent E", "non-dropping-particle" : "", "parse-names" : false, "suffix" : "" }, { "dropping-particle" : "", "family" : "Weir", "given" : "Bruce S", "non-dropping-particle" : "", "parse-names" : false, "suffix" : "" } ], "container-title" : "Nature reviews. Genetics", "id" : "ITEM-1", "issue" : "9", "issued" : { "date-parts" : [ [ "2009", "9" ] ] }, "page" : "639-50", "title" : "Genetics in geographically structured populations: defining, estimating and interpreting F(ST).", "type" : "article-journal", "volume" : "10" }, "uris" : [ "http://www.mendeley.com/documents/?uuid=df9f052a-8a4c-45c1-9729-48f897244a11" ] } ], "mendeley" : { "formattedCitation" : "&lt;sup&gt;35&lt;/sup&gt;", "plainTextFormattedCitation" : "35", "previouslyFormattedCitation" : "&lt;sup&gt;35&lt;/sup&gt;" }, "properties" : { "noteIndex" : 0 }, "schema" : "https://github.com/citation-style-language/schema/raw/master/csl-citation.json" }</w:instrText>
      </w:r>
      <w:r w:rsidR="00DF35E3">
        <w:rPr>
          <w:rFonts w:ascii="Times New Roman" w:hAnsi="Times New Roman" w:cs="Times New Roman"/>
          <w:sz w:val="24"/>
          <w:szCs w:val="24"/>
        </w:rPr>
        <w:fldChar w:fldCharType="separate"/>
      </w:r>
      <w:r w:rsidR="00DF35E3" w:rsidRPr="00DF35E3">
        <w:rPr>
          <w:rFonts w:ascii="Times New Roman" w:hAnsi="Times New Roman" w:cs="Times New Roman"/>
          <w:noProof/>
          <w:sz w:val="24"/>
          <w:szCs w:val="24"/>
          <w:vertAlign w:val="superscript"/>
        </w:rPr>
        <w:t>35</w:t>
      </w:r>
      <w:r w:rsidR="00DF35E3">
        <w:rPr>
          <w:rFonts w:ascii="Times New Roman" w:hAnsi="Times New Roman" w:cs="Times New Roman"/>
          <w:sz w:val="24"/>
          <w:szCs w:val="24"/>
        </w:rPr>
        <w:fldChar w:fldCharType="end"/>
      </w:r>
      <w:r w:rsidR="00EE736E">
        <w:rPr>
          <w:rFonts w:ascii="Times New Roman" w:hAnsi="Times New Roman" w:cs="Times New Roman"/>
          <w:sz w:val="24"/>
          <w:szCs w:val="24"/>
        </w:rPr>
        <w:t>, which provides a quantitative means for thresholding. I</w:t>
      </w:r>
      <w:r w:rsidR="00740061">
        <w:rPr>
          <w:rFonts w:ascii="Times New Roman" w:hAnsi="Times New Roman" w:cs="Times New Roman"/>
          <w:sz w:val="24"/>
          <w:szCs w:val="24"/>
        </w:rPr>
        <w:t xml:space="preserve">n turn, </w:t>
      </w:r>
      <w:r w:rsidR="00EE736E">
        <w:rPr>
          <w:rFonts w:ascii="Times New Roman" w:hAnsi="Times New Roman" w:cs="Times New Roman"/>
          <w:sz w:val="24"/>
          <w:szCs w:val="24"/>
        </w:rPr>
        <w:t>this enables computational tractability and the incorporation of the approach into variant annotation pipelines</w:t>
      </w:r>
      <w:r w:rsidR="00740061">
        <w:rPr>
          <w:rFonts w:ascii="Times New Roman" w:hAnsi="Times New Roman" w:cs="Times New Roman"/>
          <w:sz w:val="24"/>
          <w:szCs w:val="24"/>
        </w:rPr>
        <w:t xml:space="preserve">, which is critical in </w:t>
      </w:r>
      <w:r w:rsidR="0098301E">
        <w:rPr>
          <w:rFonts w:ascii="Times New Roman" w:hAnsi="Times New Roman" w:cs="Times New Roman"/>
          <w:sz w:val="24"/>
          <w:szCs w:val="24"/>
        </w:rPr>
        <w:t xml:space="preserve">efficiently </w:t>
      </w:r>
      <w:r w:rsidR="00740061">
        <w:rPr>
          <w:rFonts w:ascii="Times New Roman" w:hAnsi="Times New Roman" w:cs="Times New Roman"/>
          <w:sz w:val="24"/>
          <w:szCs w:val="24"/>
        </w:rPr>
        <w:t xml:space="preserve">triaging variants for </w:t>
      </w:r>
      <w:r w:rsidR="009A6735">
        <w:rPr>
          <w:rFonts w:ascii="Times New Roman" w:hAnsi="Times New Roman" w:cs="Times New Roman"/>
          <w:sz w:val="24"/>
          <w:szCs w:val="24"/>
        </w:rPr>
        <w:t xml:space="preserve">more resource-consuming </w:t>
      </w:r>
      <w:r w:rsidR="00740061">
        <w:rPr>
          <w:rFonts w:ascii="Times New Roman" w:hAnsi="Times New Roman" w:cs="Times New Roman"/>
          <w:sz w:val="24"/>
          <w:szCs w:val="24"/>
        </w:rPr>
        <w:t>experimental validation</w:t>
      </w:r>
      <w:r w:rsidR="0098301E">
        <w:rPr>
          <w:rFonts w:ascii="Times New Roman" w:hAnsi="Times New Roman" w:cs="Times New Roman"/>
          <w:sz w:val="24"/>
          <w:szCs w:val="24"/>
        </w:rPr>
        <w:t xml:space="preserve"> amidst high volumes of sequencing data</w:t>
      </w:r>
      <w:r w:rsidR="00EE736E">
        <w:rPr>
          <w:rFonts w:ascii="Times New Roman" w:hAnsi="Times New Roman" w:cs="Times New Roman"/>
          <w:sz w:val="24"/>
          <w:szCs w:val="24"/>
        </w:rPr>
        <w:t>.</w:t>
      </w:r>
      <w:r w:rsidR="00DF35E3">
        <w:rPr>
          <w:rFonts w:ascii="Times New Roman" w:hAnsi="Times New Roman" w:cs="Times New Roman"/>
          <w:sz w:val="24"/>
          <w:szCs w:val="24"/>
        </w:rPr>
        <w:fldChar w:fldCharType="begin" w:fldLock="1"/>
      </w:r>
      <w:r w:rsidR="00883219">
        <w:rPr>
          <w:rFonts w:ascii="Times New Roman" w:hAnsi="Times New Roman" w:cs="Times New Roman"/>
          <w:sz w:val="24"/>
          <w:szCs w:val="24"/>
        </w:rPr>
        <w:instrText>ADDIN CSL_CITATION { "citationItems" : [ { "id" : "ITEM-1", "itemData" : { "DOI" : "10.1126/science.1235587", "ISSN" : "1095-9203", "PMID" : "24092746", "abstract" : "Interpreting variants, especially noncoding ones, in the increasing number of personal genomes is challenging. We used patterns of polymorphisms in functionally annotated regions in 1092 humans to identify deleterious variants; then we experimentally validated candidates. We analyzed both coding and noncoding regions, with the former corroborating the latter. We found regions particularly sensitive to mutations (\"ultrasensitive\") and variants that are disruptive because of mechanistic effects on transcription-factor binding (that is, \"motif-breakers\"). We also found variants in regions with higher network centrality tend to be deleterious. Insertions and deletions followed a similar pattern to single-nucleotide variants, with some notable exceptions (e.g., certain deletions and enhancers). On the basis of these patterns, we developed a computational tool (FunSeq), whose application to ~90 cancer genomes reveals nearly a hundred candidate noncoding drivers.", "author" : [ { "dropping-particle" : "", "family" : "Khurana", "given" : "Ekta", "non-dropping-particle" : "", "parse-names" : false, "suffix" : "" }, { "dropping-particle" : "", "family" : "Fu", "given" : "Yao", "non-dropping-particle" : "", "parse-names" : false, "suffix" : "" }, { "dropping-particle" : "", "family" : "Colonna", "given" : "Vincenza", "non-dropping-particle" : "", "parse-names" : false, "suffix" : "" }, { "dropping-particle" : "", "family" : "Mu", "given" : "Xinmeng Jasmine", "non-dropping-particle" : "", "parse-names" : false, "suffix" : "" }, { "dropping-particle" : "", "family" : "Kang", "given" : "Hyun Min", "non-dropping-particle" : "", "parse-names" : false, "suffix" : "" }, { "dropping-particle" : "", "family" : "Lappalainen", "given" : "Tuuli", "non-dropping-particle" : "", "parse-names" : false, "suffix" : "" }, { "dropping-particle" : "", "family" : "Sboner", "given" : "Andrea", "non-dropping-particle" : "", "parse-names" : false, "suffix" : "" }, { "dropping-particle" : "", "family" : "Lochovsky", "given" : "Lucas", "non-dropping-particle" : "", "parse-names" : false, "suffix" : "" }, { "dropping-particle" : "", "family" : "Chen", "given" : "Jieming", "non-dropping-particle" : "", "parse-names" : false, "suffix" : "" }, { "dropping-particle" : "", "family" : "Harmanci", "given" : "Arif", "non-dropping-particle" : "", "parse-names" : false, "suffix" : "" }, { "dropping-particle" : "", "family" : "Das", "given" : "Jishnu", "non-dropping-particle" : "", "parse-names" : false, "suffix" : "" }, { "dropping-particle" : "", "family" : "Abyzov", "given" : "Alexej", "non-dropping-particle" : "", "parse-names" : false, "suffix" : "" }, { "dropping-particle" : "", "family" : "Balasubramanian", "given" : "Suganthi", "non-dropping-particle" : "", "parse-names" : false, "suffix" : "" }, { "dropping-particle" : "", "family" : "Beal", "given" : "Kathryn", "non-dropping-particle" : "", "parse-names" : false, "suffix" : "" }, { "dropping-particle" : "", "family" : "Chakravarty", "given" : "Dimple", "non-dropping-particle" : "", "parse-names" : false, "suffix" : "" }, { "dropping-particle" : "", "family" : "Challis", "given" : "Daniel", "non-dropping-particle" : "", "parse-names" : false, "suffix" : "" }, { "dropping-particle" : "", "family" : "Chen", "given" : "Yuan", "non-dropping-particle" : "", "parse-names" : false, "suffix" : "" }, { "dropping-particle" : "", "family" : "Clarke", "given" : "Declan", "non-dropping-particle" : "", "parse-names" : false, "suffix" : "" }, { "dropping-particle" : "", "family" : "Clarke", "given" : "Laura", "non-dropping-particle" : "", "parse-names" : false, "suffix" : "" }, { "dropping-particle" : "", "family" : "Cunningham", "given" : "Fiona", "non-dropping-particle" : "", "parse-names" : false, "suffix" : "" }, { "dropping-particle" : "", "family" : "Evani", "given" : "Uday S", "non-dropping-particle" : "", "parse-names" : false, "suffix" : "" }, { "dropping-particle" : "", "family" : "Flicek", "given" : "Paul", "non-dropping-particle" : "", "parse-names" : false, "suffix" : "" }, { "dropping-particle" : "", "family" : "Fragoza", "given" : "Robert", "non-dropping-particle" : "", "parse-names" : false, "suffix" : "" }, { "dropping-particle" : "", "family" : "Garrison", "given" : "Erik", "non-dropping-particle" : "", "parse-names" : false, "suffix" : "" }, { "dropping-particle" : "", "family" : "Gibbs", "given" : "Richard", "non-dropping-particle" : "", "parse-names" : false, "suffix" : "" }, { "dropping-particle" : "", "family" : "G\u00fcm\u00fcs", "given" : "Zeynep H", "non-dropping-particle" : "", "parse-names" : false, "suffix" : "" }, { "dropping-particle" : "", "family" : "Herrero", "given" : "Javier", "non-dropping-particle" : "", "parse-names" : false, "suffix" : "" }, { "dropping-particle" : "", "family" : "Kitabayashi", "given" : "Naoki", "non-dropping-particle" : "", "parse-names" : false, "suffix" : "" }, { "dropping-particle" : "", "family" : "Kong", "given" : "Yong", "non-dropping-particle" : "", "parse-names" : false, "suffix" : "" }, { "dropping-particle" : "", "family" : "Lage", "given" : "Kasper", "non-dropping-particle" : "", "parse-names" : false, "suffix" : "" }, { "dropping-particle" : "", "family" : "Liluashvili", "given" : "Vaja", "non-dropping-particle" : "", "parse-names" : false, "suffix" : "" }, { "dropping-particle" : "", "family" : "Lipkin", "given" : "Steven M", "non-dropping-particle" : "", "parse-names" : false, "suffix" : "" }, { "dropping-particle" : "", "family" : "MacArthur", "given" : "Daniel G", "non-dropping-particle" : "", "parse-names" : false, "suffix" : "" }, { "dropping-particle" : "", "family" : "Marth", "given" : "Gabor", "non-dropping-particle" : "", "parse-names" : false, "suffix" : "" }, { "dropping-particle" : "", "family" : "Muzny", "given" : "Donna", "non-dropping-particle" : "", "parse-names" : false, "suffix" : "" }, { "dropping-particle" : "", "family" : "Pers", "given" : "Tune H", "non-dropping-particle" : "", "parse-names" : false, "suffix" : "" }, { "dropping-particle" : "", "family" : "Ritchie", "given" : "Graham R S", "non-dropping-particle" : "", "parse-names" : false, "suffix" : "" }, { "dropping-particle" : "", "family" : "Rosenfeld", "given" : "Jeffrey A", "non-dropping-particle" : "", "parse-names" : false, "suffix" : "" }, { "dropping-particle" : "", "family" : "Sisu", "given" : "Cristina", "non-dropping-particle" : "", "parse-names" : false, "suffix" : "" }, { "dropping-particle" : "", "family" : "Wei", "given" : "Xiaomu", "non-dropping-particle" : "", "parse-names" : false, "suffix" : "" }, { "dropping-particle" : "", "family" : "Wilson", "given" : "Michael", "non-dropping-particle" : "", "parse-names" : false, "suffix" : "" }, { "dropping-particle" : "", "family" : "Xue", "given" : "Yali", "non-dropping-particle" : "", "parse-names" : false, "suffix" : "" }, { "dropping-particle" : "", "family" : "Yu", "given" : "Fuli", "non-dropping-particle" : "", "parse-names" : false, "suffix" : "" }, { "dropping-particle" : "", "family" : "1000 Genomes Project Consortium", "given" : "", "non-dropping-particle" : "", "parse-names" : false, "suffix" : "" }, { "dropping-particle" : "", "family" : "Dermitzakis", "given" : "Emmanouil T", "non-dropping-particle" : "", "parse-names" : false, "suffix" : "" }, { "dropping-particle" : "", "family" : "Yu", "given" : "Haiyuan", "non-dropping-particle" : "", "parse-names" : false, "suffix" : "" }, { "dropping-particle" : "", "family" : "Rubin", "given" : "Mark A", "non-dropping-particle" : "", "parse-names" : false, "suffix" : "" }, { "dropping-particle" : "", "family" : "Tyler-Smith", "given" : "Chris", "non-dropping-particle" : "", "parse-names" : false, "suffix" : "" }, { "dropping-particle" : "", "family" : "Gerstein", "given" : "Mark", "non-dropping-particle" : "", "parse-names" : false, "suffix" : "" } ], "container-title" : "Science (New York, N.Y.)", "id" : "ITEM-1", "issue" : "6154", "issued" : { "date-parts" : [ [ "2013", "10", "4" ] ] }, "page" : "1235587", "title" : "Integrative annotation of variants from 1092 humans: application to cancer genomics.", "type" : "article-journal", "volume" : "342" }, "uris" : [ "http://www.mendeley.com/documents/?uuid=61e99a46-cc92-409f-b08c-a60f469d23dd" ] } ], "mendeley" : { "formattedCitation" : "&lt;sup&gt;19&lt;/sup&gt;", "plainTextFormattedCitation" : "19", "previouslyFormattedCitation" : "&lt;sup&gt;19&lt;/sup&gt;" }, "properties" : { "noteIndex" : 0 }, "schema" : "https://github.com/citation-style-language/schema/raw/master/csl-citation.json" }</w:instrText>
      </w:r>
      <w:r w:rsidR="00DF35E3">
        <w:rPr>
          <w:rFonts w:ascii="Times New Roman" w:hAnsi="Times New Roman" w:cs="Times New Roman"/>
          <w:sz w:val="24"/>
          <w:szCs w:val="24"/>
        </w:rPr>
        <w:fldChar w:fldCharType="separate"/>
      </w:r>
      <w:r w:rsidR="00DF35E3" w:rsidRPr="00DF35E3">
        <w:rPr>
          <w:rFonts w:ascii="Times New Roman" w:hAnsi="Times New Roman" w:cs="Times New Roman"/>
          <w:noProof/>
          <w:sz w:val="24"/>
          <w:szCs w:val="24"/>
          <w:vertAlign w:val="superscript"/>
        </w:rPr>
        <w:t>19</w:t>
      </w:r>
      <w:r w:rsidR="00DF35E3">
        <w:rPr>
          <w:rFonts w:ascii="Times New Roman" w:hAnsi="Times New Roman" w:cs="Times New Roman"/>
          <w:sz w:val="24"/>
          <w:szCs w:val="24"/>
        </w:rPr>
        <w:fldChar w:fldCharType="end"/>
      </w:r>
    </w:p>
    <w:p w:rsidR="00D835D9" w:rsidRDefault="00D835D9" w:rsidP="00811820">
      <w:pPr>
        <w:spacing w:after="0" w:line="240" w:lineRule="auto"/>
        <w:rPr>
          <w:rFonts w:ascii="Times New Roman" w:hAnsi="Times New Roman" w:cs="Times New Roman"/>
          <w:sz w:val="24"/>
          <w:szCs w:val="24"/>
        </w:rPr>
      </w:pPr>
    </w:p>
    <w:p w:rsidR="00D835D9" w:rsidRDefault="00D132A7" w:rsidP="00D835D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Thirdly, </w:t>
      </w:r>
      <w:r w:rsidR="00B86DEE">
        <w:rPr>
          <w:rFonts w:ascii="Times New Roman" w:hAnsi="Times New Roman" w:cs="Times New Roman"/>
          <w:sz w:val="24"/>
          <w:szCs w:val="24"/>
        </w:rPr>
        <w:t>motif-</w:t>
      </w:r>
      <w:r w:rsidR="00CA53BB">
        <w:rPr>
          <w:rFonts w:ascii="Times New Roman" w:hAnsi="Times New Roman" w:cs="Times New Roman"/>
          <w:sz w:val="24"/>
          <w:szCs w:val="24"/>
        </w:rPr>
        <w:t>MSA</w:t>
      </w:r>
      <w:r w:rsidR="00B86DEE">
        <w:rPr>
          <w:rFonts w:ascii="Times New Roman" w:hAnsi="Times New Roman" w:cs="Times New Roman"/>
          <w:sz w:val="24"/>
          <w:szCs w:val="24"/>
        </w:rPr>
        <w:t xml:space="preserve"> </w:t>
      </w:r>
      <w:r w:rsidR="00CA53BB">
        <w:rPr>
          <w:rFonts w:ascii="Times New Roman" w:hAnsi="Times New Roman" w:cs="Times New Roman"/>
          <w:sz w:val="24"/>
          <w:szCs w:val="24"/>
        </w:rPr>
        <w:t xml:space="preserve">is </w:t>
      </w:r>
      <w:r w:rsidR="009A6735">
        <w:rPr>
          <w:rFonts w:ascii="Times New Roman" w:hAnsi="Times New Roman" w:cs="Times New Roman"/>
          <w:sz w:val="24"/>
          <w:szCs w:val="24"/>
        </w:rPr>
        <w:t xml:space="preserve">also </w:t>
      </w:r>
      <w:r w:rsidR="00B86DEE">
        <w:rPr>
          <w:rFonts w:ascii="Times New Roman" w:hAnsi="Times New Roman" w:cs="Times New Roman"/>
          <w:sz w:val="24"/>
          <w:szCs w:val="24"/>
        </w:rPr>
        <w:t xml:space="preserve">able to </w:t>
      </w:r>
      <w:r w:rsidR="00CA53BB">
        <w:rPr>
          <w:rFonts w:ascii="Times New Roman" w:hAnsi="Times New Roman" w:cs="Times New Roman"/>
          <w:sz w:val="24"/>
          <w:szCs w:val="24"/>
        </w:rPr>
        <w:t xml:space="preserve">reflect protein structural properties and </w:t>
      </w:r>
      <w:r w:rsidR="00B86DEE">
        <w:rPr>
          <w:rFonts w:ascii="Times New Roman" w:hAnsi="Times New Roman" w:cs="Times New Roman"/>
          <w:sz w:val="24"/>
          <w:szCs w:val="24"/>
        </w:rPr>
        <w:t xml:space="preserve">clarify the </w:t>
      </w:r>
      <w:r w:rsidR="00CA53BB">
        <w:rPr>
          <w:rFonts w:ascii="Times New Roman" w:hAnsi="Times New Roman" w:cs="Times New Roman"/>
          <w:sz w:val="24"/>
          <w:szCs w:val="24"/>
        </w:rPr>
        <w:t xml:space="preserve">roles of the </w:t>
      </w:r>
      <w:r w:rsidR="009407FF">
        <w:rPr>
          <w:rFonts w:ascii="Times New Roman" w:hAnsi="Times New Roman" w:cs="Times New Roman"/>
          <w:sz w:val="24"/>
          <w:szCs w:val="24"/>
        </w:rPr>
        <w:t xml:space="preserve">positions or </w:t>
      </w:r>
      <w:r w:rsidR="00CA53BB">
        <w:rPr>
          <w:rFonts w:ascii="Times New Roman" w:hAnsi="Times New Roman" w:cs="Times New Roman"/>
          <w:sz w:val="24"/>
          <w:szCs w:val="24"/>
        </w:rPr>
        <w:t>residues</w:t>
      </w:r>
      <w:r w:rsidR="009407FF">
        <w:rPr>
          <w:rFonts w:ascii="Times New Roman" w:hAnsi="Times New Roman" w:cs="Times New Roman"/>
          <w:sz w:val="24"/>
          <w:szCs w:val="24"/>
        </w:rPr>
        <w:t xml:space="preserve"> </w:t>
      </w:r>
      <w:r w:rsidR="00883219">
        <w:rPr>
          <w:rFonts w:ascii="Times New Roman" w:hAnsi="Times New Roman" w:cs="Times New Roman"/>
          <w:sz w:val="24"/>
          <w:szCs w:val="24"/>
        </w:rPr>
        <w:t xml:space="preserve">in </w:t>
      </w:r>
      <w:r w:rsidR="009A6735">
        <w:rPr>
          <w:rFonts w:ascii="Times New Roman" w:hAnsi="Times New Roman" w:cs="Times New Roman"/>
          <w:sz w:val="24"/>
          <w:szCs w:val="24"/>
        </w:rPr>
        <w:t>PPI</w:t>
      </w:r>
      <w:r w:rsidR="00CA53BB">
        <w:rPr>
          <w:rFonts w:ascii="Times New Roman" w:hAnsi="Times New Roman" w:cs="Times New Roman"/>
          <w:sz w:val="24"/>
          <w:szCs w:val="24"/>
        </w:rPr>
        <w:t xml:space="preserve">. </w:t>
      </w:r>
      <w:r w:rsidR="006A1568">
        <w:rPr>
          <w:rFonts w:ascii="Times New Roman" w:hAnsi="Times New Roman" w:cs="Times New Roman"/>
          <w:sz w:val="24"/>
          <w:szCs w:val="24"/>
        </w:rPr>
        <w:t>C</w:t>
      </w:r>
      <w:r w:rsidR="002F379E">
        <w:rPr>
          <w:rFonts w:ascii="Times New Roman" w:hAnsi="Times New Roman" w:cs="Times New Roman"/>
          <w:sz w:val="24"/>
          <w:szCs w:val="24"/>
        </w:rPr>
        <w:t>onventional species-MSA aligns</w:t>
      </w:r>
      <w:r w:rsidR="00162F84">
        <w:rPr>
          <w:rFonts w:ascii="Times New Roman" w:hAnsi="Times New Roman" w:cs="Times New Roman"/>
          <w:sz w:val="24"/>
          <w:szCs w:val="24"/>
        </w:rPr>
        <w:t xml:space="preserve"> </w:t>
      </w:r>
      <w:r w:rsidR="0084578D">
        <w:rPr>
          <w:rFonts w:ascii="Times New Roman" w:hAnsi="Times New Roman" w:cs="Times New Roman"/>
          <w:sz w:val="24"/>
          <w:szCs w:val="24"/>
        </w:rPr>
        <w:t xml:space="preserve">sequence </w:t>
      </w:r>
      <w:proofErr w:type="spellStart"/>
      <w:r w:rsidR="00162F84">
        <w:rPr>
          <w:rFonts w:ascii="Times New Roman" w:hAnsi="Times New Roman" w:cs="Times New Roman"/>
          <w:sz w:val="24"/>
          <w:szCs w:val="24"/>
        </w:rPr>
        <w:t>orthologs</w:t>
      </w:r>
      <w:proofErr w:type="spellEnd"/>
      <w:r w:rsidR="00162F84">
        <w:rPr>
          <w:rFonts w:ascii="Times New Roman" w:hAnsi="Times New Roman" w:cs="Times New Roman"/>
          <w:sz w:val="24"/>
          <w:szCs w:val="24"/>
        </w:rPr>
        <w:t xml:space="preserve"> </w:t>
      </w:r>
      <w:r w:rsidR="006A1568">
        <w:rPr>
          <w:rFonts w:ascii="Times New Roman" w:hAnsi="Times New Roman" w:cs="Times New Roman"/>
          <w:sz w:val="24"/>
          <w:szCs w:val="24"/>
        </w:rPr>
        <w:t>that are</w:t>
      </w:r>
      <w:r w:rsidR="002F379E">
        <w:rPr>
          <w:rFonts w:ascii="Times New Roman" w:hAnsi="Times New Roman" w:cs="Times New Roman"/>
          <w:sz w:val="24"/>
          <w:szCs w:val="24"/>
        </w:rPr>
        <w:t xml:space="preserve"> similar </w:t>
      </w:r>
      <w:r w:rsidR="006A1568">
        <w:rPr>
          <w:rFonts w:ascii="Times New Roman" w:hAnsi="Times New Roman" w:cs="Times New Roman"/>
          <w:sz w:val="24"/>
          <w:szCs w:val="24"/>
        </w:rPr>
        <w:t>in</w:t>
      </w:r>
      <w:r w:rsidR="0084578D">
        <w:rPr>
          <w:rFonts w:ascii="Times New Roman" w:hAnsi="Times New Roman" w:cs="Times New Roman"/>
          <w:sz w:val="24"/>
          <w:szCs w:val="24"/>
        </w:rPr>
        <w:t xml:space="preserve"> function</w:t>
      </w:r>
      <w:r w:rsidR="00CA53BB">
        <w:rPr>
          <w:rFonts w:ascii="Times New Roman" w:hAnsi="Times New Roman" w:cs="Times New Roman"/>
          <w:sz w:val="24"/>
          <w:szCs w:val="24"/>
        </w:rPr>
        <w:t xml:space="preserve"> and structure. </w:t>
      </w:r>
      <w:r w:rsidR="0084578D">
        <w:rPr>
          <w:rFonts w:ascii="Times New Roman" w:hAnsi="Times New Roman" w:cs="Times New Roman"/>
          <w:sz w:val="24"/>
          <w:szCs w:val="24"/>
        </w:rPr>
        <w:t>H</w:t>
      </w:r>
      <w:r w:rsidR="002F379E">
        <w:rPr>
          <w:rFonts w:ascii="Times New Roman" w:hAnsi="Times New Roman" w:cs="Times New Roman"/>
          <w:sz w:val="24"/>
          <w:szCs w:val="24"/>
        </w:rPr>
        <w:t>ence</w:t>
      </w:r>
      <w:r w:rsidR="0084578D">
        <w:rPr>
          <w:rFonts w:ascii="Times New Roman" w:hAnsi="Times New Roman" w:cs="Times New Roman"/>
          <w:sz w:val="24"/>
          <w:szCs w:val="24"/>
        </w:rPr>
        <w:t>,</w:t>
      </w:r>
      <w:r w:rsidR="002F379E">
        <w:rPr>
          <w:rFonts w:ascii="Times New Roman" w:hAnsi="Times New Roman" w:cs="Times New Roman"/>
          <w:sz w:val="24"/>
          <w:szCs w:val="24"/>
        </w:rPr>
        <w:t xml:space="preserve"> </w:t>
      </w:r>
      <w:r w:rsidR="00DD5C35">
        <w:rPr>
          <w:rFonts w:ascii="Times New Roman" w:hAnsi="Times New Roman" w:cs="Times New Roman"/>
          <w:sz w:val="24"/>
          <w:szCs w:val="24"/>
        </w:rPr>
        <w:t>highly conserved</w:t>
      </w:r>
      <w:r w:rsidR="002F379E">
        <w:rPr>
          <w:rFonts w:ascii="Times New Roman" w:hAnsi="Times New Roman" w:cs="Times New Roman"/>
          <w:sz w:val="24"/>
          <w:szCs w:val="24"/>
        </w:rPr>
        <w:t xml:space="preserve"> </w:t>
      </w:r>
      <w:r w:rsidR="00162F84">
        <w:rPr>
          <w:rFonts w:ascii="Times New Roman" w:hAnsi="Times New Roman" w:cs="Times New Roman"/>
          <w:sz w:val="24"/>
          <w:szCs w:val="24"/>
        </w:rPr>
        <w:t xml:space="preserve">residues </w:t>
      </w:r>
      <w:r w:rsidR="00DD5C35">
        <w:rPr>
          <w:rFonts w:ascii="Times New Roman" w:hAnsi="Times New Roman" w:cs="Times New Roman"/>
          <w:sz w:val="24"/>
          <w:szCs w:val="24"/>
        </w:rPr>
        <w:t xml:space="preserve">or positions </w:t>
      </w:r>
      <w:r w:rsidR="00162F84">
        <w:rPr>
          <w:rFonts w:ascii="Times New Roman" w:hAnsi="Times New Roman" w:cs="Times New Roman"/>
          <w:sz w:val="24"/>
          <w:szCs w:val="24"/>
        </w:rPr>
        <w:t>are a mix of structural an</w:t>
      </w:r>
      <w:r>
        <w:rPr>
          <w:rFonts w:ascii="Times New Roman" w:hAnsi="Times New Roman" w:cs="Times New Roman"/>
          <w:sz w:val="24"/>
          <w:szCs w:val="24"/>
        </w:rPr>
        <w:t xml:space="preserve">d functional residues with great </w:t>
      </w:r>
      <w:r w:rsidR="008C5C6A">
        <w:rPr>
          <w:rFonts w:ascii="Times New Roman" w:hAnsi="Times New Roman" w:cs="Times New Roman"/>
          <w:sz w:val="24"/>
          <w:szCs w:val="24"/>
        </w:rPr>
        <w:t>but unknown</w:t>
      </w:r>
      <w:r w:rsidR="00162F84">
        <w:rPr>
          <w:rFonts w:ascii="Times New Roman" w:hAnsi="Times New Roman" w:cs="Times New Roman"/>
          <w:sz w:val="24"/>
          <w:szCs w:val="24"/>
        </w:rPr>
        <w:t xml:space="preserve"> significance to the specific proteins.</w:t>
      </w:r>
      <w:r w:rsidR="009407FF">
        <w:rPr>
          <w:rFonts w:ascii="Times New Roman" w:hAnsi="Times New Roman" w:cs="Times New Roman"/>
          <w:sz w:val="24"/>
          <w:szCs w:val="24"/>
        </w:rPr>
        <w:t xml:space="preserve"> On the other hand</w:t>
      </w:r>
      <w:r w:rsidR="00CA53BB">
        <w:rPr>
          <w:rFonts w:ascii="Times New Roman" w:hAnsi="Times New Roman" w:cs="Times New Roman"/>
          <w:sz w:val="24"/>
          <w:szCs w:val="24"/>
        </w:rPr>
        <w:t>,</w:t>
      </w:r>
      <w:r w:rsidR="00D835D9" w:rsidRPr="00D835D9">
        <w:rPr>
          <w:rFonts w:ascii="Times New Roman" w:hAnsi="Times New Roman" w:cs="Times New Roman"/>
          <w:sz w:val="24"/>
          <w:szCs w:val="24"/>
        </w:rPr>
        <w:t xml:space="preserve"> </w:t>
      </w:r>
      <w:r w:rsidR="00D835D9">
        <w:rPr>
          <w:rFonts w:ascii="Times New Roman" w:hAnsi="Times New Roman" w:cs="Times New Roman"/>
          <w:sz w:val="24"/>
          <w:szCs w:val="24"/>
        </w:rPr>
        <w:t xml:space="preserve">because </w:t>
      </w:r>
      <w:r w:rsidR="00883219">
        <w:rPr>
          <w:rFonts w:ascii="Times New Roman" w:hAnsi="Times New Roman" w:cs="Times New Roman"/>
          <w:sz w:val="24"/>
          <w:szCs w:val="24"/>
        </w:rPr>
        <w:t xml:space="preserve">the protein </w:t>
      </w:r>
      <w:r w:rsidR="00D835D9">
        <w:rPr>
          <w:rFonts w:ascii="Times New Roman" w:hAnsi="Times New Roman" w:cs="Times New Roman"/>
          <w:sz w:val="24"/>
          <w:szCs w:val="24"/>
        </w:rPr>
        <w:t>motifs are classified by their structural folds,</w:t>
      </w:r>
      <w:r w:rsidR="009407FF">
        <w:rPr>
          <w:rFonts w:ascii="Times New Roman" w:hAnsi="Times New Roman" w:cs="Times New Roman"/>
          <w:sz w:val="24"/>
          <w:szCs w:val="24"/>
        </w:rPr>
        <w:t xml:space="preserve"> sequence features in a motif-MSA are the manifestations of important structural properties that determine the folds of the domains.</w:t>
      </w:r>
      <w:r w:rsidR="0084578D">
        <w:rPr>
          <w:rFonts w:ascii="Times New Roman" w:hAnsi="Times New Roman" w:cs="Times New Roman"/>
          <w:sz w:val="24"/>
          <w:szCs w:val="24"/>
        </w:rPr>
        <w:t xml:space="preserve"> </w:t>
      </w:r>
      <w:r w:rsidR="009407FF">
        <w:rPr>
          <w:rFonts w:ascii="Times New Roman" w:hAnsi="Times New Roman" w:cs="Times New Roman"/>
          <w:sz w:val="24"/>
          <w:szCs w:val="24"/>
        </w:rPr>
        <w:t>H</w:t>
      </w:r>
      <w:r w:rsidR="00DD5C35">
        <w:rPr>
          <w:rFonts w:ascii="Times New Roman" w:hAnsi="Times New Roman" w:cs="Times New Roman"/>
          <w:sz w:val="24"/>
          <w:szCs w:val="24"/>
        </w:rPr>
        <w:t xml:space="preserve">ighly conserved residues or positions </w:t>
      </w:r>
      <w:r w:rsidR="00D835D9">
        <w:rPr>
          <w:rFonts w:ascii="Times New Roman" w:hAnsi="Times New Roman" w:cs="Times New Roman"/>
          <w:sz w:val="24"/>
          <w:szCs w:val="24"/>
        </w:rPr>
        <w:t xml:space="preserve">in motif-MSA </w:t>
      </w:r>
      <w:r w:rsidR="009407FF">
        <w:rPr>
          <w:rFonts w:ascii="Times New Roman" w:hAnsi="Times New Roman" w:cs="Times New Roman"/>
          <w:sz w:val="24"/>
          <w:szCs w:val="24"/>
        </w:rPr>
        <w:t xml:space="preserve">have </w:t>
      </w:r>
      <w:r>
        <w:rPr>
          <w:rFonts w:ascii="Times New Roman" w:hAnsi="Times New Roman" w:cs="Times New Roman"/>
          <w:sz w:val="24"/>
          <w:szCs w:val="24"/>
        </w:rPr>
        <w:t xml:space="preserve">the proclivity </w:t>
      </w:r>
      <w:r w:rsidR="009407FF">
        <w:rPr>
          <w:rFonts w:ascii="Times New Roman" w:hAnsi="Times New Roman" w:cs="Times New Roman"/>
          <w:sz w:val="24"/>
          <w:szCs w:val="24"/>
        </w:rPr>
        <w:t xml:space="preserve">to be </w:t>
      </w:r>
      <w:r w:rsidR="00DD5C35">
        <w:rPr>
          <w:rFonts w:ascii="Times New Roman" w:hAnsi="Times New Roman" w:cs="Times New Roman"/>
          <w:sz w:val="24"/>
          <w:szCs w:val="24"/>
        </w:rPr>
        <w:t xml:space="preserve">structural residues </w:t>
      </w:r>
      <w:r>
        <w:rPr>
          <w:rFonts w:ascii="Times New Roman" w:hAnsi="Times New Roman" w:cs="Times New Roman"/>
          <w:sz w:val="24"/>
          <w:szCs w:val="24"/>
        </w:rPr>
        <w:t>that maintain</w:t>
      </w:r>
      <w:r w:rsidR="009407FF">
        <w:rPr>
          <w:rFonts w:ascii="Times New Roman" w:hAnsi="Times New Roman" w:cs="Times New Roman"/>
          <w:sz w:val="24"/>
          <w:szCs w:val="24"/>
        </w:rPr>
        <w:t xml:space="preserve"> the integrity and stability of the protein domains</w:t>
      </w:r>
      <w:r w:rsidR="0098301E">
        <w:rPr>
          <w:rFonts w:ascii="Times New Roman" w:hAnsi="Times New Roman" w:cs="Times New Roman"/>
          <w:sz w:val="24"/>
          <w:szCs w:val="24"/>
        </w:rPr>
        <w:t xml:space="preserve">. This is </w:t>
      </w:r>
      <w:r w:rsidR="00D835D9">
        <w:rPr>
          <w:rFonts w:ascii="Times New Roman" w:hAnsi="Times New Roman" w:cs="Times New Roman"/>
          <w:sz w:val="24"/>
          <w:szCs w:val="24"/>
        </w:rPr>
        <w:t xml:space="preserve">exemplified by the observation that </w:t>
      </w:r>
      <w:r w:rsidR="0098301E">
        <w:rPr>
          <w:rFonts w:ascii="Times New Roman" w:hAnsi="Times New Roman" w:cs="Times New Roman"/>
          <w:sz w:val="24"/>
          <w:szCs w:val="24"/>
        </w:rPr>
        <w:t xml:space="preserve">most of the </w:t>
      </w:r>
      <w:r w:rsidR="00D835D9">
        <w:rPr>
          <w:rFonts w:ascii="Times New Roman" w:hAnsi="Times New Roman" w:cs="Times New Roman"/>
          <w:sz w:val="24"/>
          <w:szCs w:val="24"/>
        </w:rPr>
        <w:t xml:space="preserve">highly conserved positions in motif-MSA correspond to buried residues </w:t>
      </w:r>
      <w:r w:rsidR="0098301E">
        <w:rPr>
          <w:rFonts w:ascii="Times New Roman" w:hAnsi="Times New Roman" w:cs="Times New Roman"/>
          <w:sz w:val="24"/>
          <w:szCs w:val="24"/>
        </w:rPr>
        <w:t>with</w:t>
      </w:r>
      <w:r w:rsidR="00D835D9">
        <w:rPr>
          <w:rFonts w:ascii="Times New Roman" w:hAnsi="Times New Roman" w:cs="Times New Roman"/>
          <w:sz w:val="24"/>
          <w:szCs w:val="24"/>
        </w:rPr>
        <w:t xml:space="preserve">in </w:t>
      </w:r>
      <w:r w:rsidR="0098301E">
        <w:rPr>
          <w:rFonts w:ascii="Times New Roman" w:hAnsi="Times New Roman" w:cs="Times New Roman"/>
          <w:sz w:val="24"/>
          <w:szCs w:val="24"/>
        </w:rPr>
        <w:t>the interior of PPI domains, when we visualize the residues in the context of 3D protein structures (</w:t>
      </w:r>
      <w:r w:rsidR="0098301E" w:rsidRPr="00D97CDA">
        <w:rPr>
          <w:rFonts w:ascii="Times New Roman" w:hAnsi="Times New Roman" w:cs="Times New Roman"/>
          <w:color w:val="FF0000"/>
          <w:sz w:val="24"/>
          <w:szCs w:val="24"/>
        </w:rPr>
        <w:t>Figure 4a</w:t>
      </w:r>
      <w:r w:rsidR="0098301E">
        <w:rPr>
          <w:rFonts w:ascii="Times New Roman" w:hAnsi="Times New Roman" w:cs="Times New Roman"/>
          <w:sz w:val="24"/>
          <w:szCs w:val="24"/>
        </w:rPr>
        <w:t>) – an observation that is in line with a previous study.</w:t>
      </w:r>
      <w:r w:rsidR="00883219">
        <w:rPr>
          <w:rFonts w:ascii="Times New Roman" w:hAnsi="Times New Roman" w:cs="Times New Roman"/>
          <w:sz w:val="24"/>
          <w:szCs w:val="24"/>
        </w:rPr>
        <w:fldChar w:fldCharType="begin" w:fldLock="1"/>
      </w:r>
      <w:r w:rsidR="00F47545">
        <w:rPr>
          <w:rFonts w:ascii="Times New Roman" w:hAnsi="Times New Roman" w:cs="Times New Roman"/>
          <w:sz w:val="24"/>
          <w:szCs w:val="24"/>
        </w:rPr>
        <w:instrText>ADDIN CSL_CITATION { "citationItems" : [ { "id" : "ITEM-1", "itemData" : { "DOI" : "10.1016/j.jmb.2004.08.026", "ISSN" : "0022-2836", "PMID" : "15465058", "abstract" : "Consensus design methods have been used successfully to engineer proteins with a particular fold, and moreover to engineer thermostable exemplars of particular folds. Here, we consider how a statistical free energy approach can expand upon current methods of phylogenetic design. As an example, we have analyzed the tetratricopeptide repeat (TPR) motif, using multiple sequence alignment to identify the significance of each position in the TPR. The results provide information above and beyond that revealed by consensus design alone, especially at poorly conserved positions. A particularly striking finding is that certain residues, which TPR-peptide co-crystal structures show are in direct contact with the ligand, display a marked hypervariability. This suggests a novel means of identifying ligand-binding sites, and also implies that TPRs generally function as ligand-binding domains. Using perturbation analysis (or statistical coupling analysis), we examined site-site interactions within the TPR motif. Correlated occurrences of amino acid residues at poorly conserved positions explain how TPRs achieve their near-neutral surface charge distributions, and why a TPR designed from straight consensus has an unusually high net charge. Networks of interacting sites revealed that TPRs fall into two unrecognized families with distinct sets of interactions related to the identity of position 7 (Leu or Lys/Arg). Statistical free energy analysis provides a more complete description of \"What makes a TPR a TPR?\" than consensus alone, and it suggests general approaches to extend and improve the phylogenetic design of proteins.", "author" : [ { "dropping-particle" : "", "family" : "Magliery", "given" : "Thomas J", "non-dropping-particle" : "", "parse-names" : false, "suffix" : "" }, { "dropping-particle" : "", "family" : "Regan", "given" : "Lynne", "non-dropping-particle" : "", "parse-names" : false, "suffix" : "" } ], "container-title" : "Journal of molecular biology", "id" : "ITEM-1", "issue" : "3", "issued" : { "date-parts" : [ [ "2004", "10", "22" ] ] }, "page" : "731-45", "title" : "Beyond consensus: statistical free energies reveal hidden interactions in the design of a TPR motif.", "type" : "article-journal", "volume" : "343" }, "uris" : [ "http://www.mendeley.com/documents/?uuid=1b7f8183-ae1f-44b6-9cb3-6c4b07673d9a" ] } ], "mendeley" : { "formattedCitation" : "&lt;sup&gt;36&lt;/sup&gt;", "plainTextFormattedCitation" : "36", "previouslyFormattedCitation" : "&lt;sup&gt;36&lt;/sup&gt;" }, "properties" : { "noteIndex" : 0 }, "schema" : "https://github.com/citation-style-language/schema/raw/master/csl-citation.json" }</w:instrText>
      </w:r>
      <w:r w:rsidR="00883219">
        <w:rPr>
          <w:rFonts w:ascii="Times New Roman" w:hAnsi="Times New Roman" w:cs="Times New Roman"/>
          <w:sz w:val="24"/>
          <w:szCs w:val="24"/>
        </w:rPr>
        <w:fldChar w:fldCharType="separate"/>
      </w:r>
      <w:r w:rsidR="00883219" w:rsidRPr="00883219">
        <w:rPr>
          <w:rFonts w:ascii="Times New Roman" w:hAnsi="Times New Roman" w:cs="Times New Roman"/>
          <w:noProof/>
          <w:sz w:val="24"/>
          <w:szCs w:val="24"/>
          <w:vertAlign w:val="superscript"/>
        </w:rPr>
        <w:t>36</w:t>
      </w:r>
      <w:r w:rsidR="00883219">
        <w:rPr>
          <w:rFonts w:ascii="Times New Roman" w:hAnsi="Times New Roman" w:cs="Times New Roman"/>
          <w:sz w:val="24"/>
          <w:szCs w:val="24"/>
        </w:rPr>
        <w:fldChar w:fldCharType="end"/>
      </w:r>
      <w:r w:rsidR="00D835D9">
        <w:rPr>
          <w:rFonts w:ascii="Times New Roman" w:hAnsi="Times New Roman" w:cs="Times New Roman"/>
          <w:sz w:val="24"/>
          <w:szCs w:val="24"/>
        </w:rPr>
        <w:t xml:space="preserve"> </w:t>
      </w:r>
      <w:r w:rsidR="00883219">
        <w:rPr>
          <w:rFonts w:ascii="Times New Roman" w:hAnsi="Times New Roman" w:cs="Times New Roman"/>
          <w:sz w:val="24"/>
          <w:szCs w:val="24"/>
        </w:rPr>
        <w:t>Also</w:t>
      </w:r>
      <w:r w:rsidR="00D835D9">
        <w:rPr>
          <w:rFonts w:ascii="Times New Roman" w:hAnsi="Times New Roman" w:cs="Times New Roman"/>
          <w:sz w:val="24"/>
          <w:szCs w:val="24"/>
        </w:rPr>
        <w:t>, when we restrict the protein domains in question to those specifically involved in PPI, we are picking out structural residues or positions that are involved in specific PPIs.</w:t>
      </w:r>
      <w:r w:rsidR="00D835D9" w:rsidRPr="00D835D9">
        <w:rPr>
          <w:rFonts w:ascii="Times New Roman" w:hAnsi="Times New Roman" w:cs="Times New Roman"/>
          <w:sz w:val="24"/>
          <w:szCs w:val="24"/>
        </w:rPr>
        <w:t xml:space="preserve"> </w:t>
      </w:r>
      <w:r w:rsidR="00D835D9">
        <w:rPr>
          <w:rFonts w:ascii="Times New Roman" w:hAnsi="Times New Roman" w:cs="Times New Roman"/>
          <w:sz w:val="24"/>
          <w:szCs w:val="24"/>
        </w:rPr>
        <w:t>This is exemplified in the TPR mutation at position 20 in AIPL1 that causes retinal dystrophy.</w:t>
      </w:r>
      <w:r w:rsidR="007671FE">
        <w:rPr>
          <w:rFonts w:ascii="Times New Roman" w:hAnsi="Times New Roman" w:cs="Times New Roman"/>
          <w:sz w:val="24"/>
          <w:szCs w:val="24"/>
        </w:rPr>
        <w:t xml:space="preserve"> With the mutation, t</w:t>
      </w:r>
      <w:r w:rsidR="00D835D9">
        <w:rPr>
          <w:rFonts w:ascii="Times New Roman" w:hAnsi="Times New Roman" w:cs="Times New Roman"/>
          <w:sz w:val="24"/>
          <w:szCs w:val="24"/>
        </w:rPr>
        <w:t xml:space="preserve">here is a specific ablation of interaction with </w:t>
      </w:r>
      <w:proofErr w:type="spellStart"/>
      <w:r w:rsidR="00D835D9">
        <w:rPr>
          <w:rFonts w:ascii="Times New Roman" w:hAnsi="Times New Roman" w:cs="Times New Roman"/>
          <w:sz w:val="24"/>
          <w:szCs w:val="24"/>
        </w:rPr>
        <w:t>farnesylated</w:t>
      </w:r>
      <w:proofErr w:type="spellEnd"/>
      <w:r w:rsidR="00D835D9">
        <w:rPr>
          <w:rFonts w:ascii="Times New Roman" w:hAnsi="Times New Roman" w:cs="Times New Roman"/>
          <w:sz w:val="24"/>
          <w:szCs w:val="24"/>
        </w:rPr>
        <w:t xml:space="preserve"> proteins due to the unfolded TPR domain</w:t>
      </w:r>
      <w:r w:rsidR="007671FE">
        <w:rPr>
          <w:rFonts w:ascii="Times New Roman" w:hAnsi="Times New Roman" w:cs="Times New Roman"/>
          <w:sz w:val="24"/>
          <w:szCs w:val="24"/>
        </w:rPr>
        <w:t>,</w:t>
      </w:r>
      <w:r w:rsidR="007671FE" w:rsidRPr="007671FE">
        <w:rPr>
          <w:rFonts w:ascii="Times New Roman" w:hAnsi="Times New Roman" w:cs="Times New Roman"/>
          <w:sz w:val="24"/>
          <w:szCs w:val="24"/>
        </w:rPr>
        <w:t xml:space="preserve"> </w:t>
      </w:r>
      <w:r w:rsidR="007671FE">
        <w:rPr>
          <w:rFonts w:ascii="Times New Roman" w:hAnsi="Times New Roman" w:cs="Times New Roman"/>
          <w:sz w:val="24"/>
          <w:szCs w:val="24"/>
        </w:rPr>
        <w:t>but AIPL1 still folds and binds to another cognate protein (that does not interact with the TPR domain on AIPL1)</w:t>
      </w:r>
      <w:r w:rsidR="00D835D9">
        <w:rPr>
          <w:rFonts w:ascii="Times New Roman" w:hAnsi="Times New Roman" w:cs="Times New Roman"/>
          <w:sz w:val="24"/>
          <w:szCs w:val="24"/>
        </w:rPr>
        <w:t>.</w:t>
      </w:r>
      <w:r w:rsidR="00F47545">
        <w:rPr>
          <w:rFonts w:ascii="Times New Roman" w:hAnsi="Times New Roman" w:cs="Times New Roman"/>
          <w:sz w:val="24"/>
          <w:szCs w:val="24"/>
        </w:rPr>
        <w:fldChar w:fldCharType="begin" w:fldLock="1"/>
      </w:r>
      <w:r w:rsidR="00F47545">
        <w:rPr>
          <w:rFonts w:ascii="Times New Roman" w:hAnsi="Times New Roman" w:cs="Times New Roman"/>
          <w:sz w:val="24"/>
          <w:szCs w:val="24"/>
        </w:rPr>
        <w:instrText>ADDIN CSL_CITATION { "citationItems" : [ { "id" : "ITEM-1", "itemData" : { "DOI" : "10.1073/pnas.2134194100", "ISSN" : "0027-8424", "PMID" : "14555765", "abstract" : "The most common form of blindness at birth, Leber's congenital amaurosis (LCA), is inherited in an autosomal recessive fashion. Mutations in six different retina-specific genes, including a recently discovered gene, AIPL1, have been linked to LCA in humans. To understand the molecular basis of LCA caused by aryl hydrocarbon receptor-interacting protein-like 1 (AIPL1) mutations, and to elucidate the normal function of AIPL1, we performed a yeast two-hybrid screen using AIPL1 as bait. The screen demonstrated that AIPL1 interacts specifically with farnesylated proteins. Mutations in AIPL1 linked to LCA compromise this activity. These findings suggest that the essential function of AIPL1 within photoreceptors requires interactions with farnesylated proteins. Analysis of isoprenylation in cultured human cells shows that AIPL1 enhances the processing of farnesylated proteins. Based on these findings, we propose that AIPL1 interacts with farnesylated proteins and plays an essential role in processing of farnesylated proteins in retina.", "author" : [ { "dropping-particle" : "", "family" : "Ramamurthy", "given" : "Visvanathan", "non-dropping-particle" : "", "parse-names" : false, "suffix" : "" }, { "dropping-particle" : "", "family" : "Roberts", "given" : "Melanie", "non-dropping-particle" : "", "parse-names" : false, "suffix" : "" }, { "dropping-particle" : "", "family" : "Akker", "given" : "Focco", "non-dropping-particle" : "van den", "parse-names" : false, "suffix" : "" }, { "dropping-particle" : "", "family" : "Niemi", "given" : "Gregory", "non-dropping-particle" : "", "parse-names" : false, "suffix" : "" }, { "dropping-particle" : "", "family" : "Reh", "given" : "T A", "non-dropping-particle" : "", "parse-names" : false, "suffix" : "" }, { "dropping-particle" : "", "family" : "Hurley", "given" : "James B", "non-dropping-particle" : "", "parse-names" : false, "suffix" : "" } ], "container-title" : "Proceedings of the National Academy of Sciences of the United States of America", "id" : "ITEM-1", "issue" : "22", "issued" : { "date-parts" : [ [ "2003", "10", "28" ] ] }, "page" : "12630-5", "title" : "AIPL1, a protein implicated in Leber's congenital amaurosis, interacts with and aids in processing of farnesylated proteins.", "type" : "article-journal", "volume" : "100" }, "uris" : [ "http://www.mendeley.com/documents/?uuid=24cecdf6-905d-46cf-a855-b0b5614fc96a" ] } ], "mendeley" : { "formattedCitation" : "&lt;sup&gt;24&lt;/sup&gt;", "plainTextFormattedCitation" : "24", "previouslyFormattedCitation" : "&lt;sup&gt;24&lt;/sup&gt;" }, "properties" : { "noteIndex" : 0 }, "schema" : "https://github.com/citation-style-language/schema/raw/master/csl-citation.json" }</w:instrText>
      </w:r>
      <w:r w:rsidR="00F47545">
        <w:rPr>
          <w:rFonts w:ascii="Times New Roman" w:hAnsi="Times New Roman" w:cs="Times New Roman"/>
          <w:sz w:val="24"/>
          <w:szCs w:val="24"/>
        </w:rPr>
        <w:fldChar w:fldCharType="separate"/>
      </w:r>
      <w:r w:rsidR="00F47545" w:rsidRPr="00F47545">
        <w:rPr>
          <w:rFonts w:ascii="Times New Roman" w:hAnsi="Times New Roman" w:cs="Times New Roman"/>
          <w:noProof/>
          <w:sz w:val="24"/>
          <w:szCs w:val="24"/>
          <w:vertAlign w:val="superscript"/>
        </w:rPr>
        <w:t>24</w:t>
      </w:r>
      <w:r w:rsidR="00F47545">
        <w:rPr>
          <w:rFonts w:ascii="Times New Roman" w:hAnsi="Times New Roman" w:cs="Times New Roman"/>
          <w:sz w:val="24"/>
          <w:szCs w:val="24"/>
        </w:rPr>
        <w:fldChar w:fldCharType="end"/>
      </w:r>
      <w:r>
        <w:rPr>
          <w:rFonts w:ascii="Times New Roman" w:hAnsi="Times New Roman" w:cs="Times New Roman"/>
          <w:sz w:val="24"/>
          <w:szCs w:val="24"/>
        </w:rPr>
        <w:t xml:space="preserve"> In addition, because motifs in motif-MSA are also derived from a myriad of proteins with diverse binding partners, it has been </w:t>
      </w:r>
      <w:r w:rsidR="00A04CC9">
        <w:rPr>
          <w:rFonts w:ascii="Times New Roman" w:hAnsi="Times New Roman" w:cs="Times New Roman"/>
          <w:sz w:val="24"/>
          <w:szCs w:val="24"/>
        </w:rPr>
        <w:t xml:space="preserve">demonstrated and suggested </w:t>
      </w:r>
      <w:r>
        <w:rPr>
          <w:rFonts w:ascii="Times New Roman" w:hAnsi="Times New Roman" w:cs="Times New Roman"/>
          <w:sz w:val="24"/>
          <w:szCs w:val="24"/>
        </w:rPr>
        <w:t>that positions</w:t>
      </w:r>
      <w:r w:rsidR="00A04CC9">
        <w:rPr>
          <w:rFonts w:ascii="Times New Roman" w:hAnsi="Times New Roman" w:cs="Times New Roman"/>
          <w:sz w:val="24"/>
          <w:szCs w:val="24"/>
        </w:rPr>
        <w:t>,</w:t>
      </w:r>
      <w:r>
        <w:rPr>
          <w:rFonts w:ascii="Times New Roman" w:hAnsi="Times New Roman" w:cs="Times New Roman"/>
          <w:sz w:val="24"/>
          <w:szCs w:val="24"/>
        </w:rPr>
        <w:t xml:space="preserve"> </w:t>
      </w:r>
      <w:r w:rsidR="00A04CC9">
        <w:rPr>
          <w:rFonts w:ascii="Times New Roman" w:hAnsi="Times New Roman" w:cs="Times New Roman"/>
          <w:sz w:val="24"/>
          <w:szCs w:val="24"/>
        </w:rPr>
        <w:t xml:space="preserve">which are low in sequence conservation, or ‘hypervariable’, </w:t>
      </w:r>
      <w:r>
        <w:rPr>
          <w:rFonts w:ascii="Times New Roman" w:hAnsi="Times New Roman" w:cs="Times New Roman"/>
          <w:sz w:val="24"/>
          <w:szCs w:val="24"/>
        </w:rPr>
        <w:t>are found in the binding pockets of the corresponding domains and are thus involved directly in protein-binding</w:t>
      </w:r>
      <w:r w:rsidR="00F47545">
        <w:rPr>
          <w:rFonts w:ascii="Times New Roman" w:hAnsi="Times New Roman" w:cs="Times New Roman"/>
          <w:sz w:val="24"/>
          <w:szCs w:val="24"/>
        </w:rPr>
        <w:t>.</w:t>
      </w:r>
      <w:r w:rsidR="00F47545">
        <w:rPr>
          <w:rFonts w:ascii="Times New Roman" w:hAnsi="Times New Roman" w:cs="Times New Roman"/>
          <w:sz w:val="24"/>
          <w:szCs w:val="24"/>
        </w:rPr>
        <w:fldChar w:fldCharType="begin" w:fldLock="1"/>
      </w:r>
      <w:r w:rsidR="00CF7308">
        <w:rPr>
          <w:rFonts w:ascii="Times New Roman" w:hAnsi="Times New Roman" w:cs="Times New Roman"/>
          <w:sz w:val="24"/>
          <w:szCs w:val="24"/>
        </w:rPr>
        <w:instrText>ADDIN CSL_CITATION { "citationItems" : [ { "id" : "ITEM-1", "itemData" : { "DOI" : "10.1016/j.jmb.2004.08.026", "ISSN" : "0022-2836", "PMID" : "15465058", "abstract" : "Consensus design methods have been used successfully to engineer proteins with a particular fold, and moreover to engineer thermostable exemplars of particular folds. Here, we consider how a statistical free energy approach can expand upon current methods of phylogenetic design. As an example, we have analyzed the tetratricopeptide repeat (TPR) motif, using multiple sequence alignment to identify the significance of each position in the TPR. The results provide information above and beyond that revealed by consensus design alone, especially at poorly conserved positions. A particularly striking finding is that certain residues, which TPR-peptide co-crystal structures show are in direct contact with the ligand, display a marked hypervariability. This suggests a novel means of identifying ligand-binding sites, and also implies that TPRs generally function as ligand-binding domains. Using perturbation analysis (or statistical coupling analysis), we examined site-site interactions within the TPR motif. Correlated occurrences of amino acid residues at poorly conserved positions explain how TPRs achieve their near-neutral surface charge distributions, and why a TPR designed from straight consensus has an unusually high net charge. Networks of interacting sites revealed that TPRs fall into two unrecognized families with distinct sets of interactions related to the identity of position 7 (Leu or Lys/Arg). Statistical free energy analysis provides a more complete description of \"What makes a TPR a TPR?\" than consensus alone, and it suggests general approaches to extend and improve the phylogenetic design of proteins.", "author" : [ { "dropping-particle" : "", "family" : "Magliery", "given" : "Thomas J", "non-dropping-particle" : "", "parse-names" : false, "suffix" : "" }, { "dropping-particle" : "", "family" : "Regan", "given" : "Lynne", "non-dropping-particle" : "", "parse-names" : false, "suffix" : "" } ], "container-title" : "Journal of molecular biology", "id" : "ITEM-1", "issue" : "3", "issued" : { "date-parts" : [ [ "2004", "10", "22" ] ] }, "page" : "731-45", "title" : "Beyond consensus: statistical free energies reveal hidden interactions in the design of a TPR motif.", "type" : "article-journal", "volume" : "343" }, "uris" : [ "http://www.mendeley.com/documents/?uuid=1b7f8183-ae1f-44b6-9cb3-6c4b07673d9a" ] }, { "id" : "ITEM-2", "itemData" : { "DOI" : "10.1186/1471-2105-6-240", "ISSN" : "1471-2105", "PMID" : "16194281", "abstract" : "BACKGROUND The recent explosion in the availability of complete genome sequences has led to the cataloging of tens of thousands of new proteins and putative proteins. Many of these proteins can be structurally or functionally categorized from sequence conservation alone. In contrast, little attention has been given to the meaning of poorly-conserved sites in families of proteins, which are typically assumed to be of little structural or functional importance. RESULTS Recently, using statistical free energy analysis of tetratricopeptide repeat (TPR) domains, we observed that positions in contact with peptide ligands are more variable than surface positions in general. Here we show that statistical analysis of TPRs, ankyrin repeats, Cys2His2 zinc fingers and PDZ domains accurately identifies specificity-determining positions by their sequence variation. Sequence variation is measured as deviation from a neutral reference state, and we present probabilistic and information theory formalisms that improve upon recently suggested methods such as statistical free energies and sequence entropies. CONCLUSION Sequence variation has been used to identify functionally-important residues in four selected protein families. With TPRs and ankyrin repeats, protein families that bind highly diverse ligands, the effect is so pronounced that sequence \"hypervariation\" alone can be used to predict ligand binding sites.", "author" : [ { "dropping-particle" : "", "family" : "Magliery", "given" : "Thomas J", "non-dropping-particle" : "", "parse-names" : false, "suffix" : "" }, { "dropping-particle" : "", "family" : "Regan", "given" : "Lynne", "non-dropping-particle" : "", "parse-names" : false, "suffix" : "" } ], "container-title" : "BMC bioinformatics", "id" : "ITEM-2", "issued" : { "date-parts" : [ [ "2005" ] ] }, "page" : "240", "title" : "Sequence variation in ligand binding sites in proteins.", "type" : "article-journal", "volume" : "6" }, "uris" : [ "http://www.mendeley.com/documents/?uuid=318376e5-e372-4660-8a3c-ce7e57a2084a" ] } ], "mendeley" : { "formattedCitation" : "&lt;sup&gt;36,37&lt;/sup&gt;", "plainTextFormattedCitation" : "36,37", "previouslyFormattedCitation" : "&lt;sup&gt;36,37&lt;/sup&gt;" }, "properties" : { "noteIndex" : 0 }, "schema" : "https://github.com/citation-style-language/schema/raw/master/csl-citation.json" }</w:instrText>
      </w:r>
      <w:r w:rsidR="00F47545">
        <w:rPr>
          <w:rFonts w:ascii="Times New Roman" w:hAnsi="Times New Roman" w:cs="Times New Roman"/>
          <w:sz w:val="24"/>
          <w:szCs w:val="24"/>
        </w:rPr>
        <w:fldChar w:fldCharType="separate"/>
      </w:r>
      <w:r w:rsidR="00F47545" w:rsidRPr="00F47545">
        <w:rPr>
          <w:rFonts w:ascii="Times New Roman" w:hAnsi="Times New Roman" w:cs="Times New Roman"/>
          <w:noProof/>
          <w:sz w:val="24"/>
          <w:szCs w:val="24"/>
          <w:vertAlign w:val="superscript"/>
        </w:rPr>
        <w:t>36,37</w:t>
      </w:r>
      <w:r w:rsidR="00F47545">
        <w:rPr>
          <w:rFonts w:ascii="Times New Roman" w:hAnsi="Times New Roman" w:cs="Times New Roman"/>
          <w:sz w:val="24"/>
          <w:szCs w:val="24"/>
        </w:rPr>
        <w:fldChar w:fldCharType="end"/>
      </w:r>
      <w:r w:rsidR="0042136E">
        <w:rPr>
          <w:rFonts w:ascii="Times New Roman" w:hAnsi="Times New Roman" w:cs="Times New Roman"/>
          <w:sz w:val="24"/>
          <w:szCs w:val="24"/>
        </w:rPr>
        <w:t xml:space="preserve"> </w:t>
      </w:r>
      <w:proofErr w:type="gramStart"/>
      <w:r w:rsidR="00F47545">
        <w:rPr>
          <w:rFonts w:ascii="Times New Roman" w:hAnsi="Times New Roman" w:cs="Times New Roman"/>
          <w:sz w:val="24"/>
          <w:szCs w:val="24"/>
        </w:rPr>
        <w:t>We</w:t>
      </w:r>
      <w:proofErr w:type="gramEnd"/>
      <w:r w:rsidR="00F47545">
        <w:rPr>
          <w:rFonts w:ascii="Times New Roman" w:hAnsi="Times New Roman" w:cs="Times New Roman"/>
          <w:sz w:val="24"/>
          <w:szCs w:val="24"/>
        </w:rPr>
        <w:t xml:space="preserve"> </w:t>
      </w:r>
      <w:r w:rsidR="00A04CC9">
        <w:rPr>
          <w:rFonts w:ascii="Times New Roman" w:hAnsi="Times New Roman" w:cs="Times New Roman"/>
          <w:sz w:val="24"/>
          <w:szCs w:val="24"/>
        </w:rPr>
        <w:t>also noticed hypervariable</w:t>
      </w:r>
      <w:r w:rsidR="00F47545">
        <w:rPr>
          <w:rFonts w:ascii="Times New Roman" w:hAnsi="Times New Roman" w:cs="Times New Roman"/>
          <w:sz w:val="24"/>
          <w:szCs w:val="24"/>
        </w:rPr>
        <w:t xml:space="preserve"> </w:t>
      </w:r>
      <w:r w:rsidR="0042136E">
        <w:rPr>
          <w:rFonts w:ascii="Times New Roman" w:hAnsi="Times New Roman" w:cs="Times New Roman"/>
          <w:sz w:val="24"/>
          <w:szCs w:val="24"/>
        </w:rPr>
        <w:t>positions</w:t>
      </w:r>
      <w:r w:rsidR="00A04CC9">
        <w:rPr>
          <w:rFonts w:ascii="Times New Roman" w:hAnsi="Times New Roman" w:cs="Times New Roman"/>
          <w:sz w:val="24"/>
          <w:szCs w:val="24"/>
        </w:rPr>
        <w:t>,</w:t>
      </w:r>
      <w:r w:rsidR="0042136E">
        <w:rPr>
          <w:rFonts w:ascii="Times New Roman" w:hAnsi="Times New Roman" w:cs="Times New Roman"/>
          <w:sz w:val="24"/>
          <w:szCs w:val="24"/>
        </w:rPr>
        <w:t xml:space="preserve"> such as position 2 in TPR motifs</w:t>
      </w:r>
      <w:r w:rsidR="00A04CC9">
        <w:rPr>
          <w:rFonts w:ascii="Times New Roman" w:hAnsi="Times New Roman" w:cs="Times New Roman"/>
          <w:sz w:val="24"/>
          <w:szCs w:val="24"/>
        </w:rPr>
        <w:t>,</w:t>
      </w:r>
      <w:r w:rsidR="0042136E">
        <w:rPr>
          <w:rFonts w:ascii="Times New Roman" w:hAnsi="Times New Roman" w:cs="Times New Roman"/>
          <w:sz w:val="24"/>
          <w:szCs w:val="24"/>
        </w:rPr>
        <w:t xml:space="preserve"> also harbor a good number of disease-related</w:t>
      </w:r>
      <w:r w:rsidR="00F47545">
        <w:rPr>
          <w:rFonts w:ascii="Times New Roman" w:hAnsi="Times New Roman" w:cs="Times New Roman"/>
          <w:sz w:val="24"/>
          <w:szCs w:val="24"/>
        </w:rPr>
        <w:t xml:space="preserve"> variants. This observation </w:t>
      </w:r>
      <w:r w:rsidR="0042136E">
        <w:rPr>
          <w:rFonts w:ascii="Times New Roman" w:hAnsi="Times New Roman" w:cs="Times New Roman"/>
          <w:sz w:val="24"/>
          <w:szCs w:val="24"/>
        </w:rPr>
        <w:t xml:space="preserve">bolsters the proposal from the previous study and </w:t>
      </w:r>
      <w:r w:rsidR="00EE736E">
        <w:rPr>
          <w:rFonts w:ascii="Times New Roman" w:hAnsi="Times New Roman" w:cs="Times New Roman"/>
          <w:sz w:val="24"/>
          <w:szCs w:val="24"/>
        </w:rPr>
        <w:t xml:space="preserve">further </w:t>
      </w:r>
      <w:r w:rsidR="0042136E">
        <w:rPr>
          <w:rFonts w:ascii="Times New Roman" w:hAnsi="Times New Roman" w:cs="Times New Roman"/>
          <w:sz w:val="24"/>
          <w:szCs w:val="24"/>
        </w:rPr>
        <w:t xml:space="preserve">hints at the utility of motif-MSA in </w:t>
      </w:r>
      <w:r w:rsidR="00EE736E">
        <w:rPr>
          <w:rFonts w:ascii="Times New Roman" w:hAnsi="Times New Roman" w:cs="Times New Roman"/>
          <w:sz w:val="24"/>
          <w:szCs w:val="24"/>
        </w:rPr>
        <w:t xml:space="preserve">annotating </w:t>
      </w:r>
      <w:r w:rsidR="00A04CC9">
        <w:rPr>
          <w:rFonts w:ascii="Times New Roman" w:hAnsi="Times New Roman" w:cs="Times New Roman"/>
          <w:sz w:val="24"/>
          <w:szCs w:val="24"/>
        </w:rPr>
        <w:t xml:space="preserve">and clarifying the roles of </w:t>
      </w:r>
      <w:r w:rsidR="0042136E">
        <w:rPr>
          <w:rFonts w:ascii="Times New Roman" w:hAnsi="Times New Roman" w:cs="Times New Roman"/>
          <w:sz w:val="24"/>
          <w:szCs w:val="24"/>
        </w:rPr>
        <w:t xml:space="preserve">variants directly involved in PPI. </w:t>
      </w:r>
    </w:p>
    <w:p w:rsidR="009407FF" w:rsidRDefault="009407FF" w:rsidP="00811820">
      <w:pPr>
        <w:spacing w:after="0" w:line="240" w:lineRule="auto"/>
        <w:rPr>
          <w:rFonts w:ascii="Times New Roman" w:hAnsi="Times New Roman" w:cs="Times New Roman"/>
          <w:sz w:val="24"/>
          <w:szCs w:val="24"/>
        </w:rPr>
      </w:pPr>
    </w:p>
    <w:p w:rsidR="0052140F" w:rsidRDefault="0052140F" w:rsidP="0081182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Fourthly, the motif-MSA </w:t>
      </w:r>
      <w:r w:rsidR="00CF7308">
        <w:rPr>
          <w:rFonts w:ascii="Times New Roman" w:hAnsi="Times New Roman" w:cs="Times New Roman"/>
          <w:sz w:val="24"/>
          <w:szCs w:val="24"/>
        </w:rPr>
        <w:t xml:space="preserve">strategy </w:t>
      </w:r>
      <w:r>
        <w:rPr>
          <w:rFonts w:ascii="Times New Roman" w:hAnsi="Times New Roman" w:cs="Times New Roman"/>
          <w:sz w:val="24"/>
          <w:szCs w:val="24"/>
        </w:rPr>
        <w:t xml:space="preserve">presents </w:t>
      </w:r>
      <w:r w:rsidR="00CF7308">
        <w:rPr>
          <w:rFonts w:ascii="Times New Roman" w:hAnsi="Times New Roman" w:cs="Times New Roman"/>
          <w:sz w:val="24"/>
          <w:szCs w:val="24"/>
        </w:rPr>
        <w:t xml:space="preserve">an opportunity for its application beyond protein motifs, </w:t>
      </w:r>
      <w:r w:rsidR="005C0C7E">
        <w:rPr>
          <w:rFonts w:ascii="Times New Roman" w:hAnsi="Times New Roman" w:cs="Times New Roman"/>
          <w:sz w:val="24"/>
          <w:szCs w:val="24"/>
        </w:rPr>
        <w:t xml:space="preserve">to </w:t>
      </w:r>
      <w:r w:rsidR="00CF7308">
        <w:rPr>
          <w:rFonts w:ascii="Times New Roman" w:hAnsi="Times New Roman" w:cs="Times New Roman"/>
          <w:sz w:val="24"/>
          <w:szCs w:val="24"/>
        </w:rPr>
        <w:t xml:space="preserve">whole domains </w:t>
      </w:r>
      <w:r>
        <w:rPr>
          <w:rFonts w:ascii="Times New Roman" w:hAnsi="Times New Roman" w:cs="Times New Roman"/>
          <w:sz w:val="24"/>
          <w:szCs w:val="24"/>
        </w:rPr>
        <w:t>(domain-MSA</w:t>
      </w:r>
      <w:r w:rsidR="00CF7308">
        <w:rPr>
          <w:rFonts w:ascii="Times New Roman" w:hAnsi="Times New Roman" w:cs="Times New Roman"/>
          <w:sz w:val="24"/>
          <w:szCs w:val="24"/>
        </w:rPr>
        <w:t>)</w:t>
      </w:r>
      <w:r w:rsidR="005C0C7E">
        <w:rPr>
          <w:rFonts w:ascii="Times New Roman" w:hAnsi="Times New Roman" w:cs="Times New Roman"/>
          <w:sz w:val="24"/>
          <w:szCs w:val="24"/>
        </w:rPr>
        <w:t xml:space="preserve">. </w:t>
      </w:r>
      <w:r>
        <w:rPr>
          <w:rFonts w:ascii="Times New Roman" w:hAnsi="Times New Roman" w:cs="Times New Roman"/>
          <w:sz w:val="24"/>
          <w:szCs w:val="24"/>
        </w:rPr>
        <w:t xml:space="preserve">For example, </w:t>
      </w:r>
      <w:r w:rsidR="005C0C7E">
        <w:rPr>
          <w:rFonts w:ascii="Times New Roman" w:hAnsi="Times New Roman" w:cs="Times New Roman"/>
          <w:sz w:val="24"/>
          <w:szCs w:val="24"/>
        </w:rPr>
        <w:t>a domain-MSA for RPDs has been shown to be very informative in uncovering domain-specific protein features that a</w:t>
      </w:r>
      <w:r w:rsidR="00CF7308">
        <w:rPr>
          <w:rFonts w:ascii="Times New Roman" w:hAnsi="Times New Roman" w:cs="Times New Roman"/>
          <w:sz w:val="24"/>
          <w:szCs w:val="24"/>
        </w:rPr>
        <w:t>re not observed in a motif-MSA.</w:t>
      </w:r>
      <w:r w:rsidR="00CF7308">
        <w:rPr>
          <w:rFonts w:ascii="Times New Roman" w:hAnsi="Times New Roman" w:cs="Times New Roman"/>
          <w:sz w:val="24"/>
          <w:szCs w:val="24"/>
        </w:rPr>
        <w:fldChar w:fldCharType="begin" w:fldLock="1"/>
      </w:r>
      <w:r w:rsidR="00360904">
        <w:rPr>
          <w:rFonts w:ascii="Times New Roman" w:hAnsi="Times New Roman" w:cs="Times New Roman"/>
          <w:sz w:val="24"/>
          <w:szCs w:val="24"/>
        </w:rPr>
        <w:instrText>ADDIN CSL_CITATION { "citationItems" : [ { "id" : "ITEM-1", "itemData" : { "DOI" : "10.1016/j.jmb.2013.02.013", "ISSN" : "1089-8638", "PMID" : "23434848", "abstract" : "Repeat proteins composed of tandem arrays of a short structural motif often mediate protein-protein interactions. Past efforts to design repeat protein-based molecular recognition tools have focused on the creation of templates from the consensus of individual repeats, regardless of their natural context. Such an approach assumes that all repeats are essentially equivalent. In this study, we present the results of a \"module-based\" approach in which modules composed of tandem repeats are aligned to identify repeat-specific features. Using this approach to analyze tetratricopeptide repeat modules that contain three tandem repeats (3TPRs), we identify two classes of 3TPR modules with distinct structural signatures that are correlated with different sets of functional residues. Our analyses also reveal a high degree of correlation between positions across the entire ligand-binding surface, indicative of a coordinated, coevolving binding surface. Extension of our analyses to different repeat protein modules reveals more examples of repeat-specific features, especially in armadillo repeat modules. In summary, the module-based analyses that we present effectively capture key repeat-specific features that will be important to include in future repeat protein design templates.", "author" : [ { "dropping-particle" : "", "family" : "Sawyer", "given" : "Nicholas", "non-dropping-particle" : "", "parse-names" : false, "suffix" : "" }, { "dropping-particle" : "", "family" : "Chen", "given" : "Jieming", "non-dropping-particle" : "", "parse-names" : false, "suffix" : "" }, { "dropping-particle" : "", "family" : "Regan", "given" : "Lynne", "non-dropping-particle" : "", "parse-names" : false, "suffix" : "" } ], "container-title" : "Journal of molecular biology", "id" : "ITEM-1", "issue" : "10", "issued" : { "date-parts" : [ [ "2013", "5", "27" ] ] }, "page" : "1826-38", "title" : "All repeats are not equal: a module-based approach to guide repeat protein design.", "type" : "article-journal", "volume" : "425" }, "uris" : [ "http://www.mendeley.com/documents/?uuid=d4e7862f-b9fc-42c8-8899-2c3a0c57fd55" ] } ], "mendeley" : { "formattedCitation" : "&lt;sup&gt;38&lt;/sup&gt;", "plainTextFormattedCitation" : "38", "previouslyFormattedCitation" : "&lt;sup&gt;38&lt;/sup&gt;" }, "properties" : { "noteIndex" : 0 }, "schema" : "https://github.com/citation-style-language/schema/raw/master/csl-citation.json" }</w:instrText>
      </w:r>
      <w:r w:rsidR="00CF7308">
        <w:rPr>
          <w:rFonts w:ascii="Times New Roman" w:hAnsi="Times New Roman" w:cs="Times New Roman"/>
          <w:sz w:val="24"/>
          <w:szCs w:val="24"/>
        </w:rPr>
        <w:fldChar w:fldCharType="separate"/>
      </w:r>
      <w:r w:rsidR="00CF7308" w:rsidRPr="00CF7308">
        <w:rPr>
          <w:rFonts w:ascii="Times New Roman" w:hAnsi="Times New Roman" w:cs="Times New Roman"/>
          <w:noProof/>
          <w:sz w:val="24"/>
          <w:szCs w:val="24"/>
          <w:vertAlign w:val="superscript"/>
        </w:rPr>
        <w:t>38</w:t>
      </w:r>
      <w:r w:rsidR="00CF7308">
        <w:rPr>
          <w:rFonts w:ascii="Times New Roman" w:hAnsi="Times New Roman" w:cs="Times New Roman"/>
          <w:sz w:val="24"/>
          <w:szCs w:val="24"/>
        </w:rPr>
        <w:fldChar w:fldCharType="end"/>
      </w:r>
      <w:r w:rsidR="005C0C7E">
        <w:rPr>
          <w:rFonts w:ascii="Times New Roman" w:hAnsi="Times New Roman" w:cs="Times New Roman"/>
          <w:sz w:val="24"/>
          <w:szCs w:val="24"/>
        </w:rPr>
        <w:t xml:space="preserve"> It will be helpful to extend the strategy presented here to relate genomic information with these domain</w:t>
      </w:r>
      <w:r w:rsidR="00CF7308">
        <w:rPr>
          <w:rFonts w:ascii="Times New Roman" w:hAnsi="Times New Roman" w:cs="Times New Roman"/>
          <w:sz w:val="24"/>
          <w:szCs w:val="24"/>
        </w:rPr>
        <w:t>-specific</w:t>
      </w:r>
      <w:r w:rsidR="005C0C7E">
        <w:rPr>
          <w:rFonts w:ascii="Times New Roman" w:hAnsi="Times New Roman" w:cs="Times New Roman"/>
          <w:sz w:val="24"/>
          <w:szCs w:val="24"/>
        </w:rPr>
        <w:t xml:space="preserve"> features. However, a foreseeable challenge is the </w:t>
      </w:r>
      <w:r w:rsidR="007B2CC1">
        <w:rPr>
          <w:rFonts w:ascii="Times New Roman" w:hAnsi="Times New Roman" w:cs="Times New Roman"/>
          <w:sz w:val="24"/>
          <w:szCs w:val="24"/>
        </w:rPr>
        <w:t xml:space="preserve">availability </w:t>
      </w:r>
      <w:r w:rsidR="005C0C7E">
        <w:rPr>
          <w:rFonts w:ascii="Times New Roman" w:hAnsi="Times New Roman" w:cs="Times New Roman"/>
          <w:sz w:val="24"/>
          <w:szCs w:val="24"/>
        </w:rPr>
        <w:t>of RPDs of a given type</w:t>
      </w:r>
      <w:r w:rsidR="00CF7308">
        <w:rPr>
          <w:rFonts w:ascii="Times New Roman" w:hAnsi="Times New Roman" w:cs="Times New Roman"/>
          <w:sz w:val="24"/>
          <w:szCs w:val="24"/>
        </w:rPr>
        <w:t>.</w:t>
      </w:r>
      <w:r w:rsidR="005C0C7E">
        <w:rPr>
          <w:rFonts w:ascii="Times New Roman" w:hAnsi="Times New Roman" w:cs="Times New Roman"/>
          <w:sz w:val="24"/>
          <w:szCs w:val="24"/>
        </w:rPr>
        <w:t xml:space="preserve"> </w:t>
      </w:r>
      <w:r w:rsidR="00CF7308">
        <w:rPr>
          <w:rFonts w:ascii="Times New Roman" w:hAnsi="Times New Roman" w:cs="Times New Roman"/>
          <w:sz w:val="24"/>
          <w:szCs w:val="24"/>
        </w:rPr>
        <w:t xml:space="preserve">In a domain-MSA, because each type of RPD is characterized by </w:t>
      </w:r>
      <w:r w:rsidR="009B4ADF">
        <w:rPr>
          <w:rFonts w:ascii="Times New Roman" w:hAnsi="Times New Roman" w:cs="Times New Roman"/>
          <w:sz w:val="24"/>
          <w:szCs w:val="24"/>
        </w:rPr>
        <w:t xml:space="preserve">the sizes of </w:t>
      </w:r>
      <w:r w:rsidR="00CF7308">
        <w:rPr>
          <w:rFonts w:ascii="Times New Roman" w:hAnsi="Times New Roman" w:cs="Times New Roman"/>
          <w:sz w:val="24"/>
          <w:szCs w:val="24"/>
        </w:rPr>
        <w:t xml:space="preserve">both domain </w:t>
      </w:r>
      <w:r w:rsidR="009B4ADF">
        <w:rPr>
          <w:rFonts w:ascii="Times New Roman" w:hAnsi="Times New Roman" w:cs="Times New Roman"/>
          <w:sz w:val="24"/>
          <w:szCs w:val="24"/>
        </w:rPr>
        <w:t xml:space="preserve">(how many motifs) </w:t>
      </w:r>
      <w:r w:rsidR="00CF7308">
        <w:rPr>
          <w:rFonts w:ascii="Times New Roman" w:hAnsi="Times New Roman" w:cs="Times New Roman"/>
          <w:sz w:val="24"/>
          <w:szCs w:val="24"/>
        </w:rPr>
        <w:t>and motif</w:t>
      </w:r>
      <w:r w:rsidR="009B4ADF">
        <w:rPr>
          <w:rFonts w:ascii="Times New Roman" w:hAnsi="Times New Roman" w:cs="Times New Roman"/>
          <w:sz w:val="24"/>
          <w:szCs w:val="24"/>
        </w:rPr>
        <w:t xml:space="preserve"> (how many amino acids)</w:t>
      </w:r>
      <w:r w:rsidR="00CF7308">
        <w:rPr>
          <w:rFonts w:ascii="Times New Roman" w:hAnsi="Times New Roman" w:cs="Times New Roman"/>
          <w:sz w:val="24"/>
          <w:szCs w:val="24"/>
        </w:rPr>
        <w:t xml:space="preserve">, the frequency of a particular RPD </w:t>
      </w:r>
      <w:r w:rsidR="005C0C7E">
        <w:rPr>
          <w:rFonts w:ascii="Times New Roman" w:hAnsi="Times New Roman" w:cs="Times New Roman"/>
          <w:sz w:val="24"/>
          <w:szCs w:val="24"/>
        </w:rPr>
        <w:t xml:space="preserve">for MSA </w:t>
      </w:r>
      <w:r w:rsidR="009B4ADF">
        <w:rPr>
          <w:rFonts w:ascii="Times New Roman" w:hAnsi="Times New Roman" w:cs="Times New Roman"/>
          <w:sz w:val="24"/>
          <w:szCs w:val="24"/>
        </w:rPr>
        <w:t xml:space="preserve">may </w:t>
      </w:r>
      <w:r w:rsidR="007B2CC1">
        <w:rPr>
          <w:rFonts w:ascii="Times New Roman" w:hAnsi="Times New Roman" w:cs="Times New Roman"/>
          <w:sz w:val="24"/>
          <w:szCs w:val="24"/>
        </w:rPr>
        <w:t>decrease</w:t>
      </w:r>
      <w:r w:rsidR="005C0C7E">
        <w:rPr>
          <w:rFonts w:ascii="Times New Roman" w:hAnsi="Times New Roman" w:cs="Times New Roman"/>
          <w:sz w:val="24"/>
          <w:szCs w:val="24"/>
        </w:rPr>
        <w:t xml:space="preserve"> as the </w:t>
      </w:r>
      <w:r w:rsidR="009B4ADF">
        <w:rPr>
          <w:rFonts w:ascii="Times New Roman" w:hAnsi="Times New Roman" w:cs="Times New Roman"/>
          <w:sz w:val="24"/>
          <w:szCs w:val="24"/>
        </w:rPr>
        <w:t xml:space="preserve">definition </w:t>
      </w:r>
      <w:r w:rsidR="005C0C7E">
        <w:rPr>
          <w:rFonts w:ascii="Times New Roman" w:hAnsi="Times New Roman" w:cs="Times New Roman"/>
          <w:sz w:val="24"/>
          <w:szCs w:val="24"/>
        </w:rPr>
        <w:t>of the RPD</w:t>
      </w:r>
      <w:r w:rsidR="00CF7308">
        <w:rPr>
          <w:rFonts w:ascii="Times New Roman" w:hAnsi="Times New Roman" w:cs="Times New Roman"/>
          <w:sz w:val="24"/>
          <w:szCs w:val="24"/>
        </w:rPr>
        <w:t xml:space="preserve"> changes (</w:t>
      </w:r>
      <w:r w:rsidR="00CF7308" w:rsidRPr="007B2CC1">
        <w:rPr>
          <w:rFonts w:ascii="Times New Roman" w:hAnsi="Times New Roman" w:cs="Times New Roman"/>
          <w:color w:val="FF0000"/>
          <w:sz w:val="24"/>
          <w:szCs w:val="24"/>
        </w:rPr>
        <w:t>Supplementary Figure 1</w:t>
      </w:r>
      <w:r w:rsidR="00CF7308">
        <w:rPr>
          <w:rFonts w:ascii="Times New Roman" w:hAnsi="Times New Roman" w:cs="Times New Roman"/>
          <w:sz w:val="24"/>
          <w:szCs w:val="24"/>
        </w:rPr>
        <w:t>)</w:t>
      </w:r>
      <w:r w:rsidR="005C0C7E">
        <w:rPr>
          <w:rFonts w:ascii="Times New Roman" w:hAnsi="Times New Roman" w:cs="Times New Roman"/>
          <w:sz w:val="24"/>
          <w:szCs w:val="24"/>
        </w:rPr>
        <w:t xml:space="preserve">. </w:t>
      </w:r>
      <w:r w:rsidR="007B2CC1">
        <w:rPr>
          <w:rFonts w:ascii="Times New Roman" w:hAnsi="Times New Roman" w:cs="Times New Roman"/>
          <w:sz w:val="24"/>
          <w:szCs w:val="24"/>
        </w:rPr>
        <w:t xml:space="preserve">For example, the most common type of TPR domains are those with three TPR motifs, but the number declines as one limits the size of the TPR motifs to </w:t>
      </w:r>
      <w:r w:rsidR="00CF7308">
        <w:rPr>
          <w:rFonts w:ascii="Times New Roman" w:hAnsi="Times New Roman" w:cs="Times New Roman"/>
          <w:sz w:val="24"/>
          <w:szCs w:val="24"/>
        </w:rPr>
        <w:t xml:space="preserve">5 TPR motifs, and/or </w:t>
      </w:r>
      <w:r w:rsidR="007B2CC1">
        <w:rPr>
          <w:rFonts w:ascii="Times New Roman" w:hAnsi="Times New Roman" w:cs="Times New Roman"/>
          <w:sz w:val="24"/>
          <w:szCs w:val="24"/>
        </w:rPr>
        <w:t>33 amino acids.</w:t>
      </w:r>
      <w:r w:rsidR="009B4ADF">
        <w:rPr>
          <w:rFonts w:ascii="Times New Roman" w:hAnsi="Times New Roman" w:cs="Times New Roman"/>
          <w:sz w:val="24"/>
          <w:szCs w:val="24"/>
        </w:rPr>
        <w:t xml:space="preserve"> A domain-MSA, while limited by numbers, can be extremely useful in uncovering domain-specific features important for PPI.</w:t>
      </w:r>
    </w:p>
    <w:p w:rsidR="0052140F" w:rsidRDefault="0052140F" w:rsidP="00811820">
      <w:pPr>
        <w:spacing w:after="0" w:line="240" w:lineRule="auto"/>
        <w:rPr>
          <w:rFonts w:ascii="Times New Roman" w:hAnsi="Times New Roman" w:cs="Times New Roman"/>
          <w:sz w:val="24"/>
          <w:szCs w:val="24"/>
        </w:rPr>
      </w:pPr>
    </w:p>
    <w:p w:rsidR="007B2CC1" w:rsidRPr="007B2CC1" w:rsidRDefault="007B2CC1" w:rsidP="00811820">
      <w:pPr>
        <w:spacing w:after="0" w:line="240" w:lineRule="auto"/>
        <w:rPr>
          <w:rFonts w:ascii="Times New Roman" w:hAnsi="Times New Roman" w:cs="Times New Roman"/>
          <w:color w:val="FF0000"/>
          <w:sz w:val="24"/>
          <w:szCs w:val="24"/>
        </w:rPr>
      </w:pPr>
      <w:r w:rsidRPr="007B2CC1">
        <w:rPr>
          <w:rFonts w:ascii="Times New Roman" w:hAnsi="Times New Roman" w:cs="Times New Roman"/>
          <w:color w:val="FF0000"/>
          <w:sz w:val="24"/>
          <w:szCs w:val="24"/>
        </w:rPr>
        <w:t>Talk about generalizability to non-RPD?</w:t>
      </w:r>
    </w:p>
    <w:p w:rsidR="007B2CC1" w:rsidRPr="007B2CC1" w:rsidRDefault="007B2CC1" w:rsidP="00811820">
      <w:pPr>
        <w:spacing w:after="0" w:line="240" w:lineRule="auto"/>
        <w:rPr>
          <w:rFonts w:ascii="Times New Roman" w:hAnsi="Times New Roman" w:cs="Times New Roman"/>
          <w:color w:val="FF0000"/>
          <w:sz w:val="24"/>
          <w:szCs w:val="24"/>
        </w:rPr>
      </w:pPr>
    </w:p>
    <w:p w:rsidR="0052140F" w:rsidRDefault="00671783" w:rsidP="00C1312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At this point, it is</w:t>
      </w:r>
      <w:r w:rsidR="007B2CC1">
        <w:rPr>
          <w:rFonts w:ascii="Times New Roman" w:hAnsi="Times New Roman" w:cs="Times New Roman"/>
          <w:sz w:val="24"/>
          <w:szCs w:val="24"/>
        </w:rPr>
        <w:t xml:space="preserve"> also</w:t>
      </w:r>
      <w:r>
        <w:rPr>
          <w:rFonts w:ascii="Times New Roman" w:hAnsi="Times New Roman" w:cs="Times New Roman"/>
          <w:sz w:val="24"/>
          <w:szCs w:val="24"/>
        </w:rPr>
        <w:t xml:space="preserve"> important to note that aggregating variants on the motif-MSA </w:t>
      </w:r>
      <w:r>
        <w:rPr>
          <w:rFonts w:ascii="Times New Roman" w:hAnsi="Times New Roman" w:cs="Times New Roman"/>
          <w:i/>
          <w:sz w:val="24"/>
          <w:szCs w:val="24"/>
        </w:rPr>
        <w:t xml:space="preserve">per se </w:t>
      </w:r>
      <w:r>
        <w:rPr>
          <w:rFonts w:ascii="Times New Roman" w:hAnsi="Times New Roman" w:cs="Times New Roman"/>
          <w:sz w:val="24"/>
          <w:szCs w:val="24"/>
        </w:rPr>
        <w:t xml:space="preserve">conflates genomic variant information not only from long and short evolutionary time scales, but also from the evolution of the same class of repeat motifs. Even though we have used SIFT scores as a proxy for inter-species comparison and log(R/C) for intra-species comparison to tease </w:t>
      </w:r>
      <w:r w:rsidR="0019742F">
        <w:rPr>
          <w:rFonts w:ascii="Times New Roman" w:hAnsi="Times New Roman" w:cs="Times New Roman"/>
          <w:sz w:val="24"/>
          <w:szCs w:val="24"/>
        </w:rPr>
        <w:t xml:space="preserve">apart </w:t>
      </w:r>
      <w:r>
        <w:rPr>
          <w:rFonts w:ascii="Times New Roman" w:hAnsi="Times New Roman" w:cs="Times New Roman"/>
          <w:sz w:val="24"/>
          <w:szCs w:val="24"/>
        </w:rPr>
        <w:t>contributions from selective constraints over long and short evolutionary timescales respectively, the interpretation of selective constraints in more generic metrics such as log(NS/S) is a confluence of evolutionary timescales and</w:t>
      </w:r>
      <w:r w:rsidR="0056190B">
        <w:rPr>
          <w:rFonts w:ascii="Times New Roman" w:hAnsi="Times New Roman" w:cs="Times New Roman"/>
          <w:sz w:val="24"/>
          <w:szCs w:val="24"/>
        </w:rPr>
        <w:t xml:space="preserve"> mutation</w:t>
      </w:r>
      <w:r>
        <w:rPr>
          <w:rFonts w:ascii="Times New Roman" w:hAnsi="Times New Roman" w:cs="Times New Roman"/>
          <w:sz w:val="24"/>
          <w:szCs w:val="24"/>
        </w:rPr>
        <w:t xml:space="preserve"> processes.</w:t>
      </w:r>
      <w:r w:rsidR="0019742F">
        <w:rPr>
          <w:rFonts w:ascii="Times New Roman" w:hAnsi="Times New Roman" w:cs="Times New Roman"/>
          <w:sz w:val="24"/>
          <w:szCs w:val="24"/>
        </w:rPr>
        <w:t xml:space="preserve"> Hence, for such metrics, it is imperative to be aware that they might demonstrate selective constraints in a </w:t>
      </w:r>
      <w:r w:rsidR="0056190B">
        <w:rPr>
          <w:rFonts w:ascii="Times New Roman" w:hAnsi="Times New Roman" w:cs="Times New Roman"/>
          <w:sz w:val="24"/>
          <w:szCs w:val="24"/>
        </w:rPr>
        <w:t>broader</w:t>
      </w:r>
      <w:r w:rsidR="0019742F">
        <w:rPr>
          <w:rFonts w:ascii="Times New Roman" w:hAnsi="Times New Roman" w:cs="Times New Roman"/>
          <w:sz w:val="24"/>
          <w:szCs w:val="24"/>
        </w:rPr>
        <w:t xml:space="preserve"> sense</w:t>
      </w:r>
      <w:r w:rsidR="0056190B">
        <w:rPr>
          <w:rFonts w:ascii="Times New Roman" w:hAnsi="Times New Roman" w:cs="Times New Roman"/>
          <w:sz w:val="24"/>
          <w:szCs w:val="24"/>
        </w:rPr>
        <w:t>, rather than a specific timescale or mutation process</w:t>
      </w:r>
      <w:r w:rsidR="0019742F">
        <w:rPr>
          <w:rFonts w:ascii="Times New Roman" w:hAnsi="Times New Roman" w:cs="Times New Roman"/>
          <w:sz w:val="24"/>
          <w:szCs w:val="24"/>
        </w:rPr>
        <w:t>.</w:t>
      </w:r>
    </w:p>
    <w:p w:rsidR="0098301E" w:rsidRDefault="0098301E" w:rsidP="00C1312B">
      <w:pPr>
        <w:spacing w:after="0" w:line="240" w:lineRule="auto"/>
        <w:rPr>
          <w:rFonts w:ascii="Times New Roman" w:hAnsi="Times New Roman" w:cs="Times New Roman"/>
          <w:sz w:val="24"/>
          <w:szCs w:val="24"/>
        </w:rPr>
      </w:pPr>
    </w:p>
    <w:p w:rsidR="007B2CC1" w:rsidRDefault="00030949" w:rsidP="00C1312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Much knowledge can be gleaned from the integration of heterogeneous data in a meaningful and computationally-tractable way. The motif-MSA approach provides a powerful and versatile platform to facilitate the melding of protein and genome information. </w:t>
      </w:r>
      <w:r w:rsidR="00D14A0B">
        <w:rPr>
          <w:rFonts w:ascii="Times New Roman" w:hAnsi="Times New Roman" w:cs="Times New Roman"/>
          <w:sz w:val="24"/>
          <w:szCs w:val="24"/>
        </w:rPr>
        <w:t xml:space="preserve">It </w:t>
      </w:r>
      <w:r>
        <w:rPr>
          <w:rFonts w:ascii="Times New Roman" w:hAnsi="Times New Roman" w:cs="Times New Roman"/>
          <w:sz w:val="24"/>
          <w:szCs w:val="24"/>
        </w:rPr>
        <w:t xml:space="preserve">will add to the </w:t>
      </w:r>
      <w:r w:rsidR="00D14A0B">
        <w:rPr>
          <w:rFonts w:ascii="Times New Roman" w:hAnsi="Times New Roman" w:cs="Times New Roman"/>
          <w:sz w:val="24"/>
          <w:szCs w:val="24"/>
        </w:rPr>
        <w:t xml:space="preserve">existing </w:t>
      </w:r>
      <w:r>
        <w:rPr>
          <w:rFonts w:ascii="Times New Roman" w:hAnsi="Times New Roman" w:cs="Times New Roman"/>
          <w:sz w:val="24"/>
          <w:szCs w:val="24"/>
        </w:rPr>
        <w:t xml:space="preserve">arsenal of tools in </w:t>
      </w:r>
      <w:r>
        <w:rPr>
          <w:rFonts w:ascii="Times New Roman" w:hAnsi="Times New Roman" w:cs="Times New Roman"/>
          <w:sz w:val="24"/>
          <w:szCs w:val="24"/>
        </w:rPr>
        <w:t>identifying residues that are involved in protein-protein interactions</w:t>
      </w:r>
      <w:r>
        <w:rPr>
          <w:rFonts w:ascii="Times New Roman" w:hAnsi="Times New Roman" w:cs="Times New Roman"/>
          <w:sz w:val="24"/>
          <w:szCs w:val="24"/>
        </w:rPr>
        <w:t>, which has</w:t>
      </w:r>
      <w:r>
        <w:rPr>
          <w:rFonts w:ascii="Times New Roman" w:hAnsi="Times New Roman" w:cs="Times New Roman"/>
          <w:sz w:val="24"/>
          <w:szCs w:val="24"/>
        </w:rPr>
        <w:t xml:space="preserve"> a direct and long-standing significance in the fields of protein engineering and drug design.</w:t>
      </w:r>
      <w:r w:rsidR="00203F96">
        <w:rPr>
          <w:rFonts w:ascii="Times New Roman" w:hAnsi="Times New Roman" w:cs="Times New Roman"/>
          <w:sz w:val="24"/>
          <w:szCs w:val="24"/>
        </w:rPr>
        <w:t xml:space="preserve"> </w:t>
      </w:r>
      <w:r w:rsidR="00D14A0B">
        <w:rPr>
          <w:rFonts w:ascii="Times New Roman" w:hAnsi="Times New Roman" w:cs="Times New Roman"/>
          <w:sz w:val="24"/>
          <w:szCs w:val="24"/>
        </w:rPr>
        <w:t>Perhaps more pertinently, t</w:t>
      </w:r>
      <w:r>
        <w:rPr>
          <w:rFonts w:ascii="Times New Roman" w:hAnsi="Times New Roman" w:cs="Times New Roman"/>
          <w:sz w:val="24"/>
          <w:szCs w:val="24"/>
        </w:rPr>
        <w:t xml:space="preserve">his </w:t>
      </w:r>
      <w:r w:rsidR="00D14A0B">
        <w:rPr>
          <w:rFonts w:ascii="Times New Roman" w:hAnsi="Times New Roman" w:cs="Times New Roman"/>
          <w:sz w:val="24"/>
          <w:szCs w:val="24"/>
        </w:rPr>
        <w:t xml:space="preserve">methodology </w:t>
      </w:r>
      <w:r>
        <w:rPr>
          <w:rFonts w:ascii="Times New Roman" w:hAnsi="Times New Roman" w:cs="Times New Roman"/>
          <w:sz w:val="24"/>
          <w:szCs w:val="24"/>
        </w:rPr>
        <w:t>will serve well</w:t>
      </w:r>
      <w:r w:rsidR="00F568AD">
        <w:rPr>
          <w:rFonts w:ascii="Times New Roman" w:hAnsi="Times New Roman" w:cs="Times New Roman"/>
          <w:sz w:val="24"/>
          <w:szCs w:val="24"/>
        </w:rPr>
        <w:t xml:space="preserve">, both </w:t>
      </w:r>
      <w:r w:rsidR="00D14A0B">
        <w:rPr>
          <w:rFonts w:ascii="Times New Roman" w:hAnsi="Times New Roman" w:cs="Times New Roman"/>
          <w:sz w:val="24"/>
          <w:szCs w:val="24"/>
        </w:rPr>
        <w:t xml:space="preserve">as a way to leverage the vast amount of sequencing data currently available, and as </w:t>
      </w:r>
      <w:r w:rsidR="00D1463B">
        <w:rPr>
          <w:rFonts w:ascii="Times New Roman" w:hAnsi="Times New Roman" w:cs="Times New Roman"/>
          <w:sz w:val="24"/>
          <w:szCs w:val="24"/>
        </w:rPr>
        <w:t xml:space="preserve">a complementary </w:t>
      </w:r>
      <w:r w:rsidR="00D14A0B">
        <w:rPr>
          <w:rFonts w:ascii="Times New Roman" w:hAnsi="Times New Roman" w:cs="Times New Roman"/>
          <w:sz w:val="24"/>
          <w:szCs w:val="24"/>
        </w:rPr>
        <w:t xml:space="preserve">perspective </w:t>
      </w:r>
      <w:r w:rsidR="007B2CC1">
        <w:rPr>
          <w:rFonts w:ascii="Times New Roman" w:hAnsi="Times New Roman" w:cs="Times New Roman"/>
          <w:sz w:val="24"/>
          <w:szCs w:val="24"/>
        </w:rPr>
        <w:t xml:space="preserve">in the </w:t>
      </w:r>
      <w:r w:rsidR="00203F96">
        <w:rPr>
          <w:rFonts w:ascii="Times New Roman" w:hAnsi="Times New Roman" w:cs="Times New Roman"/>
          <w:sz w:val="24"/>
          <w:szCs w:val="24"/>
        </w:rPr>
        <w:t xml:space="preserve">genomic </w:t>
      </w:r>
      <w:r w:rsidR="007B2CC1">
        <w:rPr>
          <w:rFonts w:ascii="Times New Roman" w:hAnsi="Times New Roman" w:cs="Times New Roman"/>
          <w:sz w:val="24"/>
          <w:szCs w:val="24"/>
        </w:rPr>
        <w:t>variant annotation</w:t>
      </w:r>
      <w:r w:rsidR="00D1463B">
        <w:rPr>
          <w:rFonts w:ascii="Times New Roman" w:hAnsi="Times New Roman" w:cs="Times New Roman"/>
          <w:sz w:val="24"/>
          <w:szCs w:val="24"/>
        </w:rPr>
        <w:t xml:space="preserve"> endeavor</w:t>
      </w:r>
      <w:r w:rsidR="00B469B4">
        <w:rPr>
          <w:rFonts w:ascii="Times New Roman" w:hAnsi="Times New Roman" w:cs="Times New Roman"/>
          <w:sz w:val="24"/>
          <w:szCs w:val="24"/>
        </w:rPr>
        <w:t xml:space="preserve"> – an activity that </w:t>
      </w:r>
      <w:r w:rsidR="00203F96">
        <w:rPr>
          <w:rFonts w:ascii="Times New Roman" w:hAnsi="Times New Roman" w:cs="Times New Roman"/>
          <w:sz w:val="24"/>
          <w:szCs w:val="24"/>
        </w:rPr>
        <w:t xml:space="preserve">will </w:t>
      </w:r>
      <w:r w:rsidR="00B469B4">
        <w:rPr>
          <w:rFonts w:ascii="Times New Roman" w:hAnsi="Times New Roman" w:cs="Times New Roman"/>
          <w:sz w:val="24"/>
          <w:szCs w:val="24"/>
        </w:rPr>
        <w:t xml:space="preserve">increase in </w:t>
      </w:r>
      <w:r w:rsidR="007B2CC1">
        <w:rPr>
          <w:rFonts w:ascii="Times New Roman" w:hAnsi="Times New Roman" w:cs="Times New Roman"/>
          <w:sz w:val="24"/>
          <w:szCs w:val="24"/>
        </w:rPr>
        <w:t xml:space="preserve">importance </w:t>
      </w:r>
      <w:r w:rsidR="00B469B4">
        <w:rPr>
          <w:rFonts w:ascii="Times New Roman" w:hAnsi="Times New Roman" w:cs="Times New Roman"/>
          <w:sz w:val="24"/>
          <w:szCs w:val="24"/>
        </w:rPr>
        <w:t xml:space="preserve">and urgency </w:t>
      </w:r>
      <w:r w:rsidR="00203F96">
        <w:rPr>
          <w:rFonts w:ascii="Times New Roman" w:hAnsi="Times New Roman" w:cs="Times New Roman"/>
          <w:sz w:val="24"/>
          <w:szCs w:val="24"/>
        </w:rPr>
        <w:t xml:space="preserve">in the near future, </w:t>
      </w:r>
      <w:r w:rsidR="007B2CC1">
        <w:rPr>
          <w:rFonts w:ascii="Times New Roman" w:hAnsi="Times New Roman" w:cs="Times New Roman"/>
          <w:sz w:val="24"/>
          <w:szCs w:val="24"/>
        </w:rPr>
        <w:t xml:space="preserve">as human genome sequencing becomes more clinical and </w:t>
      </w:r>
      <w:r w:rsidR="008639B0">
        <w:rPr>
          <w:rFonts w:ascii="Times New Roman" w:hAnsi="Times New Roman" w:cs="Times New Roman"/>
          <w:sz w:val="24"/>
          <w:szCs w:val="24"/>
        </w:rPr>
        <w:t xml:space="preserve">personal </w:t>
      </w:r>
      <w:r w:rsidR="007B2CC1">
        <w:rPr>
          <w:rFonts w:ascii="Times New Roman" w:hAnsi="Times New Roman" w:cs="Times New Roman"/>
          <w:sz w:val="24"/>
          <w:szCs w:val="24"/>
        </w:rPr>
        <w:t xml:space="preserve">genome interpretation takes center stage. </w:t>
      </w:r>
    </w:p>
    <w:p w:rsidR="0052140F" w:rsidRDefault="0052140F" w:rsidP="00C1312B">
      <w:pPr>
        <w:spacing w:after="0" w:line="240" w:lineRule="auto"/>
        <w:rPr>
          <w:rFonts w:ascii="Times New Roman" w:hAnsi="Times New Roman" w:cs="Times New Roman"/>
          <w:sz w:val="24"/>
          <w:szCs w:val="24"/>
        </w:rPr>
      </w:pPr>
    </w:p>
    <w:p w:rsidR="00833E71" w:rsidRDefault="00833E71" w:rsidP="006B37B8">
      <w:pPr>
        <w:spacing w:after="0" w:line="240" w:lineRule="auto"/>
        <w:rPr>
          <w:rFonts w:ascii="Times New Roman" w:hAnsi="Times New Roman" w:cs="Times New Roman"/>
          <w:b/>
          <w:sz w:val="24"/>
          <w:szCs w:val="24"/>
          <w:u w:val="single"/>
        </w:rPr>
      </w:pPr>
    </w:p>
    <w:p w:rsidR="00876685" w:rsidRDefault="0098301E" w:rsidP="006B37B8">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M</w:t>
      </w:r>
      <w:r w:rsidR="00876685">
        <w:rPr>
          <w:rFonts w:ascii="Times New Roman" w:hAnsi="Times New Roman" w:cs="Times New Roman"/>
          <w:b/>
          <w:sz w:val="24"/>
          <w:szCs w:val="24"/>
          <w:u w:val="single"/>
        </w:rPr>
        <w:t xml:space="preserve">ethods </w:t>
      </w:r>
    </w:p>
    <w:p w:rsidR="0028564C" w:rsidRDefault="0028564C" w:rsidP="006B37B8">
      <w:pPr>
        <w:spacing w:after="0" w:line="240" w:lineRule="auto"/>
        <w:rPr>
          <w:rFonts w:ascii="Times New Roman" w:hAnsi="Times New Roman" w:cs="Times New Roman"/>
          <w:sz w:val="24"/>
          <w:szCs w:val="24"/>
        </w:rPr>
      </w:pPr>
    </w:p>
    <w:p w:rsidR="000524E8" w:rsidRPr="0028564C" w:rsidRDefault="000524E8" w:rsidP="000524E8">
      <w:pPr>
        <w:spacing w:after="0" w:line="240" w:lineRule="auto"/>
        <w:rPr>
          <w:rFonts w:ascii="Times New Roman" w:hAnsi="Times New Roman" w:cs="Times New Roman"/>
          <w:b/>
          <w:i/>
          <w:sz w:val="24"/>
          <w:szCs w:val="24"/>
        </w:rPr>
      </w:pPr>
      <w:r w:rsidRPr="0028564C">
        <w:rPr>
          <w:rFonts w:ascii="Times New Roman" w:hAnsi="Times New Roman" w:cs="Times New Roman"/>
          <w:b/>
          <w:i/>
          <w:sz w:val="24"/>
          <w:szCs w:val="24"/>
        </w:rPr>
        <w:t>Multiple sequence alignment</w:t>
      </w:r>
      <w:r>
        <w:rPr>
          <w:rFonts w:ascii="Times New Roman" w:hAnsi="Times New Roman" w:cs="Times New Roman"/>
          <w:b/>
          <w:i/>
          <w:sz w:val="24"/>
          <w:szCs w:val="24"/>
        </w:rPr>
        <w:t xml:space="preserve"> (MSA)</w:t>
      </w:r>
    </w:p>
    <w:p w:rsidR="00304BA3" w:rsidRDefault="00421165" w:rsidP="006B37B8">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161408">
        <w:rPr>
          <w:rFonts w:ascii="Times New Roman" w:hAnsi="Times New Roman" w:cs="Times New Roman"/>
          <w:sz w:val="24"/>
          <w:szCs w:val="24"/>
        </w:rPr>
        <w:t xml:space="preserve">ll </w:t>
      </w:r>
      <w:r w:rsidR="00E07D1B">
        <w:rPr>
          <w:rFonts w:ascii="Times New Roman" w:hAnsi="Times New Roman" w:cs="Times New Roman"/>
          <w:sz w:val="24"/>
          <w:szCs w:val="24"/>
        </w:rPr>
        <w:t xml:space="preserve">protein, </w:t>
      </w:r>
      <w:r w:rsidR="00161408">
        <w:rPr>
          <w:rFonts w:ascii="Times New Roman" w:hAnsi="Times New Roman" w:cs="Times New Roman"/>
          <w:sz w:val="24"/>
          <w:szCs w:val="24"/>
        </w:rPr>
        <w:t xml:space="preserve">motif and domain information </w:t>
      </w:r>
      <w:r>
        <w:rPr>
          <w:rFonts w:ascii="Times New Roman" w:hAnsi="Times New Roman" w:cs="Times New Roman"/>
          <w:sz w:val="24"/>
          <w:szCs w:val="24"/>
        </w:rPr>
        <w:t xml:space="preserve">are extracted </w:t>
      </w:r>
      <w:r w:rsidR="00161408">
        <w:rPr>
          <w:rFonts w:ascii="Times New Roman" w:hAnsi="Times New Roman" w:cs="Times New Roman"/>
          <w:sz w:val="24"/>
          <w:szCs w:val="24"/>
        </w:rPr>
        <w:t xml:space="preserve">from </w:t>
      </w:r>
      <w:proofErr w:type="spellStart"/>
      <w:r w:rsidR="00126CD2">
        <w:rPr>
          <w:rFonts w:ascii="Times New Roman" w:hAnsi="Times New Roman" w:cs="Times New Roman"/>
          <w:sz w:val="24"/>
          <w:szCs w:val="24"/>
        </w:rPr>
        <w:t>Ensembl</w:t>
      </w:r>
      <w:proofErr w:type="spellEnd"/>
      <w:r w:rsidR="00E07D1B">
        <w:rPr>
          <w:rFonts w:ascii="Times New Roman" w:hAnsi="Times New Roman" w:cs="Times New Roman"/>
          <w:sz w:val="24"/>
          <w:szCs w:val="24"/>
        </w:rPr>
        <w:t xml:space="preserve"> database</w:t>
      </w:r>
      <w:r w:rsidR="00126CD2">
        <w:rPr>
          <w:rFonts w:ascii="Times New Roman" w:hAnsi="Times New Roman" w:cs="Times New Roman"/>
          <w:sz w:val="24"/>
          <w:szCs w:val="24"/>
        </w:rPr>
        <w:t xml:space="preserve"> version 73 and </w:t>
      </w:r>
      <w:r w:rsidR="00161408">
        <w:rPr>
          <w:rFonts w:ascii="Times New Roman" w:hAnsi="Times New Roman" w:cs="Times New Roman"/>
          <w:sz w:val="24"/>
          <w:szCs w:val="24"/>
        </w:rPr>
        <w:t>SMART database, under the ‘</w:t>
      </w:r>
      <w:r w:rsidR="000524E8">
        <w:rPr>
          <w:rFonts w:ascii="Times New Roman" w:hAnsi="Times New Roman" w:cs="Times New Roman"/>
          <w:sz w:val="24"/>
          <w:szCs w:val="24"/>
        </w:rPr>
        <w:t>g</w:t>
      </w:r>
      <w:r w:rsidR="00161408">
        <w:rPr>
          <w:rFonts w:ascii="Times New Roman" w:hAnsi="Times New Roman" w:cs="Times New Roman"/>
          <w:sz w:val="24"/>
          <w:szCs w:val="24"/>
        </w:rPr>
        <w:t xml:space="preserve">enomic’ mode, </w:t>
      </w:r>
      <w:r w:rsidR="00126CD2">
        <w:rPr>
          <w:rFonts w:ascii="Times New Roman" w:hAnsi="Times New Roman" w:cs="Times New Roman"/>
          <w:sz w:val="24"/>
          <w:szCs w:val="24"/>
        </w:rPr>
        <w:t xml:space="preserve">for </w:t>
      </w:r>
      <w:r w:rsidR="00161408">
        <w:rPr>
          <w:rFonts w:ascii="Times New Roman" w:hAnsi="Times New Roman" w:cs="Times New Roman"/>
          <w:sz w:val="24"/>
          <w:szCs w:val="24"/>
        </w:rPr>
        <w:t xml:space="preserve">species, </w:t>
      </w:r>
      <w:r w:rsidR="00161408">
        <w:rPr>
          <w:rFonts w:ascii="Times New Roman" w:hAnsi="Times New Roman" w:cs="Times New Roman"/>
          <w:i/>
          <w:sz w:val="24"/>
          <w:szCs w:val="24"/>
        </w:rPr>
        <w:t xml:space="preserve">Homo sapiens </w:t>
      </w:r>
      <w:r w:rsidR="00161408">
        <w:rPr>
          <w:rFonts w:ascii="Times New Roman" w:hAnsi="Times New Roman" w:cs="Times New Roman"/>
          <w:sz w:val="24"/>
          <w:szCs w:val="24"/>
        </w:rPr>
        <w:t xml:space="preserve">(downloaded Oct 25, </w:t>
      </w:r>
      <w:r w:rsidR="00126CD2">
        <w:rPr>
          <w:rFonts w:ascii="Times New Roman" w:hAnsi="Times New Roman" w:cs="Times New Roman"/>
          <w:sz w:val="24"/>
          <w:szCs w:val="24"/>
        </w:rPr>
        <w:t>2013</w:t>
      </w:r>
      <w:r w:rsidR="00161408">
        <w:rPr>
          <w:rFonts w:ascii="Times New Roman" w:hAnsi="Times New Roman" w:cs="Times New Roman"/>
          <w:sz w:val="24"/>
          <w:szCs w:val="24"/>
        </w:rPr>
        <w:t>).</w:t>
      </w:r>
      <w:r w:rsidR="00360904">
        <w:rPr>
          <w:rFonts w:ascii="Times New Roman" w:hAnsi="Times New Roman" w:cs="Times New Roman"/>
          <w:sz w:val="24"/>
          <w:szCs w:val="24"/>
        </w:rPr>
        <w:fldChar w:fldCharType="begin" w:fldLock="1"/>
      </w:r>
      <w:r w:rsidR="00360904">
        <w:rPr>
          <w:rFonts w:ascii="Times New Roman" w:hAnsi="Times New Roman" w:cs="Times New Roman"/>
          <w:sz w:val="24"/>
          <w:szCs w:val="24"/>
        </w:rPr>
        <w:instrText>ADDIN CSL_CITATION { "citationItems" : [ { "id" : "ITEM-1", "itemData" : { "DOI" : "10.1093/nar/gkr931", "ISSN" : "1362-4962", "PMID" : "22053084", "abstract" : "SMART (Simple Modular Architecture Research Tool) is an online resource (http://smart.embl.de/) for the identification and annotation of protein domains and the analysis of protein domain architectures. SMART version 7 contains manually curated models for 1009 protein domains, 200 more than in the previous version. The current release introduces several novel features and a streamlined user interface resulting in a faster and more comfortable workflow. The underlying protein databases were greatly expanded, resulting in a 2-fold increase in number of annotated domains and features. The database of completely sequenced genomes now includes 1133 species, compared to 630 in the previous release. Domain architecture analysis results can now be exported and visualized through the iTOL phylogenetic tree viewer. 'metaSMART' was introduced as a novel subresource dedicated to the exploration and analysis of domain architectures in various metagenomics data sets. An advanced full text search engine was implemented, covering the complete annotations for SMART and Pfam domains, as well as the complete set of protein descriptions, allowing users to quickly find relevant information.", "author" : [ { "dropping-particle" : "", "family" : "Letunic", "given" : "Ivica", "non-dropping-particle" : "", "parse-names" : false, "suffix" : "" }, { "dropping-particle" : "", "family" : "Doerks", "given" : "Tobias", "non-dropping-particle" : "", "parse-names" : false, "suffix" : "" }, { "dropping-particle" : "", "family" : "Bork", "given" : "Peer", "non-dropping-particle" : "", "parse-names" : false, "suffix" : "" } ], "container-title" : "Nucleic acids research", "id" : "ITEM-1", "issue" : "Database issue", "issued" : { "date-parts" : [ [ "2012", "1" ] ] }, "page" : "D302-5", "title" : "SMART 7: recent updates to the protein domain annotation resource.", "type" : "article-journal", "volume" : "40" }, "uris" : [ "http://www.mendeley.com/documents/?uuid=c945d000-4a98-4bd6-864c-1f614c6935e5" ] } ], "mendeley" : { "formattedCitation" : "&lt;sup&gt;39&lt;/sup&gt;", "plainTextFormattedCitation" : "39", "previouslyFormattedCitation" : "&lt;sup&gt;39&lt;/sup&gt;" }, "properties" : { "noteIndex" : 0 }, "schema" : "https://github.com/citation-style-language/schema/raw/master/csl-citation.json" }</w:instrText>
      </w:r>
      <w:r w:rsidR="00360904">
        <w:rPr>
          <w:rFonts w:ascii="Times New Roman" w:hAnsi="Times New Roman" w:cs="Times New Roman"/>
          <w:sz w:val="24"/>
          <w:szCs w:val="24"/>
        </w:rPr>
        <w:fldChar w:fldCharType="separate"/>
      </w:r>
      <w:r w:rsidR="00360904" w:rsidRPr="00360904">
        <w:rPr>
          <w:rFonts w:ascii="Times New Roman" w:hAnsi="Times New Roman" w:cs="Times New Roman"/>
          <w:noProof/>
          <w:sz w:val="24"/>
          <w:szCs w:val="24"/>
          <w:vertAlign w:val="superscript"/>
        </w:rPr>
        <w:t>39</w:t>
      </w:r>
      <w:r w:rsidR="00360904">
        <w:rPr>
          <w:rFonts w:ascii="Times New Roman" w:hAnsi="Times New Roman" w:cs="Times New Roman"/>
          <w:sz w:val="24"/>
          <w:szCs w:val="24"/>
        </w:rPr>
        <w:fldChar w:fldCharType="end"/>
      </w:r>
      <w:r w:rsidR="0017353E">
        <w:rPr>
          <w:rFonts w:ascii="Times New Roman" w:hAnsi="Times New Roman" w:cs="Times New Roman"/>
          <w:sz w:val="24"/>
          <w:szCs w:val="24"/>
        </w:rPr>
        <w:t xml:space="preserve"> The </w:t>
      </w:r>
      <w:r w:rsidR="0017353E" w:rsidRPr="0017353E">
        <w:rPr>
          <w:rFonts w:ascii="Times New Roman" w:hAnsi="Times New Roman" w:cs="Times New Roman"/>
          <w:color w:val="FF0000"/>
          <w:sz w:val="24"/>
          <w:szCs w:val="24"/>
        </w:rPr>
        <w:t xml:space="preserve">34 </w:t>
      </w:r>
      <w:r w:rsidR="001D2366">
        <w:rPr>
          <w:rFonts w:ascii="Times New Roman" w:hAnsi="Times New Roman" w:cs="Times New Roman"/>
          <w:color w:val="FF0000"/>
          <w:sz w:val="24"/>
          <w:szCs w:val="24"/>
        </w:rPr>
        <w:t xml:space="preserve">PPI </w:t>
      </w:r>
      <w:r w:rsidR="0017353E">
        <w:rPr>
          <w:rFonts w:ascii="Times New Roman" w:hAnsi="Times New Roman" w:cs="Times New Roman"/>
          <w:sz w:val="24"/>
          <w:szCs w:val="24"/>
        </w:rPr>
        <w:t xml:space="preserve">domains, </w:t>
      </w:r>
      <w:r w:rsidRPr="0028564C">
        <w:rPr>
          <w:rFonts w:ascii="Times New Roman" w:hAnsi="Times New Roman" w:cs="Times New Roman"/>
          <w:color w:val="FF0000"/>
          <w:sz w:val="24"/>
          <w:szCs w:val="24"/>
        </w:rPr>
        <w:t xml:space="preserve">repeat </w:t>
      </w:r>
      <w:r w:rsidR="0017353E">
        <w:rPr>
          <w:rFonts w:ascii="Times New Roman" w:hAnsi="Times New Roman" w:cs="Times New Roman"/>
          <w:color w:val="FF0000"/>
          <w:sz w:val="24"/>
          <w:szCs w:val="24"/>
        </w:rPr>
        <w:t>and</w:t>
      </w:r>
      <w:r w:rsidRPr="0028564C">
        <w:rPr>
          <w:rFonts w:ascii="Times New Roman" w:hAnsi="Times New Roman" w:cs="Times New Roman"/>
          <w:color w:val="FF0000"/>
          <w:sz w:val="24"/>
          <w:szCs w:val="24"/>
        </w:rPr>
        <w:t xml:space="preserve"> non-repeat</w:t>
      </w:r>
      <w:r w:rsidR="0017353E">
        <w:rPr>
          <w:rFonts w:ascii="Times New Roman" w:hAnsi="Times New Roman" w:cs="Times New Roman"/>
          <w:sz w:val="24"/>
          <w:szCs w:val="24"/>
        </w:rPr>
        <w:t xml:space="preserve">, </w:t>
      </w:r>
      <w:r>
        <w:rPr>
          <w:rFonts w:ascii="Times New Roman" w:hAnsi="Times New Roman" w:cs="Times New Roman"/>
          <w:sz w:val="24"/>
          <w:szCs w:val="24"/>
        </w:rPr>
        <w:t xml:space="preserve">are manually selected </w:t>
      </w:r>
      <w:r w:rsidR="00570023">
        <w:rPr>
          <w:rFonts w:ascii="Times New Roman" w:hAnsi="Times New Roman" w:cs="Times New Roman"/>
          <w:sz w:val="24"/>
          <w:szCs w:val="24"/>
        </w:rPr>
        <w:t>based on the</w:t>
      </w:r>
      <w:r w:rsidR="001D2366">
        <w:rPr>
          <w:rFonts w:ascii="Times New Roman" w:hAnsi="Times New Roman" w:cs="Times New Roman"/>
          <w:sz w:val="24"/>
          <w:szCs w:val="24"/>
        </w:rPr>
        <w:t>ir</w:t>
      </w:r>
      <w:r w:rsidR="00570023">
        <w:rPr>
          <w:rFonts w:ascii="Times New Roman" w:hAnsi="Times New Roman" w:cs="Times New Roman"/>
          <w:sz w:val="24"/>
          <w:szCs w:val="24"/>
        </w:rPr>
        <w:t xml:space="preserve"> availability in the SMART database</w:t>
      </w:r>
      <w:r>
        <w:rPr>
          <w:rFonts w:ascii="Times New Roman" w:hAnsi="Times New Roman" w:cs="Times New Roman"/>
          <w:sz w:val="24"/>
          <w:szCs w:val="24"/>
        </w:rPr>
        <w:t>.</w:t>
      </w:r>
    </w:p>
    <w:p w:rsidR="00304BA3" w:rsidRDefault="00304BA3" w:rsidP="006B37B8">
      <w:pPr>
        <w:spacing w:after="0" w:line="240" w:lineRule="auto"/>
        <w:rPr>
          <w:rFonts w:ascii="Times New Roman" w:hAnsi="Times New Roman" w:cs="Times New Roman"/>
          <w:sz w:val="24"/>
          <w:szCs w:val="24"/>
        </w:rPr>
      </w:pPr>
    </w:p>
    <w:p w:rsidR="00161408" w:rsidRDefault="00161408" w:rsidP="006B37B8">
      <w:pPr>
        <w:spacing w:after="0" w:line="240" w:lineRule="auto"/>
        <w:rPr>
          <w:rFonts w:ascii="Times New Roman" w:hAnsi="Times New Roman" w:cs="Times New Roman"/>
          <w:sz w:val="24"/>
          <w:szCs w:val="24"/>
        </w:rPr>
      </w:pPr>
      <w:r>
        <w:rPr>
          <w:rFonts w:ascii="Times New Roman" w:hAnsi="Times New Roman" w:cs="Times New Roman"/>
          <w:sz w:val="24"/>
          <w:szCs w:val="24"/>
        </w:rPr>
        <w:t>We will use the TPR domains as an example to illustrate the process of motif- and species-MSA in our study.</w:t>
      </w:r>
    </w:p>
    <w:p w:rsidR="001D2366" w:rsidRDefault="001D2366" w:rsidP="006B37B8">
      <w:pPr>
        <w:spacing w:after="0" w:line="240" w:lineRule="auto"/>
        <w:rPr>
          <w:rFonts w:ascii="Times New Roman" w:hAnsi="Times New Roman" w:cs="Times New Roman"/>
          <w:sz w:val="24"/>
          <w:szCs w:val="24"/>
        </w:rPr>
      </w:pPr>
    </w:p>
    <w:p w:rsidR="0028564C" w:rsidRDefault="00943180" w:rsidP="006B37B8">
      <w:pPr>
        <w:spacing w:after="0" w:line="240" w:lineRule="auto"/>
        <w:rPr>
          <w:rFonts w:ascii="Times New Roman" w:hAnsi="Times New Roman" w:cs="Times New Roman"/>
          <w:sz w:val="24"/>
          <w:szCs w:val="24"/>
        </w:rPr>
      </w:pPr>
      <w:r>
        <w:rPr>
          <w:rFonts w:ascii="Times New Roman" w:hAnsi="Times New Roman" w:cs="Times New Roman"/>
          <w:sz w:val="24"/>
          <w:szCs w:val="24"/>
        </w:rPr>
        <w:t>To obtain a motif-MSA</w:t>
      </w:r>
      <w:r w:rsidR="00546A7E">
        <w:rPr>
          <w:rFonts w:ascii="Times New Roman" w:hAnsi="Times New Roman" w:cs="Times New Roman"/>
          <w:sz w:val="24"/>
          <w:szCs w:val="24"/>
        </w:rPr>
        <w:t xml:space="preserve"> sequence profile</w:t>
      </w:r>
      <w:r w:rsidR="00161408">
        <w:rPr>
          <w:rFonts w:ascii="Times New Roman" w:hAnsi="Times New Roman" w:cs="Times New Roman"/>
          <w:sz w:val="24"/>
          <w:szCs w:val="24"/>
        </w:rPr>
        <w:t xml:space="preserve">, (1) </w:t>
      </w:r>
      <w:r w:rsidR="00126CD2">
        <w:rPr>
          <w:rFonts w:ascii="Times New Roman" w:hAnsi="Times New Roman" w:cs="Times New Roman"/>
          <w:sz w:val="24"/>
          <w:szCs w:val="24"/>
        </w:rPr>
        <w:t xml:space="preserve">we first extract all TPR </w:t>
      </w:r>
      <w:r w:rsidR="00161408">
        <w:rPr>
          <w:rFonts w:ascii="Times New Roman" w:hAnsi="Times New Roman" w:cs="Times New Roman"/>
          <w:sz w:val="24"/>
          <w:szCs w:val="24"/>
        </w:rPr>
        <w:t xml:space="preserve">domains in the human proteome </w:t>
      </w:r>
      <w:r w:rsidR="00126CD2">
        <w:rPr>
          <w:rFonts w:ascii="Times New Roman" w:hAnsi="Times New Roman" w:cs="Times New Roman"/>
          <w:sz w:val="24"/>
          <w:szCs w:val="24"/>
        </w:rPr>
        <w:t>and break</w:t>
      </w:r>
      <w:r>
        <w:rPr>
          <w:rFonts w:ascii="Times New Roman" w:hAnsi="Times New Roman" w:cs="Times New Roman"/>
          <w:sz w:val="24"/>
          <w:szCs w:val="24"/>
        </w:rPr>
        <w:t xml:space="preserve"> </w:t>
      </w:r>
      <w:r w:rsidR="00546A7E">
        <w:rPr>
          <w:rFonts w:ascii="Times New Roman" w:hAnsi="Times New Roman" w:cs="Times New Roman"/>
          <w:sz w:val="24"/>
          <w:szCs w:val="24"/>
        </w:rPr>
        <w:t xml:space="preserve">them </w:t>
      </w:r>
      <w:r>
        <w:rPr>
          <w:rFonts w:ascii="Times New Roman" w:hAnsi="Times New Roman" w:cs="Times New Roman"/>
          <w:sz w:val="24"/>
          <w:szCs w:val="24"/>
        </w:rPr>
        <w:t xml:space="preserve">up into its constituent motifs. </w:t>
      </w:r>
      <w:r w:rsidR="00161408">
        <w:rPr>
          <w:rFonts w:ascii="Times New Roman" w:hAnsi="Times New Roman" w:cs="Times New Roman"/>
          <w:sz w:val="24"/>
          <w:szCs w:val="24"/>
        </w:rPr>
        <w:t xml:space="preserve">(2) </w:t>
      </w:r>
      <w:r w:rsidR="00546A7E">
        <w:rPr>
          <w:rFonts w:ascii="Times New Roman" w:hAnsi="Times New Roman" w:cs="Times New Roman"/>
          <w:sz w:val="24"/>
          <w:szCs w:val="24"/>
        </w:rPr>
        <w:t>Here, t</w:t>
      </w:r>
      <w:r>
        <w:rPr>
          <w:rFonts w:ascii="Times New Roman" w:hAnsi="Times New Roman" w:cs="Times New Roman"/>
          <w:sz w:val="24"/>
          <w:szCs w:val="24"/>
        </w:rPr>
        <w:t xml:space="preserve">he motif-MSA is </w:t>
      </w:r>
      <w:r w:rsidR="00546A7E">
        <w:rPr>
          <w:rFonts w:ascii="Times New Roman" w:hAnsi="Times New Roman" w:cs="Times New Roman"/>
          <w:sz w:val="24"/>
          <w:szCs w:val="24"/>
        </w:rPr>
        <w:t xml:space="preserve">performed </w:t>
      </w:r>
      <w:r>
        <w:rPr>
          <w:rFonts w:ascii="Times New Roman" w:hAnsi="Times New Roman" w:cs="Times New Roman"/>
          <w:sz w:val="24"/>
          <w:szCs w:val="24"/>
        </w:rPr>
        <w:t xml:space="preserve">based on the most representative size of the motif. </w:t>
      </w:r>
      <w:r w:rsidR="00161408">
        <w:rPr>
          <w:rFonts w:ascii="Times New Roman" w:hAnsi="Times New Roman" w:cs="Times New Roman"/>
          <w:sz w:val="24"/>
          <w:szCs w:val="24"/>
        </w:rPr>
        <w:t>Hence, in order t</w:t>
      </w:r>
      <w:r>
        <w:rPr>
          <w:rFonts w:ascii="Times New Roman" w:hAnsi="Times New Roman" w:cs="Times New Roman"/>
          <w:sz w:val="24"/>
          <w:szCs w:val="24"/>
        </w:rPr>
        <w:t xml:space="preserve">o select the motif size, a histogram of all sizes of </w:t>
      </w:r>
      <w:r w:rsidR="00161408">
        <w:rPr>
          <w:rFonts w:ascii="Times New Roman" w:hAnsi="Times New Roman" w:cs="Times New Roman"/>
          <w:sz w:val="24"/>
          <w:szCs w:val="24"/>
        </w:rPr>
        <w:t xml:space="preserve">TPR motifs </w:t>
      </w:r>
      <w:r>
        <w:rPr>
          <w:rFonts w:ascii="Times New Roman" w:hAnsi="Times New Roman" w:cs="Times New Roman"/>
          <w:sz w:val="24"/>
          <w:szCs w:val="24"/>
        </w:rPr>
        <w:t xml:space="preserve">is constructed </w:t>
      </w:r>
      <w:r w:rsidR="00161408">
        <w:rPr>
          <w:rFonts w:ascii="Times New Roman" w:hAnsi="Times New Roman" w:cs="Times New Roman"/>
          <w:sz w:val="24"/>
          <w:szCs w:val="24"/>
        </w:rPr>
        <w:t>(</w:t>
      </w:r>
      <w:r w:rsidR="00161408" w:rsidRPr="00161408">
        <w:rPr>
          <w:rFonts w:ascii="Times New Roman" w:hAnsi="Times New Roman" w:cs="Times New Roman"/>
          <w:color w:val="FF0000"/>
          <w:sz w:val="24"/>
          <w:szCs w:val="24"/>
        </w:rPr>
        <w:t>Supplementary Figure 1</w:t>
      </w:r>
      <w:r w:rsidR="00161408">
        <w:rPr>
          <w:rFonts w:ascii="Times New Roman" w:hAnsi="Times New Roman" w:cs="Times New Roman"/>
          <w:sz w:val="24"/>
          <w:szCs w:val="24"/>
        </w:rPr>
        <w:t xml:space="preserve">) </w:t>
      </w:r>
      <w:r>
        <w:rPr>
          <w:rFonts w:ascii="Times New Roman" w:hAnsi="Times New Roman" w:cs="Times New Roman"/>
          <w:sz w:val="24"/>
          <w:szCs w:val="24"/>
        </w:rPr>
        <w:t>and the most common motif size is s</w:t>
      </w:r>
      <w:r w:rsidR="00161408">
        <w:rPr>
          <w:rFonts w:ascii="Times New Roman" w:hAnsi="Times New Roman" w:cs="Times New Roman"/>
          <w:sz w:val="24"/>
          <w:szCs w:val="24"/>
        </w:rPr>
        <w:t xml:space="preserve">elected for motif-MSA alignment; in TPR motifs, the most common motif size is 34 amino acids. </w:t>
      </w:r>
      <w:r w:rsidR="007E08DC">
        <w:rPr>
          <w:rFonts w:ascii="Times New Roman" w:hAnsi="Times New Roman" w:cs="Times New Roman"/>
          <w:sz w:val="24"/>
          <w:szCs w:val="24"/>
        </w:rPr>
        <w:t>There are a total of 1</w:t>
      </w:r>
      <w:r w:rsidR="00110617">
        <w:rPr>
          <w:rFonts w:ascii="Times New Roman" w:hAnsi="Times New Roman" w:cs="Times New Roman"/>
          <w:sz w:val="24"/>
          <w:szCs w:val="24"/>
        </w:rPr>
        <w:t>14</w:t>
      </w:r>
      <w:r w:rsidR="007E08DC">
        <w:rPr>
          <w:rFonts w:ascii="Times New Roman" w:hAnsi="Times New Roman" w:cs="Times New Roman"/>
          <w:sz w:val="24"/>
          <w:szCs w:val="24"/>
        </w:rPr>
        <w:t xml:space="preserve"> human proteins (from unique genes) with 571 unique 34-amino-acid TPR motif sequences; we only keep one motif when there are multiple with 100% sequence identity. </w:t>
      </w:r>
      <w:r w:rsidR="00161408">
        <w:rPr>
          <w:rFonts w:ascii="Times New Roman" w:hAnsi="Times New Roman" w:cs="Times New Roman"/>
          <w:sz w:val="24"/>
          <w:szCs w:val="24"/>
        </w:rPr>
        <w:t xml:space="preserve">(3) MSA is </w:t>
      </w:r>
      <w:r w:rsidR="00931A83">
        <w:rPr>
          <w:rFonts w:ascii="Times New Roman" w:hAnsi="Times New Roman" w:cs="Times New Roman"/>
          <w:sz w:val="24"/>
          <w:szCs w:val="24"/>
        </w:rPr>
        <w:t xml:space="preserve">then </w:t>
      </w:r>
      <w:r w:rsidR="00161408">
        <w:rPr>
          <w:rFonts w:ascii="Times New Roman" w:hAnsi="Times New Roman" w:cs="Times New Roman"/>
          <w:sz w:val="24"/>
          <w:szCs w:val="24"/>
        </w:rPr>
        <w:t xml:space="preserve">performed on </w:t>
      </w:r>
      <w:r w:rsidR="00080F60">
        <w:rPr>
          <w:rFonts w:ascii="Times New Roman" w:hAnsi="Times New Roman" w:cs="Times New Roman"/>
          <w:sz w:val="24"/>
          <w:szCs w:val="24"/>
        </w:rPr>
        <w:t>of these 571</w:t>
      </w:r>
      <w:r w:rsidR="00161408">
        <w:rPr>
          <w:rFonts w:ascii="Times New Roman" w:hAnsi="Times New Roman" w:cs="Times New Roman"/>
          <w:sz w:val="24"/>
          <w:szCs w:val="24"/>
        </w:rPr>
        <w:t xml:space="preserve"> TPR motifs with 34 amino acids</w:t>
      </w:r>
      <w:r w:rsidR="00022C13">
        <w:rPr>
          <w:rFonts w:ascii="Times New Roman" w:hAnsi="Times New Roman" w:cs="Times New Roman"/>
          <w:sz w:val="24"/>
          <w:szCs w:val="24"/>
        </w:rPr>
        <w:t>, with no gaps allowed</w:t>
      </w:r>
      <w:r w:rsidR="00080F60">
        <w:rPr>
          <w:rFonts w:ascii="Times New Roman" w:hAnsi="Times New Roman" w:cs="Times New Roman"/>
          <w:sz w:val="24"/>
          <w:szCs w:val="24"/>
        </w:rPr>
        <w:t>, i.e. we line up all sequences by position</w:t>
      </w:r>
      <w:r w:rsidR="00546A7E">
        <w:rPr>
          <w:rFonts w:ascii="Times New Roman" w:hAnsi="Times New Roman" w:cs="Times New Roman"/>
          <w:sz w:val="24"/>
          <w:szCs w:val="24"/>
        </w:rPr>
        <w:t xml:space="preserve"> end to end</w:t>
      </w:r>
      <w:r w:rsidR="0034707C">
        <w:rPr>
          <w:rFonts w:ascii="Times New Roman" w:hAnsi="Times New Roman" w:cs="Times New Roman"/>
          <w:sz w:val="24"/>
          <w:szCs w:val="24"/>
        </w:rPr>
        <w:t>.</w:t>
      </w:r>
      <w:r w:rsidR="00930756">
        <w:rPr>
          <w:rFonts w:ascii="Times New Roman" w:hAnsi="Times New Roman" w:cs="Times New Roman"/>
          <w:sz w:val="24"/>
          <w:szCs w:val="24"/>
        </w:rPr>
        <w:t xml:space="preserve"> </w:t>
      </w:r>
      <w:r w:rsidR="0034707C">
        <w:rPr>
          <w:rFonts w:ascii="Times New Roman" w:hAnsi="Times New Roman" w:cs="Times New Roman"/>
          <w:sz w:val="24"/>
          <w:szCs w:val="24"/>
        </w:rPr>
        <w:t>This ‘</w:t>
      </w:r>
      <w:proofErr w:type="spellStart"/>
      <w:r w:rsidR="0034707C">
        <w:rPr>
          <w:rFonts w:ascii="Times New Roman" w:hAnsi="Times New Roman" w:cs="Times New Roman"/>
          <w:sz w:val="24"/>
          <w:szCs w:val="24"/>
        </w:rPr>
        <w:t>ungapped</w:t>
      </w:r>
      <w:proofErr w:type="spellEnd"/>
      <w:r w:rsidR="0034707C">
        <w:rPr>
          <w:rFonts w:ascii="Times New Roman" w:hAnsi="Times New Roman" w:cs="Times New Roman"/>
          <w:sz w:val="24"/>
          <w:szCs w:val="24"/>
        </w:rPr>
        <w:t xml:space="preserve">’ alignment allows the derivation of a </w:t>
      </w:r>
      <w:r w:rsidR="00811085">
        <w:rPr>
          <w:rFonts w:ascii="Times New Roman" w:hAnsi="Times New Roman" w:cs="Times New Roman"/>
          <w:sz w:val="24"/>
          <w:szCs w:val="24"/>
        </w:rPr>
        <w:t>20-by-</w:t>
      </w:r>
      <w:r w:rsidR="00811085" w:rsidRPr="00811085">
        <w:rPr>
          <w:rFonts w:ascii="Times New Roman" w:hAnsi="Times New Roman" w:cs="Times New Roman"/>
          <w:i/>
          <w:sz w:val="24"/>
          <w:szCs w:val="24"/>
        </w:rPr>
        <w:t>n</w:t>
      </w:r>
      <w:r w:rsidR="00811085">
        <w:rPr>
          <w:rFonts w:ascii="Times New Roman" w:hAnsi="Times New Roman" w:cs="Times New Roman"/>
          <w:sz w:val="24"/>
          <w:szCs w:val="24"/>
        </w:rPr>
        <w:t xml:space="preserve"> </w:t>
      </w:r>
      <w:r w:rsidR="0034707C">
        <w:rPr>
          <w:rFonts w:ascii="Times New Roman" w:hAnsi="Times New Roman" w:cs="Times New Roman"/>
          <w:sz w:val="24"/>
          <w:szCs w:val="24"/>
        </w:rPr>
        <w:t>frequency table</w:t>
      </w:r>
      <w:r w:rsidR="00930756">
        <w:rPr>
          <w:rFonts w:ascii="Times New Roman" w:hAnsi="Times New Roman" w:cs="Times New Roman"/>
          <w:sz w:val="24"/>
          <w:szCs w:val="24"/>
        </w:rPr>
        <w:t xml:space="preserve"> </w:t>
      </w:r>
      <w:r w:rsidR="0034707C">
        <w:rPr>
          <w:rFonts w:ascii="Times New Roman" w:hAnsi="Times New Roman" w:cs="Times New Roman"/>
          <w:sz w:val="24"/>
          <w:szCs w:val="24"/>
        </w:rPr>
        <w:t xml:space="preserve">for </w:t>
      </w:r>
      <w:r w:rsidR="00811085">
        <w:rPr>
          <w:rFonts w:ascii="Times New Roman" w:hAnsi="Times New Roman" w:cs="Times New Roman"/>
          <w:sz w:val="24"/>
          <w:szCs w:val="24"/>
        </w:rPr>
        <w:t xml:space="preserve">20 residues and </w:t>
      </w:r>
      <w:r w:rsidR="00811085">
        <w:rPr>
          <w:rFonts w:ascii="Times New Roman" w:hAnsi="Times New Roman" w:cs="Times New Roman"/>
          <w:i/>
          <w:sz w:val="24"/>
          <w:szCs w:val="24"/>
        </w:rPr>
        <w:t xml:space="preserve">n </w:t>
      </w:r>
      <w:r w:rsidR="00930756">
        <w:rPr>
          <w:rFonts w:ascii="Times New Roman" w:hAnsi="Times New Roman" w:cs="Times New Roman"/>
          <w:sz w:val="24"/>
          <w:szCs w:val="24"/>
        </w:rPr>
        <w:t>position</w:t>
      </w:r>
      <w:r w:rsidR="00811085">
        <w:rPr>
          <w:rFonts w:ascii="Times New Roman" w:hAnsi="Times New Roman" w:cs="Times New Roman"/>
          <w:sz w:val="24"/>
          <w:szCs w:val="24"/>
        </w:rPr>
        <w:t>s</w:t>
      </w:r>
      <w:r w:rsidR="00930756">
        <w:rPr>
          <w:rFonts w:ascii="Times New Roman" w:hAnsi="Times New Roman" w:cs="Times New Roman"/>
          <w:sz w:val="24"/>
          <w:szCs w:val="24"/>
        </w:rPr>
        <w:t xml:space="preserve"> </w:t>
      </w:r>
      <w:r w:rsidR="00811085">
        <w:rPr>
          <w:rFonts w:ascii="Times New Roman" w:hAnsi="Times New Roman" w:cs="Times New Roman"/>
          <w:sz w:val="24"/>
          <w:szCs w:val="24"/>
        </w:rPr>
        <w:t xml:space="preserve">on </w:t>
      </w:r>
      <w:r w:rsidR="00930756">
        <w:rPr>
          <w:rFonts w:ascii="Times New Roman" w:hAnsi="Times New Roman" w:cs="Times New Roman"/>
          <w:sz w:val="24"/>
          <w:szCs w:val="24"/>
        </w:rPr>
        <w:t>the motif profile</w:t>
      </w:r>
      <w:r w:rsidR="0034707C">
        <w:rPr>
          <w:rFonts w:ascii="Times New Roman" w:hAnsi="Times New Roman" w:cs="Times New Roman"/>
          <w:sz w:val="24"/>
          <w:szCs w:val="24"/>
        </w:rPr>
        <w:t>,</w:t>
      </w:r>
      <w:r w:rsidR="00930756">
        <w:rPr>
          <w:rFonts w:ascii="Times New Roman" w:hAnsi="Times New Roman" w:cs="Times New Roman"/>
          <w:sz w:val="24"/>
          <w:szCs w:val="24"/>
        </w:rPr>
        <w:t xml:space="preserve"> and </w:t>
      </w:r>
      <w:r w:rsidR="00931A83">
        <w:rPr>
          <w:rFonts w:ascii="Times New Roman" w:hAnsi="Times New Roman" w:cs="Times New Roman"/>
          <w:sz w:val="24"/>
          <w:szCs w:val="24"/>
        </w:rPr>
        <w:t xml:space="preserve">subsequently, </w:t>
      </w:r>
      <w:r w:rsidR="00930756">
        <w:rPr>
          <w:rFonts w:ascii="Times New Roman" w:hAnsi="Times New Roman" w:cs="Times New Roman"/>
          <w:sz w:val="24"/>
          <w:szCs w:val="24"/>
        </w:rPr>
        <w:t>visualization</w:t>
      </w:r>
      <w:r w:rsidR="001F13D1">
        <w:rPr>
          <w:rFonts w:ascii="Times New Roman" w:hAnsi="Times New Roman" w:cs="Times New Roman"/>
          <w:sz w:val="24"/>
          <w:szCs w:val="24"/>
        </w:rPr>
        <w:t>,</w:t>
      </w:r>
      <w:r w:rsidR="00930756">
        <w:rPr>
          <w:rFonts w:ascii="Times New Roman" w:hAnsi="Times New Roman" w:cs="Times New Roman"/>
          <w:sz w:val="24"/>
          <w:szCs w:val="24"/>
        </w:rPr>
        <w:t xml:space="preserve"> using a sequence logo constructed by </w:t>
      </w:r>
      <w:proofErr w:type="spellStart"/>
      <w:r w:rsidR="0049256B">
        <w:rPr>
          <w:rFonts w:ascii="Times New Roman" w:hAnsi="Times New Roman" w:cs="Times New Roman"/>
          <w:sz w:val="24"/>
          <w:szCs w:val="24"/>
        </w:rPr>
        <w:t>WebL</w:t>
      </w:r>
      <w:r w:rsidR="00930756">
        <w:rPr>
          <w:rFonts w:ascii="Times New Roman" w:hAnsi="Times New Roman" w:cs="Times New Roman"/>
          <w:sz w:val="24"/>
          <w:szCs w:val="24"/>
        </w:rPr>
        <w:t>ogo</w:t>
      </w:r>
      <w:proofErr w:type="spellEnd"/>
      <w:r w:rsidR="00930756">
        <w:rPr>
          <w:rFonts w:ascii="Times New Roman" w:hAnsi="Times New Roman" w:cs="Times New Roman"/>
          <w:sz w:val="24"/>
          <w:szCs w:val="24"/>
        </w:rPr>
        <w:t xml:space="preserve"> 3.2.</w:t>
      </w:r>
      <w:r w:rsidR="00360904">
        <w:rPr>
          <w:rFonts w:ascii="Times New Roman" w:hAnsi="Times New Roman" w:cs="Times New Roman"/>
          <w:sz w:val="24"/>
          <w:szCs w:val="24"/>
        </w:rPr>
        <w:fldChar w:fldCharType="begin" w:fldLock="1"/>
      </w:r>
      <w:r w:rsidR="00360904">
        <w:rPr>
          <w:rFonts w:ascii="Times New Roman" w:hAnsi="Times New Roman" w:cs="Times New Roman"/>
          <w:sz w:val="24"/>
          <w:szCs w:val="24"/>
        </w:rPr>
        <w:instrText>ADDIN CSL_CITATION { "citationItems" : [ { "id" : "ITEM-1", "itemData" : { "DOI" : "10.1101/gr.849004", "ISSN" : "1088-9051", "PMID" : "15173120", "abstract" : "WebLogo generates sequence logos, graphical representations of the patterns within a multiple sequence alignment. Sequence logos provide a richer and more precise description of sequence similarity than consensus sequences and can rapidly reveal significant features of the alignment otherwise difficult to perceive. Each logo consists of stacks of letters, one stack for each position in the sequence. The overall height of each stack indicates the sequence conservation at that position (measured in bits), whereas the height of symbols within the stack reflects the relative frequency of the corresponding amino or nucleic acid at that position. WebLogo has been enhanced recently with additional features and options, to provide a convenient and highly configurable sequence logo generator. A command line interface and the complete, open WebLogo source code are available for local installation and customization.", "author" : [ { "dropping-particle" : "", "family" : "Crooks", "given" : "Gavin E", "non-dropping-particle" : "", "parse-names" : false, "suffix" : "" }, { "dropping-particle" : "", "family" : "Hon", "given" : "Gary", "non-dropping-particle" : "", "parse-names" : false, "suffix" : "" }, { "dropping-particle" : "", "family" : "Chandonia", "given" : "John-Marc", "non-dropping-particle" : "", "parse-names" : false, "suffix" : "" }, { "dropping-particle" : "", "family" : "Brenner", "given" : "Steven E", "non-dropping-particle" : "", "parse-names" : false, "suffix" : "" } ], "container-title" : "Genome research", "id" : "ITEM-1", "issue" : "6", "issued" : { "date-parts" : [ [ "2004", "6" ] ] }, "page" : "1188-90", "title" : "WebLogo: a sequence logo generator.", "type" : "article-journal", "volume" : "14" }, "uris" : [ "http://www.mendeley.com/documents/?uuid=386d4a54-cf14-4e4a-b838-3175486589a5" ] } ], "mendeley" : { "formattedCitation" : "&lt;sup&gt;40&lt;/sup&gt;", "plainTextFormattedCitation" : "40", "previouslyFormattedCitation" : "&lt;sup&gt;40&lt;/sup&gt;" }, "properties" : { "noteIndex" : 0 }, "schema" : "https://github.com/citation-style-language/schema/raw/master/csl-citation.json" }</w:instrText>
      </w:r>
      <w:r w:rsidR="00360904">
        <w:rPr>
          <w:rFonts w:ascii="Times New Roman" w:hAnsi="Times New Roman" w:cs="Times New Roman"/>
          <w:sz w:val="24"/>
          <w:szCs w:val="24"/>
        </w:rPr>
        <w:fldChar w:fldCharType="separate"/>
      </w:r>
      <w:r w:rsidR="00360904" w:rsidRPr="00360904">
        <w:rPr>
          <w:rFonts w:ascii="Times New Roman" w:hAnsi="Times New Roman" w:cs="Times New Roman"/>
          <w:noProof/>
          <w:sz w:val="24"/>
          <w:szCs w:val="24"/>
          <w:vertAlign w:val="superscript"/>
        </w:rPr>
        <w:t>40</w:t>
      </w:r>
      <w:r w:rsidR="00360904">
        <w:rPr>
          <w:rFonts w:ascii="Times New Roman" w:hAnsi="Times New Roman" w:cs="Times New Roman"/>
          <w:sz w:val="24"/>
          <w:szCs w:val="24"/>
        </w:rPr>
        <w:fldChar w:fldCharType="end"/>
      </w:r>
    </w:p>
    <w:p w:rsidR="0028564C" w:rsidRDefault="0028564C" w:rsidP="006B37B8">
      <w:pPr>
        <w:spacing w:after="0" w:line="240" w:lineRule="auto"/>
        <w:rPr>
          <w:rFonts w:ascii="Times New Roman" w:hAnsi="Times New Roman" w:cs="Times New Roman"/>
          <w:sz w:val="24"/>
          <w:szCs w:val="24"/>
        </w:rPr>
      </w:pPr>
    </w:p>
    <w:p w:rsidR="0028564C" w:rsidRDefault="00BE3C13" w:rsidP="006B37B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The TPR species-MSA is obtained by aligning the homologous protein TTC21B from 43 species. (1) First, we perform a</w:t>
      </w:r>
      <w:r w:rsidR="00983093">
        <w:rPr>
          <w:rFonts w:ascii="Times New Roman" w:hAnsi="Times New Roman" w:cs="Times New Roman"/>
          <w:sz w:val="24"/>
          <w:szCs w:val="24"/>
        </w:rPr>
        <w:t>n online</w:t>
      </w:r>
      <w:r>
        <w:rPr>
          <w:rFonts w:ascii="Times New Roman" w:hAnsi="Times New Roman" w:cs="Times New Roman"/>
          <w:sz w:val="24"/>
          <w:szCs w:val="24"/>
        </w:rPr>
        <w:t xml:space="preserve"> </w:t>
      </w:r>
      <w:proofErr w:type="spellStart"/>
      <w:r>
        <w:rPr>
          <w:rFonts w:ascii="Times New Roman" w:hAnsi="Times New Roman" w:cs="Times New Roman"/>
          <w:sz w:val="24"/>
          <w:szCs w:val="24"/>
        </w:rPr>
        <w:t>BLAST</w:t>
      </w:r>
      <w:r w:rsidR="00983093">
        <w:rPr>
          <w:rFonts w:ascii="Times New Roman" w:hAnsi="Times New Roman" w:cs="Times New Roman"/>
          <w:sz w:val="24"/>
          <w:szCs w:val="24"/>
        </w:rPr>
        <w:t>p</w:t>
      </w:r>
      <w:proofErr w:type="spellEnd"/>
      <w:r>
        <w:rPr>
          <w:rFonts w:ascii="Times New Roman" w:hAnsi="Times New Roman" w:cs="Times New Roman"/>
          <w:sz w:val="24"/>
          <w:szCs w:val="24"/>
        </w:rPr>
        <w:t xml:space="preserve"> search [</w:t>
      </w:r>
      <w:r w:rsidRPr="00BE3C13">
        <w:rPr>
          <w:rFonts w:ascii="Times New Roman" w:hAnsi="Times New Roman" w:cs="Times New Roman"/>
          <w:color w:val="FF0000"/>
          <w:sz w:val="24"/>
          <w:szCs w:val="24"/>
        </w:rPr>
        <w:t>cite</w:t>
      </w:r>
      <w:r w:rsidR="00983093">
        <w:rPr>
          <w:rFonts w:ascii="Times New Roman" w:hAnsi="Times New Roman" w:cs="Times New Roman"/>
          <w:color w:val="FF0000"/>
          <w:sz w:val="24"/>
          <w:szCs w:val="24"/>
        </w:rPr>
        <w:t xml:space="preserve">; </w:t>
      </w:r>
      <w:r w:rsidR="00983093" w:rsidRPr="00983093">
        <w:rPr>
          <w:rFonts w:ascii="Times New Roman" w:hAnsi="Times New Roman" w:cs="Times New Roman"/>
          <w:color w:val="FF0000"/>
          <w:sz w:val="24"/>
          <w:szCs w:val="24"/>
        </w:rPr>
        <w:t>http://blast.ncbi.nlm.nih.g</w:t>
      </w:r>
      <w:r w:rsidR="00983093">
        <w:rPr>
          <w:rFonts w:ascii="Times New Roman" w:hAnsi="Times New Roman" w:cs="Times New Roman"/>
          <w:color w:val="FF0000"/>
          <w:sz w:val="24"/>
          <w:szCs w:val="24"/>
        </w:rPr>
        <w:t>ov/</w:t>
      </w:r>
      <w:r>
        <w:rPr>
          <w:rFonts w:ascii="Times New Roman" w:hAnsi="Times New Roman" w:cs="Times New Roman"/>
          <w:sz w:val="24"/>
          <w:szCs w:val="24"/>
        </w:rPr>
        <w:t xml:space="preserve">] for the human TTC21B protein sequence obtained from </w:t>
      </w:r>
      <w:proofErr w:type="spellStart"/>
      <w:r w:rsidR="00DB1D1D">
        <w:rPr>
          <w:rFonts w:ascii="Times New Roman" w:hAnsi="Times New Roman" w:cs="Times New Roman"/>
          <w:sz w:val="24"/>
          <w:szCs w:val="24"/>
        </w:rPr>
        <w:t>UniProt</w:t>
      </w:r>
      <w:proofErr w:type="spellEnd"/>
      <w:r w:rsidR="00DB1D1D">
        <w:rPr>
          <w:rFonts w:ascii="Times New Roman" w:hAnsi="Times New Roman" w:cs="Times New Roman"/>
          <w:sz w:val="24"/>
          <w:szCs w:val="24"/>
        </w:rPr>
        <w:t>, with ID Q7Z4L5</w:t>
      </w:r>
      <w:r w:rsidR="00983093">
        <w:rPr>
          <w:rFonts w:ascii="Times New Roman" w:hAnsi="Times New Roman" w:cs="Times New Roman"/>
          <w:sz w:val="24"/>
          <w:szCs w:val="24"/>
        </w:rPr>
        <w:t xml:space="preserve">, using the </w:t>
      </w:r>
      <w:proofErr w:type="spellStart"/>
      <w:r w:rsidR="00983093">
        <w:rPr>
          <w:rFonts w:ascii="Times New Roman" w:hAnsi="Times New Roman" w:cs="Times New Roman"/>
          <w:sz w:val="24"/>
          <w:szCs w:val="24"/>
        </w:rPr>
        <w:t>UniProtKB</w:t>
      </w:r>
      <w:proofErr w:type="spellEnd"/>
      <w:r w:rsidR="00983093">
        <w:rPr>
          <w:rFonts w:ascii="Times New Roman" w:hAnsi="Times New Roman" w:cs="Times New Roman"/>
          <w:sz w:val="24"/>
          <w:szCs w:val="24"/>
        </w:rPr>
        <w:t xml:space="preserve"> database, BLOSUM62 matrix, allowing gapped alignment, </w:t>
      </w:r>
      <w:r w:rsidR="00FA651F">
        <w:rPr>
          <w:rFonts w:ascii="Times New Roman" w:hAnsi="Times New Roman" w:cs="Times New Roman"/>
          <w:sz w:val="24"/>
          <w:szCs w:val="24"/>
        </w:rPr>
        <w:t xml:space="preserve">and </w:t>
      </w:r>
      <w:r w:rsidR="00983093">
        <w:rPr>
          <w:rFonts w:ascii="Times New Roman" w:hAnsi="Times New Roman" w:cs="Times New Roman"/>
          <w:sz w:val="24"/>
          <w:szCs w:val="24"/>
        </w:rPr>
        <w:t xml:space="preserve">a </w:t>
      </w:r>
      <w:r w:rsidR="00FA651F">
        <w:rPr>
          <w:rFonts w:ascii="Times New Roman" w:hAnsi="Times New Roman" w:cs="Times New Roman"/>
          <w:sz w:val="24"/>
          <w:szCs w:val="24"/>
        </w:rPr>
        <w:t xml:space="preserve">minimum alignment score </w:t>
      </w:r>
      <w:r w:rsidR="00983093">
        <w:rPr>
          <w:rFonts w:ascii="Times New Roman" w:hAnsi="Times New Roman" w:cs="Times New Roman"/>
          <w:sz w:val="24"/>
          <w:szCs w:val="24"/>
        </w:rPr>
        <w:t>threshold</w:t>
      </w:r>
      <w:r w:rsidR="00FA651F">
        <w:rPr>
          <w:rFonts w:ascii="Times New Roman" w:hAnsi="Times New Roman" w:cs="Times New Roman"/>
          <w:sz w:val="24"/>
          <w:szCs w:val="24"/>
        </w:rPr>
        <w:t xml:space="preserve"> of 10</w:t>
      </w:r>
      <w:r w:rsidR="00983093">
        <w:rPr>
          <w:rFonts w:ascii="Times New Roman" w:hAnsi="Times New Roman" w:cs="Times New Roman"/>
          <w:sz w:val="24"/>
          <w:szCs w:val="24"/>
        </w:rPr>
        <w:t xml:space="preserve">. (2) We obtain the top 250 sequences based on the alignment scores. </w:t>
      </w:r>
      <w:r w:rsidR="00360904">
        <w:rPr>
          <w:rFonts w:ascii="Times New Roman" w:hAnsi="Times New Roman" w:cs="Times New Roman"/>
          <w:sz w:val="24"/>
          <w:szCs w:val="24"/>
        </w:rPr>
        <w:t xml:space="preserve">(3) </w:t>
      </w:r>
      <w:r w:rsidR="00983093">
        <w:rPr>
          <w:rFonts w:ascii="Times New Roman" w:hAnsi="Times New Roman" w:cs="Times New Roman"/>
          <w:sz w:val="24"/>
          <w:szCs w:val="24"/>
        </w:rPr>
        <w:t>Subsequently, we impose a series of filters manually to pare down unwanted and redundant sequences. (3</w:t>
      </w:r>
      <w:r w:rsidR="00360904">
        <w:rPr>
          <w:rFonts w:ascii="Times New Roman" w:hAnsi="Times New Roman" w:cs="Times New Roman"/>
          <w:sz w:val="24"/>
          <w:szCs w:val="24"/>
        </w:rPr>
        <w:t>a</w:t>
      </w:r>
      <w:r w:rsidR="00983093">
        <w:rPr>
          <w:rFonts w:ascii="Times New Roman" w:hAnsi="Times New Roman" w:cs="Times New Roman"/>
          <w:sz w:val="24"/>
          <w:szCs w:val="24"/>
        </w:rPr>
        <w:t xml:space="preserve">) </w:t>
      </w:r>
      <w:proofErr w:type="gramStart"/>
      <w:r w:rsidR="00983093">
        <w:rPr>
          <w:rFonts w:ascii="Times New Roman" w:hAnsi="Times New Roman" w:cs="Times New Roman"/>
          <w:sz w:val="24"/>
          <w:szCs w:val="24"/>
        </w:rPr>
        <w:t>We</w:t>
      </w:r>
      <w:proofErr w:type="gramEnd"/>
      <w:r w:rsidR="00983093">
        <w:rPr>
          <w:rFonts w:ascii="Times New Roman" w:hAnsi="Times New Roman" w:cs="Times New Roman"/>
          <w:sz w:val="24"/>
          <w:szCs w:val="24"/>
        </w:rPr>
        <w:t xml:space="preserve"> remove all non-TTC21B (based on the gene names provided in the results of </w:t>
      </w:r>
      <w:proofErr w:type="spellStart"/>
      <w:r w:rsidR="00983093">
        <w:rPr>
          <w:rFonts w:ascii="Times New Roman" w:hAnsi="Times New Roman" w:cs="Times New Roman"/>
          <w:sz w:val="24"/>
          <w:szCs w:val="24"/>
        </w:rPr>
        <w:t>BLASTp</w:t>
      </w:r>
      <w:proofErr w:type="spellEnd"/>
      <w:r w:rsidR="00983093">
        <w:rPr>
          <w:rFonts w:ascii="Times New Roman" w:hAnsi="Times New Roman" w:cs="Times New Roman"/>
          <w:sz w:val="24"/>
          <w:szCs w:val="24"/>
        </w:rPr>
        <w:t>). (</w:t>
      </w:r>
      <w:r w:rsidR="00360904">
        <w:rPr>
          <w:rFonts w:ascii="Times New Roman" w:hAnsi="Times New Roman" w:cs="Times New Roman"/>
          <w:sz w:val="24"/>
          <w:szCs w:val="24"/>
        </w:rPr>
        <w:t>3b</w:t>
      </w:r>
      <w:r w:rsidR="00983093">
        <w:rPr>
          <w:rFonts w:ascii="Times New Roman" w:hAnsi="Times New Roman" w:cs="Times New Roman"/>
          <w:sz w:val="24"/>
          <w:szCs w:val="24"/>
        </w:rPr>
        <w:t xml:space="preserve">) We also eliminated redundant entries or isoforms from the same species, </w:t>
      </w:r>
      <w:r w:rsidR="0049256B">
        <w:rPr>
          <w:rFonts w:ascii="Times New Roman" w:hAnsi="Times New Roman" w:cs="Times New Roman"/>
          <w:sz w:val="24"/>
          <w:szCs w:val="24"/>
        </w:rPr>
        <w:t xml:space="preserve">strictly </w:t>
      </w:r>
      <w:r w:rsidR="00983093">
        <w:rPr>
          <w:rFonts w:ascii="Times New Roman" w:hAnsi="Times New Roman" w:cs="Times New Roman"/>
          <w:sz w:val="24"/>
          <w:szCs w:val="24"/>
        </w:rPr>
        <w:t xml:space="preserve">retaining only one form of the protein from each species, based on first whether it is stated as ‘characterized’ or ‘reviewed’, then the highest </w:t>
      </w:r>
      <w:r w:rsidR="0049256B">
        <w:rPr>
          <w:rFonts w:ascii="Times New Roman" w:hAnsi="Times New Roman" w:cs="Times New Roman"/>
          <w:sz w:val="24"/>
          <w:szCs w:val="24"/>
        </w:rPr>
        <w:t xml:space="preserve">alignment score, followed by the lowest E-value in this order. We find that those isoforms that are ‘characterized’, ‘reviewed’ or have the highest alignment scores are typically long and hence, having </w:t>
      </w:r>
      <w:r w:rsidR="00360904">
        <w:rPr>
          <w:rFonts w:ascii="Times New Roman" w:hAnsi="Times New Roman" w:cs="Times New Roman"/>
          <w:sz w:val="24"/>
          <w:szCs w:val="24"/>
        </w:rPr>
        <w:t xml:space="preserve">a </w:t>
      </w:r>
      <w:r w:rsidR="0049256B">
        <w:rPr>
          <w:rFonts w:ascii="Times New Roman" w:hAnsi="Times New Roman" w:cs="Times New Roman"/>
          <w:sz w:val="24"/>
          <w:szCs w:val="24"/>
        </w:rPr>
        <w:t>less likelihood of obtaining non-functional protein fragments. At this point, the number of sequences is 45. (</w:t>
      </w:r>
      <w:r w:rsidR="00360904">
        <w:rPr>
          <w:rFonts w:ascii="Times New Roman" w:hAnsi="Times New Roman" w:cs="Times New Roman"/>
          <w:sz w:val="24"/>
          <w:szCs w:val="24"/>
        </w:rPr>
        <w:t>4</w:t>
      </w:r>
      <w:r w:rsidR="0049256B">
        <w:rPr>
          <w:rFonts w:ascii="Times New Roman" w:hAnsi="Times New Roman" w:cs="Times New Roman"/>
          <w:sz w:val="24"/>
          <w:szCs w:val="24"/>
        </w:rPr>
        <w:t>) Using the MEGA software [</w:t>
      </w:r>
      <w:r w:rsidR="0049256B" w:rsidRPr="0049256B">
        <w:rPr>
          <w:rFonts w:ascii="Times New Roman" w:hAnsi="Times New Roman" w:cs="Times New Roman"/>
          <w:color w:val="FF0000"/>
          <w:sz w:val="24"/>
          <w:szCs w:val="24"/>
        </w:rPr>
        <w:t>cite</w:t>
      </w:r>
      <w:r w:rsidR="0049256B">
        <w:rPr>
          <w:rFonts w:ascii="Times New Roman" w:hAnsi="Times New Roman" w:cs="Times New Roman"/>
          <w:sz w:val="24"/>
          <w:szCs w:val="24"/>
        </w:rPr>
        <w:t xml:space="preserve">], we extracted the TPR domain from the 45-sequence alignment, based on the human TTC21B information in SMART database. There are 16 TPR motifs in TTC21B found in the SMART database. We remove two </w:t>
      </w:r>
      <w:proofErr w:type="spellStart"/>
      <w:r w:rsidR="0049256B">
        <w:rPr>
          <w:rFonts w:ascii="Times New Roman" w:hAnsi="Times New Roman" w:cs="Times New Roman"/>
          <w:sz w:val="24"/>
          <w:szCs w:val="24"/>
        </w:rPr>
        <w:t>orthologs</w:t>
      </w:r>
      <w:proofErr w:type="spellEnd"/>
      <w:r w:rsidR="0049256B">
        <w:rPr>
          <w:rFonts w:ascii="Times New Roman" w:hAnsi="Times New Roman" w:cs="Times New Roman"/>
          <w:sz w:val="24"/>
          <w:szCs w:val="24"/>
        </w:rPr>
        <w:t xml:space="preserve"> due to the existence of gaps in at least one of the 16 TPRs, resulting in the final number of 43 homologous sequences with </w:t>
      </w:r>
      <w:proofErr w:type="spellStart"/>
      <w:r w:rsidR="0049256B">
        <w:rPr>
          <w:rFonts w:ascii="Times New Roman" w:hAnsi="Times New Roman" w:cs="Times New Roman"/>
          <w:sz w:val="24"/>
          <w:szCs w:val="24"/>
        </w:rPr>
        <w:t>ungapped</w:t>
      </w:r>
      <w:proofErr w:type="spellEnd"/>
      <w:r w:rsidR="0049256B">
        <w:rPr>
          <w:rFonts w:ascii="Times New Roman" w:hAnsi="Times New Roman" w:cs="Times New Roman"/>
          <w:sz w:val="24"/>
          <w:szCs w:val="24"/>
        </w:rPr>
        <w:t xml:space="preserve"> alignment. (</w:t>
      </w:r>
      <w:r w:rsidR="00360904">
        <w:rPr>
          <w:rFonts w:ascii="Times New Roman" w:hAnsi="Times New Roman" w:cs="Times New Roman"/>
          <w:sz w:val="24"/>
          <w:szCs w:val="24"/>
        </w:rPr>
        <w:t>5</w:t>
      </w:r>
      <w:r w:rsidR="0049256B">
        <w:rPr>
          <w:rFonts w:ascii="Times New Roman" w:hAnsi="Times New Roman" w:cs="Times New Roman"/>
          <w:sz w:val="24"/>
          <w:szCs w:val="24"/>
        </w:rPr>
        <w:t xml:space="preserve">) </w:t>
      </w:r>
      <w:r w:rsidR="00360904">
        <w:rPr>
          <w:rFonts w:ascii="Times New Roman" w:hAnsi="Times New Roman" w:cs="Times New Roman"/>
          <w:sz w:val="24"/>
          <w:szCs w:val="24"/>
        </w:rPr>
        <w:t>Finally, w</w:t>
      </w:r>
      <w:r w:rsidR="0049256B">
        <w:rPr>
          <w:rFonts w:ascii="Times New Roman" w:hAnsi="Times New Roman" w:cs="Times New Roman"/>
          <w:sz w:val="24"/>
          <w:szCs w:val="24"/>
        </w:rPr>
        <w:t xml:space="preserve">e construct the sequence logo of all 16 TPRs using </w:t>
      </w:r>
      <w:proofErr w:type="spellStart"/>
      <w:r w:rsidR="0049256B">
        <w:rPr>
          <w:rFonts w:ascii="Times New Roman" w:hAnsi="Times New Roman" w:cs="Times New Roman"/>
          <w:sz w:val="24"/>
          <w:szCs w:val="24"/>
        </w:rPr>
        <w:t>WebLogo</w:t>
      </w:r>
      <w:proofErr w:type="spellEnd"/>
      <w:r w:rsidR="0049256B">
        <w:rPr>
          <w:rFonts w:ascii="Times New Roman" w:hAnsi="Times New Roman" w:cs="Times New Roman"/>
          <w:sz w:val="24"/>
          <w:szCs w:val="24"/>
        </w:rPr>
        <w:t xml:space="preserve"> 3.2.</w:t>
      </w:r>
      <w:r w:rsidR="00360904">
        <w:rPr>
          <w:rFonts w:ascii="Times New Roman" w:hAnsi="Times New Roman" w:cs="Times New Roman"/>
          <w:sz w:val="24"/>
          <w:szCs w:val="24"/>
        </w:rPr>
        <w:fldChar w:fldCharType="begin" w:fldLock="1"/>
      </w:r>
      <w:r w:rsidR="008475B8">
        <w:rPr>
          <w:rFonts w:ascii="Times New Roman" w:hAnsi="Times New Roman" w:cs="Times New Roman"/>
          <w:sz w:val="24"/>
          <w:szCs w:val="24"/>
        </w:rPr>
        <w:instrText>ADDIN CSL_CITATION { "citationItems" : [ { "id" : "ITEM-1", "itemData" : { "DOI" : "10.1101/gr.849004", "ISSN" : "1088-9051", "PMID" : "15173120", "abstract" : "WebLogo generates sequence logos, graphical representations of the patterns within a multiple sequence alignment. Sequence logos provide a richer and more precise description of sequence similarity than consensus sequences and can rapidly reveal significant features of the alignment otherwise difficult to perceive. Each logo consists of stacks of letters, one stack for each position in the sequence. The overall height of each stack indicates the sequence conservation at that position (measured in bits), whereas the height of symbols within the stack reflects the relative frequency of the corresponding amino or nucleic acid at that position. WebLogo has been enhanced recently with additional features and options, to provide a convenient and highly configurable sequence logo generator. A command line interface and the complete, open WebLogo source code are available for local installation and customization.", "author" : [ { "dropping-particle" : "", "family" : "Crooks", "given" : "Gavin E", "non-dropping-particle" : "", "parse-names" : false, "suffix" : "" }, { "dropping-particle" : "", "family" : "Hon", "given" : "Gary", "non-dropping-particle" : "", "parse-names" : false, "suffix" : "" }, { "dropping-particle" : "", "family" : "Chandonia", "given" : "John-Marc", "non-dropping-particle" : "", "parse-names" : false, "suffix" : "" }, { "dropping-particle" : "", "family" : "Brenner", "given" : "Steven E", "non-dropping-particle" : "", "parse-names" : false, "suffix" : "" } ], "container-title" : "Genome research", "id" : "ITEM-1", "issue" : "6", "issued" : { "date-parts" : [ [ "2004", "6" ] ] }, "page" : "1188-90", "title" : "WebLogo: a sequence logo generator.", "type" : "article-journal", "volume" : "14" }, "uris" : [ "http://www.mendeley.com/documents/?uuid=386d4a54-cf14-4e4a-b838-3175486589a5" ] } ], "mendeley" : { "formattedCitation" : "&lt;sup&gt;40&lt;/sup&gt;", "plainTextFormattedCitation" : "40", "previouslyFormattedCitation" : "&lt;sup&gt;40&lt;/sup&gt;" }, "properties" : { "noteIndex" : 0 }, "schema" : "https://github.com/citation-style-language/schema/raw/master/csl-citation.json" }</w:instrText>
      </w:r>
      <w:r w:rsidR="00360904">
        <w:rPr>
          <w:rFonts w:ascii="Times New Roman" w:hAnsi="Times New Roman" w:cs="Times New Roman"/>
          <w:sz w:val="24"/>
          <w:szCs w:val="24"/>
        </w:rPr>
        <w:fldChar w:fldCharType="separate"/>
      </w:r>
      <w:r w:rsidR="00360904" w:rsidRPr="00360904">
        <w:rPr>
          <w:rFonts w:ascii="Times New Roman" w:hAnsi="Times New Roman" w:cs="Times New Roman"/>
          <w:noProof/>
          <w:sz w:val="24"/>
          <w:szCs w:val="24"/>
          <w:vertAlign w:val="superscript"/>
        </w:rPr>
        <w:t>40</w:t>
      </w:r>
      <w:r w:rsidR="00360904">
        <w:rPr>
          <w:rFonts w:ascii="Times New Roman" w:hAnsi="Times New Roman" w:cs="Times New Roman"/>
          <w:sz w:val="24"/>
          <w:szCs w:val="24"/>
        </w:rPr>
        <w:fldChar w:fldCharType="end"/>
      </w:r>
      <w:r w:rsidR="0049256B">
        <w:rPr>
          <w:rFonts w:ascii="Times New Roman" w:hAnsi="Times New Roman" w:cs="Times New Roman"/>
          <w:sz w:val="24"/>
          <w:szCs w:val="24"/>
        </w:rPr>
        <w:t xml:space="preserve"> We show the alignment of </w:t>
      </w:r>
      <w:r w:rsidR="00360904">
        <w:rPr>
          <w:rFonts w:ascii="Times New Roman" w:hAnsi="Times New Roman" w:cs="Times New Roman"/>
          <w:sz w:val="24"/>
          <w:szCs w:val="24"/>
        </w:rPr>
        <w:t xml:space="preserve">only </w:t>
      </w:r>
      <w:r w:rsidR="0049256B">
        <w:rPr>
          <w:rFonts w:ascii="Times New Roman" w:hAnsi="Times New Roman" w:cs="Times New Roman"/>
          <w:sz w:val="24"/>
          <w:szCs w:val="24"/>
        </w:rPr>
        <w:t>the first three TPR motifs</w:t>
      </w:r>
      <w:r w:rsidR="00360904">
        <w:rPr>
          <w:rFonts w:ascii="Times New Roman" w:hAnsi="Times New Roman" w:cs="Times New Roman"/>
          <w:sz w:val="24"/>
          <w:szCs w:val="24"/>
        </w:rPr>
        <w:t xml:space="preserve"> of TTC21B</w:t>
      </w:r>
      <w:r w:rsidR="0049256B">
        <w:rPr>
          <w:rFonts w:ascii="Times New Roman" w:hAnsi="Times New Roman" w:cs="Times New Roman"/>
          <w:sz w:val="24"/>
          <w:szCs w:val="24"/>
        </w:rPr>
        <w:t xml:space="preserve"> in </w:t>
      </w:r>
      <w:r w:rsidR="0049256B" w:rsidRPr="0049256B">
        <w:rPr>
          <w:rFonts w:ascii="Times New Roman" w:hAnsi="Times New Roman" w:cs="Times New Roman"/>
          <w:color w:val="FF0000"/>
          <w:sz w:val="24"/>
          <w:szCs w:val="24"/>
        </w:rPr>
        <w:t>Figure 2</w:t>
      </w:r>
      <w:r w:rsidR="0049256B">
        <w:rPr>
          <w:rFonts w:ascii="Times New Roman" w:hAnsi="Times New Roman" w:cs="Times New Roman"/>
          <w:sz w:val="24"/>
          <w:szCs w:val="24"/>
        </w:rPr>
        <w:t>.</w:t>
      </w:r>
    </w:p>
    <w:p w:rsidR="0028564C" w:rsidRDefault="0028564C" w:rsidP="006B37B8">
      <w:pPr>
        <w:spacing w:after="0" w:line="240" w:lineRule="auto"/>
        <w:rPr>
          <w:rFonts w:ascii="Times New Roman" w:hAnsi="Times New Roman" w:cs="Times New Roman"/>
          <w:sz w:val="24"/>
          <w:szCs w:val="24"/>
        </w:rPr>
      </w:pPr>
    </w:p>
    <w:p w:rsidR="00BE3C13" w:rsidRPr="008F2345" w:rsidRDefault="008F2345" w:rsidP="006B37B8">
      <w:pPr>
        <w:spacing w:after="0" w:line="240" w:lineRule="auto"/>
        <w:rPr>
          <w:rFonts w:ascii="Times New Roman" w:hAnsi="Times New Roman" w:cs="Times New Roman"/>
          <w:b/>
          <w:i/>
          <w:sz w:val="24"/>
          <w:szCs w:val="24"/>
        </w:rPr>
      </w:pPr>
      <w:r>
        <w:rPr>
          <w:rFonts w:ascii="Times New Roman" w:hAnsi="Times New Roman" w:cs="Times New Roman"/>
          <w:b/>
          <w:i/>
          <w:sz w:val="24"/>
          <w:szCs w:val="24"/>
        </w:rPr>
        <w:t>Sequence logo visualization</w:t>
      </w:r>
    </w:p>
    <w:p w:rsidR="008475B8" w:rsidRDefault="008F2345" w:rsidP="008F234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All sequence logos are created by </w:t>
      </w:r>
      <w:proofErr w:type="spellStart"/>
      <w:r>
        <w:rPr>
          <w:rFonts w:ascii="Times New Roman" w:hAnsi="Times New Roman" w:cs="Times New Roman"/>
          <w:sz w:val="24"/>
          <w:szCs w:val="24"/>
        </w:rPr>
        <w:t>WebLogo</w:t>
      </w:r>
      <w:proofErr w:type="spellEnd"/>
      <w:r>
        <w:rPr>
          <w:rFonts w:ascii="Times New Roman" w:hAnsi="Times New Roman" w:cs="Times New Roman"/>
          <w:sz w:val="24"/>
          <w:szCs w:val="24"/>
        </w:rPr>
        <w:t xml:space="preserve"> 3.2</w:t>
      </w:r>
      <w:r w:rsidR="008475B8">
        <w:rPr>
          <w:rFonts w:ascii="Times New Roman" w:hAnsi="Times New Roman" w:cs="Times New Roman"/>
          <w:sz w:val="24"/>
          <w:szCs w:val="24"/>
        </w:rPr>
        <w:fldChar w:fldCharType="begin" w:fldLock="1"/>
      </w:r>
      <w:r w:rsidR="00210046">
        <w:rPr>
          <w:rFonts w:ascii="Times New Roman" w:hAnsi="Times New Roman" w:cs="Times New Roman"/>
          <w:sz w:val="24"/>
          <w:szCs w:val="24"/>
        </w:rPr>
        <w:instrText>ADDIN CSL_CITATION { "citationItems" : [ { "id" : "ITEM-1", "itemData" : { "DOI" : "10.1101/gr.849004", "ISSN" : "1088-9051", "PMID" : "15173120", "abstract" : "WebLogo generates sequence logos, graphical representations of the patterns within a multiple sequence alignment. Sequence logos provide a richer and more precise description of sequence similarity than consensus sequences and can rapidly reveal significant features of the alignment otherwise difficult to perceive. Each logo consists of stacks of letters, one stack for each position in the sequence. The overall height of each stack indicates the sequence conservation at that position (measured in bits), whereas the height of symbols within the stack reflects the relative frequency of the corresponding amino or nucleic acid at that position. WebLogo has been enhanced recently with additional features and options, to provide a convenient and highly configurable sequence logo generator. A command line interface and the complete, open WebLogo source code are available for local installation and customization.", "author" : [ { "dropping-particle" : "", "family" : "Crooks", "given" : "Gavin E", "non-dropping-particle" : "", "parse-names" : false, "suffix" : "" }, { "dropping-particle" : "", "family" : "Hon", "given" : "Gary", "non-dropping-particle" : "", "parse-names" : false, "suffix" : "" }, { "dropping-particle" : "", "family" : "Chandonia", "given" : "John-Marc", "non-dropping-particle" : "", "parse-names" : false, "suffix" : "" }, { "dropping-particle" : "", "family" : "Brenner", "given" : "Steven E", "non-dropping-particle" : "", "parse-names" : false, "suffix" : "" } ], "container-title" : "Genome research", "id" : "ITEM-1", "issue" : "6", "issued" : { "date-parts" : [ [ "2004", "6" ] ] }, "page" : "1188-90", "title" : "WebLogo: a sequence logo generator.", "type" : "article-journal", "volume" : "14" }, "uris" : [ "http://www.mendeley.com/documents/?uuid=386d4a54-cf14-4e4a-b838-3175486589a5" ] } ], "mendeley" : { "formattedCitation" : "&lt;sup&gt;40&lt;/sup&gt;", "plainTextFormattedCitation" : "40", "previouslyFormattedCitation" : "&lt;sup&gt;40&lt;/sup&gt;" }, "properties" : { "noteIndex" : 0 }, "schema" : "https://github.com/citation-style-language/schema/raw/master/csl-citation.json" }</w:instrText>
      </w:r>
      <w:r w:rsidR="008475B8">
        <w:rPr>
          <w:rFonts w:ascii="Times New Roman" w:hAnsi="Times New Roman" w:cs="Times New Roman"/>
          <w:sz w:val="24"/>
          <w:szCs w:val="24"/>
        </w:rPr>
        <w:fldChar w:fldCharType="separate"/>
      </w:r>
      <w:r w:rsidR="008475B8" w:rsidRPr="008475B8">
        <w:rPr>
          <w:rFonts w:ascii="Times New Roman" w:hAnsi="Times New Roman" w:cs="Times New Roman"/>
          <w:noProof/>
          <w:sz w:val="24"/>
          <w:szCs w:val="24"/>
          <w:vertAlign w:val="superscript"/>
        </w:rPr>
        <w:t>40</w:t>
      </w:r>
      <w:r w:rsidR="008475B8">
        <w:rPr>
          <w:rFonts w:ascii="Times New Roman" w:hAnsi="Times New Roman" w:cs="Times New Roman"/>
          <w:sz w:val="24"/>
          <w:szCs w:val="24"/>
        </w:rPr>
        <w:fldChar w:fldCharType="end"/>
      </w:r>
      <w:r>
        <w:rPr>
          <w:rFonts w:ascii="Times New Roman" w:hAnsi="Times New Roman" w:cs="Times New Roman"/>
          <w:sz w:val="24"/>
          <w:szCs w:val="24"/>
        </w:rPr>
        <w:t xml:space="preserve">, using the following parameters: </w:t>
      </w:r>
    </w:p>
    <w:p w:rsidR="008475B8" w:rsidRDefault="008F2345" w:rsidP="008F2345">
      <w:pPr>
        <w:spacing w:after="0" w:line="240" w:lineRule="auto"/>
        <w:rPr>
          <w:rFonts w:ascii="Times New Roman" w:hAnsi="Times New Roman" w:cs="Times New Roman"/>
          <w:sz w:val="24"/>
          <w:szCs w:val="24"/>
        </w:rPr>
      </w:pPr>
      <w:r w:rsidRPr="00304BA3">
        <w:rPr>
          <w:rFonts w:ascii="Times New Roman" w:hAnsi="Times New Roman" w:cs="Times New Roman"/>
          <w:sz w:val="24"/>
          <w:szCs w:val="24"/>
        </w:rPr>
        <w:t>-A protein -U bits --composition "{'L':9.975,'A':7.013,'S':8.326,'V':5.961,'G':6.577,'K':5.723,'T':5.346,'I':4.332','E':7.096,'P':6.316,'R':5.650,'D':4.728,'F':3.658,'Q':4.758,'N':3.586,'Y':2.653,'C':2.307,'H':2.639,'M':2.131,'W':1.216}"  -n 34 -c chemistry --stack-width 25 --</w:t>
      </w:r>
      <w:proofErr w:type="spellStart"/>
      <w:r w:rsidRPr="00304BA3">
        <w:rPr>
          <w:rFonts w:ascii="Times New Roman" w:hAnsi="Times New Roman" w:cs="Times New Roman"/>
          <w:sz w:val="24"/>
          <w:szCs w:val="24"/>
        </w:rPr>
        <w:t>errorbar</w:t>
      </w:r>
      <w:proofErr w:type="spellEnd"/>
      <w:r w:rsidRPr="00304BA3">
        <w:rPr>
          <w:rFonts w:ascii="Times New Roman" w:hAnsi="Times New Roman" w:cs="Times New Roman"/>
          <w:sz w:val="24"/>
          <w:szCs w:val="24"/>
        </w:rPr>
        <w:t xml:space="preserve"> no</w:t>
      </w:r>
    </w:p>
    <w:p w:rsidR="008475B8" w:rsidRDefault="008475B8" w:rsidP="008F2345">
      <w:pPr>
        <w:spacing w:after="0" w:line="240" w:lineRule="auto"/>
        <w:rPr>
          <w:rFonts w:ascii="Times New Roman" w:hAnsi="Times New Roman" w:cs="Times New Roman"/>
          <w:sz w:val="24"/>
          <w:szCs w:val="24"/>
        </w:rPr>
      </w:pPr>
    </w:p>
    <w:p w:rsidR="008F2345" w:rsidRDefault="008F2345" w:rsidP="008F234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the ‘composition’ parameter (used for </w:t>
      </w:r>
      <w:r w:rsidR="008475B8">
        <w:rPr>
          <w:rFonts w:ascii="Times New Roman" w:hAnsi="Times New Roman" w:cs="Times New Roman"/>
          <w:sz w:val="24"/>
          <w:szCs w:val="24"/>
        </w:rPr>
        <w:t xml:space="preserve">the </w:t>
      </w:r>
      <w:r>
        <w:rPr>
          <w:rFonts w:ascii="Times New Roman" w:hAnsi="Times New Roman" w:cs="Times New Roman"/>
          <w:sz w:val="24"/>
          <w:szCs w:val="24"/>
        </w:rPr>
        <w:t xml:space="preserve">relative entropy calculation), we </w:t>
      </w:r>
      <w:r w:rsidR="008475B8">
        <w:rPr>
          <w:rFonts w:ascii="Times New Roman" w:hAnsi="Times New Roman" w:cs="Times New Roman"/>
          <w:sz w:val="24"/>
          <w:szCs w:val="24"/>
        </w:rPr>
        <w:t xml:space="preserve">provided manually </w:t>
      </w:r>
      <w:r>
        <w:rPr>
          <w:rFonts w:ascii="Times New Roman" w:hAnsi="Times New Roman" w:cs="Times New Roman"/>
          <w:sz w:val="24"/>
          <w:szCs w:val="24"/>
        </w:rPr>
        <w:t>the background distribution of the amino acids in the entire SMART database (‘genomic’ mode), in order to be in line with our inp</w:t>
      </w:r>
      <w:r w:rsidR="008475B8">
        <w:rPr>
          <w:rFonts w:ascii="Times New Roman" w:hAnsi="Times New Roman" w:cs="Times New Roman"/>
          <w:sz w:val="24"/>
          <w:szCs w:val="24"/>
        </w:rPr>
        <w:t xml:space="preserve">ut data from the SMART database; the values above are in percentages. We separately computed these </w:t>
      </w:r>
      <w:r>
        <w:rPr>
          <w:rFonts w:ascii="Times New Roman" w:hAnsi="Times New Roman" w:cs="Times New Roman"/>
          <w:sz w:val="24"/>
          <w:szCs w:val="24"/>
        </w:rPr>
        <w:t xml:space="preserve">values </w:t>
      </w:r>
      <w:r w:rsidR="008475B8">
        <w:rPr>
          <w:rFonts w:ascii="Times New Roman" w:hAnsi="Times New Roman" w:cs="Times New Roman"/>
          <w:sz w:val="24"/>
          <w:szCs w:val="24"/>
        </w:rPr>
        <w:t>from the SMART database</w:t>
      </w:r>
      <w:r>
        <w:rPr>
          <w:rFonts w:ascii="Times New Roman" w:hAnsi="Times New Roman" w:cs="Times New Roman"/>
          <w:sz w:val="24"/>
          <w:szCs w:val="24"/>
        </w:rPr>
        <w:t xml:space="preserve">. </w:t>
      </w:r>
      <w:r w:rsidR="002711B9">
        <w:rPr>
          <w:rFonts w:ascii="Times New Roman" w:hAnsi="Times New Roman" w:cs="Times New Roman"/>
          <w:sz w:val="24"/>
          <w:szCs w:val="24"/>
        </w:rPr>
        <w:t>Unless the s</w:t>
      </w:r>
      <w:r>
        <w:rPr>
          <w:rFonts w:ascii="Times New Roman" w:hAnsi="Times New Roman" w:cs="Times New Roman"/>
          <w:sz w:val="24"/>
          <w:szCs w:val="24"/>
        </w:rPr>
        <w:t xml:space="preserve">equence logos </w:t>
      </w:r>
      <w:r w:rsidR="008475B8">
        <w:rPr>
          <w:rFonts w:ascii="Times New Roman" w:hAnsi="Times New Roman" w:cs="Times New Roman"/>
          <w:sz w:val="24"/>
          <w:szCs w:val="24"/>
        </w:rPr>
        <w:t xml:space="preserve">are </w:t>
      </w:r>
      <w:r w:rsidR="002711B9">
        <w:rPr>
          <w:rFonts w:ascii="Times New Roman" w:hAnsi="Times New Roman" w:cs="Times New Roman"/>
          <w:sz w:val="24"/>
          <w:szCs w:val="24"/>
        </w:rPr>
        <w:t xml:space="preserve">in monochrome (as in </w:t>
      </w:r>
      <w:r w:rsidR="002711B9" w:rsidRPr="002711B9">
        <w:rPr>
          <w:rFonts w:ascii="Times New Roman" w:hAnsi="Times New Roman" w:cs="Times New Roman"/>
          <w:color w:val="FF0000"/>
          <w:sz w:val="24"/>
          <w:szCs w:val="24"/>
        </w:rPr>
        <w:t>Figure 2</w:t>
      </w:r>
      <w:r w:rsidR="002711B9">
        <w:rPr>
          <w:rFonts w:ascii="Times New Roman" w:hAnsi="Times New Roman" w:cs="Times New Roman"/>
          <w:sz w:val="24"/>
          <w:szCs w:val="24"/>
        </w:rPr>
        <w:t xml:space="preserve">), they are </w:t>
      </w:r>
      <w:r w:rsidRPr="00304BA3">
        <w:rPr>
          <w:rFonts w:ascii="Times New Roman" w:hAnsi="Times New Roman" w:cs="Times New Roman"/>
          <w:sz w:val="24"/>
          <w:szCs w:val="24"/>
        </w:rPr>
        <w:t>colored by amino acid chemistry, where polar residues (G, S, T, Y, C) are colored green, neutral residues (Q, N) purple, basic residues (K, R, H) blue, acidic residues (D, E) red, and hydrophobic residues (A, V, L ,I ,P ,W, F, M) black.</w:t>
      </w:r>
    </w:p>
    <w:p w:rsidR="008F2345" w:rsidRDefault="008F2345" w:rsidP="008F2345">
      <w:pPr>
        <w:spacing w:after="0" w:line="240" w:lineRule="auto"/>
        <w:rPr>
          <w:rFonts w:ascii="Times New Roman" w:hAnsi="Times New Roman" w:cs="Times New Roman"/>
          <w:sz w:val="24"/>
          <w:szCs w:val="24"/>
        </w:rPr>
      </w:pPr>
    </w:p>
    <w:p w:rsidR="008F2345" w:rsidRPr="00174D4F" w:rsidRDefault="00531539" w:rsidP="006B37B8">
      <w:pPr>
        <w:spacing w:after="0" w:line="240" w:lineRule="auto"/>
        <w:rPr>
          <w:rFonts w:ascii="Times New Roman" w:hAnsi="Times New Roman" w:cs="Times New Roman"/>
          <w:b/>
          <w:i/>
          <w:sz w:val="24"/>
          <w:szCs w:val="24"/>
        </w:rPr>
      </w:pPr>
      <w:r>
        <w:rPr>
          <w:rFonts w:ascii="Times New Roman" w:hAnsi="Times New Roman" w:cs="Times New Roman"/>
          <w:b/>
          <w:i/>
          <w:sz w:val="24"/>
          <w:szCs w:val="24"/>
        </w:rPr>
        <w:t>Variant information</w:t>
      </w:r>
      <w:r w:rsidR="00174D4F" w:rsidRPr="00174D4F">
        <w:rPr>
          <w:rFonts w:ascii="Times New Roman" w:hAnsi="Times New Roman" w:cs="Times New Roman"/>
          <w:b/>
          <w:i/>
          <w:sz w:val="24"/>
          <w:szCs w:val="24"/>
        </w:rPr>
        <w:t xml:space="preserve"> from exomes</w:t>
      </w:r>
    </w:p>
    <w:p w:rsidR="001D2366" w:rsidRDefault="001D2366" w:rsidP="006B37B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all the analyses in this study, we </w:t>
      </w:r>
      <w:r w:rsidR="00174D4F">
        <w:rPr>
          <w:rFonts w:ascii="Times New Roman" w:hAnsi="Times New Roman" w:cs="Times New Roman"/>
          <w:sz w:val="24"/>
          <w:szCs w:val="24"/>
        </w:rPr>
        <w:t xml:space="preserve">use the </w:t>
      </w:r>
      <w:r>
        <w:rPr>
          <w:rFonts w:ascii="Times New Roman" w:hAnsi="Times New Roman" w:cs="Times New Roman"/>
          <w:sz w:val="24"/>
          <w:szCs w:val="24"/>
        </w:rPr>
        <w:t xml:space="preserve">SNVs </w:t>
      </w:r>
      <w:r w:rsidR="008E542C">
        <w:rPr>
          <w:rFonts w:ascii="Times New Roman" w:hAnsi="Times New Roman" w:cs="Times New Roman"/>
          <w:sz w:val="24"/>
          <w:szCs w:val="24"/>
        </w:rPr>
        <w:t xml:space="preserve">and their minor allele frequencies </w:t>
      </w:r>
      <w:r w:rsidR="00174D4F">
        <w:rPr>
          <w:rFonts w:ascii="Times New Roman" w:hAnsi="Times New Roman" w:cs="Times New Roman"/>
          <w:sz w:val="24"/>
          <w:szCs w:val="24"/>
        </w:rPr>
        <w:t xml:space="preserve">from </w:t>
      </w:r>
      <w:r w:rsidR="00FA7E2F">
        <w:rPr>
          <w:rFonts w:ascii="Times New Roman" w:hAnsi="Times New Roman" w:cs="Times New Roman"/>
          <w:sz w:val="24"/>
          <w:szCs w:val="24"/>
        </w:rPr>
        <w:t xml:space="preserve">60,706 exomes found in </w:t>
      </w:r>
      <w:r w:rsidR="00174D4F">
        <w:rPr>
          <w:rFonts w:ascii="Times New Roman" w:hAnsi="Times New Roman" w:cs="Times New Roman"/>
          <w:sz w:val="24"/>
          <w:szCs w:val="24"/>
        </w:rPr>
        <w:t>the ExAC database (Version 0.3, downloaded Feb 1 2015)[</w:t>
      </w:r>
      <w:r w:rsidR="00174D4F" w:rsidRPr="00174D4F">
        <w:rPr>
          <w:rFonts w:ascii="Times New Roman" w:hAnsi="Times New Roman" w:cs="Times New Roman"/>
          <w:color w:val="FF0000"/>
          <w:sz w:val="24"/>
          <w:szCs w:val="24"/>
        </w:rPr>
        <w:t>cite</w:t>
      </w:r>
      <w:r w:rsidR="00174D4F">
        <w:rPr>
          <w:rFonts w:ascii="Times New Roman" w:hAnsi="Times New Roman" w:cs="Times New Roman"/>
          <w:sz w:val="24"/>
          <w:szCs w:val="24"/>
        </w:rPr>
        <w:t>]</w:t>
      </w:r>
      <w:r>
        <w:rPr>
          <w:rFonts w:ascii="Times New Roman" w:hAnsi="Times New Roman" w:cs="Times New Roman"/>
          <w:sz w:val="24"/>
          <w:szCs w:val="24"/>
        </w:rPr>
        <w:t xml:space="preserve">, after removing the variants from the sex chromosomes and singletons (those variants that only occur </w:t>
      </w:r>
      <w:r w:rsidR="00A65459">
        <w:rPr>
          <w:rFonts w:ascii="Times New Roman" w:hAnsi="Times New Roman" w:cs="Times New Roman"/>
          <w:sz w:val="24"/>
          <w:szCs w:val="24"/>
        </w:rPr>
        <w:t>in one chromosome in</w:t>
      </w:r>
      <w:r>
        <w:rPr>
          <w:rFonts w:ascii="Times New Roman" w:hAnsi="Times New Roman" w:cs="Times New Roman"/>
          <w:sz w:val="24"/>
          <w:szCs w:val="24"/>
        </w:rPr>
        <w:t xml:space="preserve"> the entire ExAC</w:t>
      </w:r>
      <w:r w:rsidR="00A65459">
        <w:rPr>
          <w:rFonts w:ascii="Times New Roman" w:hAnsi="Times New Roman" w:cs="Times New Roman"/>
          <w:sz w:val="24"/>
          <w:szCs w:val="24"/>
        </w:rPr>
        <w:t xml:space="preserve"> dataset</w:t>
      </w:r>
      <w:r>
        <w:rPr>
          <w:rFonts w:ascii="Times New Roman" w:hAnsi="Times New Roman" w:cs="Times New Roman"/>
          <w:sz w:val="24"/>
          <w:szCs w:val="24"/>
        </w:rPr>
        <w:t>)</w:t>
      </w:r>
      <w:r w:rsidR="00174D4F">
        <w:rPr>
          <w:rFonts w:ascii="Times New Roman" w:hAnsi="Times New Roman" w:cs="Times New Roman"/>
          <w:sz w:val="24"/>
          <w:szCs w:val="24"/>
        </w:rPr>
        <w:t xml:space="preserve">. </w:t>
      </w:r>
      <w:r>
        <w:rPr>
          <w:rFonts w:ascii="Times New Roman" w:hAnsi="Times New Roman" w:cs="Times New Roman"/>
          <w:sz w:val="24"/>
          <w:szCs w:val="24"/>
        </w:rPr>
        <w:t xml:space="preserve">This ends up with </w:t>
      </w:r>
      <w:r w:rsidRPr="00457F21">
        <w:rPr>
          <w:rFonts w:ascii="Times New Roman" w:hAnsi="Times New Roman" w:cs="Times New Roman"/>
          <w:color w:val="FF0000"/>
          <w:sz w:val="24"/>
          <w:szCs w:val="24"/>
        </w:rPr>
        <w:t>7,202,445</w:t>
      </w:r>
      <w:r>
        <w:rPr>
          <w:rFonts w:ascii="Times New Roman" w:hAnsi="Times New Roman" w:cs="Times New Roman"/>
          <w:sz w:val="24"/>
          <w:szCs w:val="24"/>
        </w:rPr>
        <w:t xml:space="preserve"> autosomal SNVs.</w:t>
      </w:r>
      <w:r w:rsidR="004E3E62">
        <w:rPr>
          <w:rFonts w:ascii="Times New Roman" w:hAnsi="Times New Roman" w:cs="Times New Roman"/>
          <w:sz w:val="24"/>
          <w:szCs w:val="24"/>
        </w:rPr>
        <w:t xml:space="preserve"> </w:t>
      </w:r>
      <w:r w:rsidR="008E542C">
        <w:rPr>
          <w:rFonts w:ascii="Times New Roman" w:hAnsi="Times New Roman" w:cs="Times New Roman"/>
          <w:sz w:val="24"/>
          <w:szCs w:val="24"/>
        </w:rPr>
        <w:t>We obtained SIFT scores, and non-synonymous nature of the SNVs on the proteins using</w:t>
      </w:r>
      <w:r w:rsidR="004E3E62">
        <w:rPr>
          <w:rFonts w:ascii="Times New Roman" w:hAnsi="Times New Roman" w:cs="Times New Roman"/>
          <w:sz w:val="24"/>
          <w:szCs w:val="24"/>
        </w:rPr>
        <w:t xml:space="preserve"> </w:t>
      </w:r>
      <w:r w:rsidR="00BD179C">
        <w:rPr>
          <w:rFonts w:ascii="Times New Roman" w:hAnsi="Times New Roman" w:cs="Times New Roman"/>
          <w:sz w:val="24"/>
          <w:szCs w:val="24"/>
        </w:rPr>
        <w:t xml:space="preserve">the </w:t>
      </w:r>
      <w:r w:rsidR="004E3E62">
        <w:rPr>
          <w:rFonts w:ascii="Times New Roman" w:hAnsi="Times New Roman" w:cs="Times New Roman"/>
          <w:sz w:val="24"/>
          <w:szCs w:val="24"/>
        </w:rPr>
        <w:t>VEP</w:t>
      </w:r>
      <w:r w:rsidR="00210046">
        <w:rPr>
          <w:rFonts w:ascii="Times New Roman" w:hAnsi="Times New Roman" w:cs="Times New Roman"/>
          <w:sz w:val="24"/>
          <w:szCs w:val="24"/>
        </w:rPr>
        <w:t xml:space="preserve"> tool (Version 77) from Ensembl</w:t>
      </w:r>
      <w:r w:rsidR="004E3E62">
        <w:rPr>
          <w:rFonts w:ascii="Times New Roman" w:hAnsi="Times New Roman" w:cs="Times New Roman"/>
          <w:sz w:val="24"/>
          <w:szCs w:val="24"/>
        </w:rPr>
        <w:t>.</w:t>
      </w:r>
      <w:r w:rsidR="00210046">
        <w:rPr>
          <w:rFonts w:ascii="Times New Roman" w:hAnsi="Times New Roman" w:cs="Times New Roman"/>
          <w:sz w:val="24"/>
          <w:szCs w:val="24"/>
        </w:rPr>
        <w:fldChar w:fldCharType="begin" w:fldLock="1"/>
      </w:r>
      <w:r w:rsidR="00A570ED">
        <w:rPr>
          <w:rFonts w:ascii="Times New Roman" w:hAnsi="Times New Roman" w:cs="Times New Roman"/>
          <w:sz w:val="24"/>
          <w:szCs w:val="24"/>
        </w:rPr>
        <w:instrText>ADDIN CSL_CITATION { "citationItems" : [ { "id" : "ITEM-1", "itemData" : { "DOI" : "10.1093/bioinformatics/btq330", "ISSN" : "1367-4811", "PMID" : "20562413", "abstract" : "SUMMARY A tool to predict the effect that newly discovered genomic variants have on known transcripts is indispensible in prioritizing and categorizing such variants. In Ensembl, a web-based tool (the SNP Effect Predictor) and API interface can now functionally annotate variants in all Ensembl and Ensembl Genomes supported species. AVAILABILITY The Ensembl SNP Effect Predictor can be accessed via the Ensembl website at http://www.ensembl.org/. The Ensembl API (http://www.ensembl.org/info/docs/api/api_installation.html for installation instructions) is open source software.", "author" : [ { "dropping-particle" : "", "family" : "McLaren", "given" : "William", "non-dropping-particle" : "", "parse-names" : false, "suffix" : "" }, { "dropping-particle" : "", "family" : "Pritchard", "given" : "Bethan", "non-dropping-particle" : "", "parse-names" : false, "suffix" : "" }, { "dropping-particle" : "", "family" : "Rios", "given" : "Daniel", "non-dropping-particle" : "", "parse-names" : false, "suffix" : "" }, { "dropping-particle" : "", "family" : "Chen", "given" : "Yuan", "non-dropping-particle" : "", "parse-names" : false, "suffix" : "" }, { "dropping-particle" : "", "family" : "Flicek", "given" : "Paul", "non-dropping-particle" : "", "parse-names" : false, "suffix" : "" }, { "dropping-particle" : "", "family" : "Cunningham", "given" : "Fiona", "non-dropping-particle" : "", "parse-names" : false, "suffix" : "" } ], "container-title" : "Bioinformatics (Oxford, England)", "id" : "ITEM-1", "issue" : "16", "issued" : { "date-parts" : [ [ "2010", "8", "15" ] ] }, "page" : "2069-70", "title" : "Deriving the consequences of genomic variants with the Ensembl API and SNP Effect Predictor.", "type" : "article-journal", "volume" : "26" }, "uris" : [ "http://www.mendeley.com/documents/?uuid=7c58ad90-2557-4af8-bb4f-a394f068d204" ] } ], "mendeley" : { "formattedCitation" : "&lt;sup&gt;41&lt;/sup&gt;", "plainTextFormattedCitation" : "41", "previouslyFormattedCitation" : "&lt;sup&gt;41&lt;/sup&gt;" }, "properties" : { "noteIndex" : 0 }, "schema" : "https://github.com/citation-style-language/schema/raw/master/csl-citation.json" }</w:instrText>
      </w:r>
      <w:r w:rsidR="00210046">
        <w:rPr>
          <w:rFonts w:ascii="Times New Roman" w:hAnsi="Times New Roman" w:cs="Times New Roman"/>
          <w:sz w:val="24"/>
          <w:szCs w:val="24"/>
        </w:rPr>
        <w:fldChar w:fldCharType="separate"/>
      </w:r>
      <w:r w:rsidR="00210046" w:rsidRPr="00210046">
        <w:rPr>
          <w:rFonts w:ascii="Times New Roman" w:hAnsi="Times New Roman" w:cs="Times New Roman"/>
          <w:noProof/>
          <w:sz w:val="24"/>
          <w:szCs w:val="24"/>
          <w:vertAlign w:val="superscript"/>
        </w:rPr>
        <w:t>41</w:t>
      </w:r>
      <w:r w:rsidR="00210046">
        <w:rPr>
          <w:rFonts w:ascii="Times New Roman" w:hAnsi="Times New Roman" w:cs="Times New Roman"/>
          <w:sz w:val="24"/>
          <w:szCs w:val="24"/>
        </w:rPr>
        <w:fldChar w:fldCharType="end"/>
      </w:r>
      <w:r w:rsidR="004E3E62">
        <w:rPr>
          <w:rFonts w:ascii="Times New Roman" w:hAnsi="Times New Roman" w:cs="Times New Roman"/>
          <w:sz w:val="24"/>
          <w:szCs w:val="24"/>
        </w:rPr>
        <w:t xml:space="preserve"> </w:t>
      </w:r>
    </w:p>
    <w:p w:rsidR="001D2366" w:rsidRDefault="001D2366" w:rsidP="006B37B8">
      <w:pPr>
        <w:spacing w:after="0" w:line="240" w:lineRule="auto"/>
        <w:rPr>
          <w:rFonts w:ascii="Times New Roman" w:hAnsi="Times New Roman" w:cs="Times New Roman"/>
          <w:sz w:val="24"/>
          <w:szCs w:val="24"/>
        </w:rPr>
      </w:pPr>
    </w:p>
    <w:p w:rsidR="008F2345" w:rsidRDefault="001D2366" w:rsidP="006B37B8">
      <w:pPr>
        <w:spacing w:after="0" w:line="240" w:lineRule="auto"/>
        <w:rPr>
          <w:rFonts w:ascii="Times New Roman" w:hAnsi="Times New Roman" w:cs="Times New Roman"/>
          <w:sz w:val="24"/>
          <w:szCs w:val="24"/>
        </w:rPr>
      </w:pPr>
      <w:r>
        <w:rPr>
          <w:rFonts w:ascii="Times New Roman" w:hAnsi="Times New Roman" w:cs="Times New Roman"/>
          <w:sz w:val="24"/>
          <w:szCs w:val="24"/>
        </w:rPr>
        <w:t>Similarly, w</w:t>
      </w:r>
      <w:r w:rsidR="00174D4F">
        <w:rPr>
          <w:rFonts w:ascii="Times New Roman" w:hAnsi="Times New Roman" w:cs="Times New Roman"/>
          <w:sz w:val="24"/>
          <w:szCs w:val="24"/>
        </w:rPr>
        <w:t xml:space="preserve">e have also used </w:t>
      </w:r>
      <w:r>
        <w:rPr>
          <w:rFonts w:ascii="Times New Roman" w:hAnsi="Times New Roman" w:cs="Times New Roman"/>
          <w:sz w:val="24"/>
          <w:szCs w:val="24"/>
        </w:rPr>
        <w:t xml:space="preserve">a combined number of </w:t>
      </w:r>
      <w:r w:rsidRPr="00FE6ADD">
        <w:rPr>
          <w:rFonts w:ascii="Times New Roman" w:hAnsi="Times New Roman" w:cs="Times New Roman"/>
          <w:color w:val="FF0000"/>
          <w:sz w:val="24"/>
          <w:szCs w:val="24"/>
        </w:rPr>
        <w:t>1,3</w:t>
      </w:r>
      <w:r w:rsidR="00B81221">
        <w:rPr>
          <w:rFonts w:ascii="Times New Roman" w:hAnsi="Times New Roman" w:cs="Times New Roman"/>
          <w:color w:val="FF0000"/>
          <w:sz w:val="24"/>
          <w:szCs w:val="24"/>
        </w:rPr>
        <w:t>28,447</w:t>
      </w:r>
      <w:r>
        <w:rPr>
          <w:rFonts w:ascii="Times New Roman" w:hAnsi="Times New Roman" w:cs="Times New Roman"/>
          <w:sz w:val="24"/>
          <w:szCs w:val="24"/>
        </w:rPr>
        <w:t xml:space="preserve"> unique, non-singleton, and autosomal SNVs </w:t>
      </w:r>
      <w:r w:rsidR="00174D4F">
        <w:rPr>
          <w:rFonts w:ascii="Times New Roman" w:hAnsi="Times New Roman" w:cs="Times New Roman"/>
          <w:sz w:val="24"/>
          <w:szCs w:val="24"/>
        </w:rPr>
        <w:t xml:space="preserve">from the 1000 Genomes Project Phase 1 </w:t>
      </w:r>
      <w:r w:rsidR="00A570ED">
        <w:rPr>
          <w:rFonts w:ascii="Times New Roman" w:hAnsi="Times New Roman" w:cs="Times New Roman"/>
          <w:sz w:val="24"/>
          <w:szCs w:val="24"/>
        </w:rPr>
        <w:t>(1,092 whole genomes)</w:t>
      </w:r>
      <w:r w:rsidR="00A570ED">
        <w:rPr>
          <w:rFonts w:ascii="Times New Roman" w:hAnsi="Times New Roman" w:cs="Times New Roman"/>
          <w:sz w:val="24"/>
          <w:szCs w:val="24"/>
        </w:rPr>
        <w:fldChar w:fldCharType="begin" w:fldLock="1"/>
      </w:r>
      <w:r w:rsidR="00A570ED">
        <w:rPr>
          <w:rFonts w:ascii="Times New Roman" w:hAnsi="Times New Roman" w:cs="Times New Roman"/>
          <w:sz w:val="24"/>
          <w:szCs w:val="24"/>
        </w:rPr>
        <w:instrText>ADDIN CSL_CITATION { "citationItems" : [ { "id" : "ITEM-1", "itemData" : { "DOI" : "10.1038/nature11632", "ISSN" : "1476-4687", "PMID" : "23128226",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 million single nucleotide polymorphisms, 1.4 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"1000 Genomes Project Consortium", "given" : "", "non-dropping-particle" : "", "parse-names" : false, "suffix" : "" }, { "dropping-particle" : "", "family" : "Abecasis", "given" : "Goncalo R", "non-dropping-particle" : "", "parse-names" : false, "suffix" : "" }, { "dropping-particle" : "", "family" : "Auton", "given" : "Adam", "non-dropping-particle" : "", "parse-names" : false, "suffix" : "" }, { "dropping-particle" : "", "family" : "Brooks", "given" : "Lisa D", "non-dropping-particle" : "", "parse-names" : false, "suffix" : "" }, { "dropping-particle" : "", "family" : "DePristo", "given" : "Mark A", "non-dropping-particle" : "", "parse-names" : false, "suffix" : "" }, { "dropping-particle" : "", "family" : "Durbin", "given" : "Richard M", "non-dropping-particle" : "", "parse-names" : false, "suffix" : "" }, { "dropping-particle" : "", "family" : "Handsaker", "given" : "Robert E", "non-dropping-particle" : "", "parse-names" : false, "suffix" : "" }, { "dropping-particle" : "", "family" : "Kang", "given" : "Hyun Min", "non-dropping-particle" : "", "parse-names" : false, "suffix" : "" }, { "dropping-particle" : "", "family" : "Marth", "given" : "Gabor T", "non-dropping-particle" : "", "parse-names" : false, "suffix" : "" }, { "dropping-particle" : "", "family" : "McVean", "given" : "Gil A", "non-dropping-particle" : "", "parse-names" : false, "suffix" : "" } ], "container-title" : "Nature", "id" : "ITEM-1", "issue" : "7422", "issued" : { "date-parts" : [ [ "2012", "11", "1" ] ] }, "page" : "56-65", "title" : "An integrated map of genetic variation from 1,092 human genomes.", "type" : "article-journal", "volume" : "491" }, "uris" : [ "http://www.mendeley.com/documents/?uuid=5fa3b6bb-482b-4668-886e-9488e8ccf05c" ] } ], "mendeley" : { "formattedCitation" : "&lt;sup&gt;18&lt;/sup&gt;", "plainTextFormattedCitation" : "18", "previouslyFormattedCitation" : "&lt;sup&gt;18&lt;/sup&gt;" }, "properties" : { "noteIndex" : 0 }, "schema" : "https://github.com/citation-style-language/schema/raw/master/csl-citation.json" }</w:instrText>
      </w:r>
      <w:r w:rsidR="00A570ED">
        <w:rPr>
          <w:rFonts w:ascii="Times New Roman" w:hAnsi="Times New Roman" w:cs="Times New Roman"/>
          <w:sz w:val="24"/>
          <w:szCs w:val="24"/>
        </w:rPr>
        <w:fldChar w:fldCharType="separate"/>
      </w:r>
      <w:r w:rsidR="00A570ED" w:rsidRPr="00A570ED">
        <w:rPr>
          <w:rFonts w:ascii="Times New Roman" w:hAnsi="Times New Roman" w:cs="Times New Roman"/>
          <w:noProof/>
          <w:sz w:val="24"/>
          <w:szCs w:val="24"/>
          <w:vertAlign w:val="superscript"/>
        </w:rPr>
        <w:t>18</w:t>
      </w:r>
      <w:r w:rsidR="00A570ED">
        <w:rPr>
          <w:rFonts w:ascii="Times New Roman" w:hAnsi="Times New Roman" w:cs="Times New Roman"/>
          <w:sz w:val="24"/>
          <w:szCs w:val="24"/>
        </w:rPr>
        <w:fldChar w:fldCharType="end"/>
      </w:r>
      <w:r w:rsidR="00A570ED">
        <w:rPr>
          <w:rFonts w:ascii="Times New Roman" w:hAnsi="Times New Roman" w:cs="Times New Roman"/>
          <w:sz w:val="24"/>
          <w:szCs w:val="24"/>
        </w:rPr>
        <w:t xml:space="preserve"> </w:t>
      </w:r>
      <w:r w:rsidR="00174D4F">
        <w:rPr>
          <w:rFonts w:ascii="Times New Roman" w:hAnsi="Times New Roman" w:cs="Times New Roman"/>
          <w:sz w:val="24"/>
          <w:szCs w:val="24"/>
        </w:rPr>
        <w:t xml:space="preserve">and Exome </w:t>
      </w:r>
      <w:r w:rsidR="00174D4F">
        <w:rPr>
          <w:rFonts w:ascii="Times New Roman" w:hAnsi="Times New Roman" w:cs="Times New Roman"/>
          <w:sz w:val="24"/>
          <w:szCs w:val="24"/>
        </w:rPr>
        <w:lastRenderedPageBreak/>
        <w:t xml:space="preserve">Sequencing Project data </w:t>
      </w:r>
      <w:r w:rsidR="00A570ED">
        <w:rPr>
          <w:rFonts w:ascii="Times New Roman" w:hAnsi="Times New Roman" w:cs="Times New Roman"/>
          <w:sz w:val="24"/>
          <w:szCs w:val="24"/>
        </w:rPr>
        <w:t>(6,500 exomes)</w:t>
      </w:r>
      <w:r w:rsidR="00A570ED">
        <w:rPr>
          <w:rFonts w:ascii="Times New Roman" w:hAnsi="Times New Roman" w:cs="Times New Roman"/>
          <w:sz w:val="24"/>
          <w:szCs w:val="24"/>
        </w:rPr>
        <w:fldChar w:fldCharType="begin" w:fldLock="1"/>
      </w:r>
      <w:r w:rsidR="00EA6673">
        <w:rPr>
          <w:rFonts w:ascii="Times New Roman" w:hAnsi="Times New Roman" w:cs="Times New Roman"/>
          <w:sz w:val="24"/>
          <w:szCs w:val="24"/>
        </w:rPr>
        <w:instrText>ADDIN CSL_CITATION { "citationItems" : [ { "id" : "ITEM-1", "itemData" : { "DOI" : "10.1126/science.1219240", "ISSN" : "1095-9203", "PMID" : "22604720", "abstract" : "As a first step toward understanding how rare variants contribute to risk for complex diseases, we sequenced 15,585 human protein-coding genes to an average median depth of 111\u00d7 in 2440 individuals of European (n = 1351) and African (n = 1088) ancestry. We identified over 500,000 single-nucleotide variants (SNVs), the majority of which were rare (86% with a minor allele frequency less than 0.5%), previously unknown (82%), and population-specific (82%). On average, 2.3% of the 13,595 SNVs each person carried were predicted to affect protein function of ~313 genes per genome, and ~95.7% of SNVs predicted to be functionally important were rare. This excess of rare functional variants is due to the combined effects of explosive, recent accelerated population growth and weak purifying selection. Furthermore, we show that large sample sizes will be required to associate rare variants with complex traits.", "author" : [ { "dropping-particle" : "", "family" : "Tennessen", "given" : "Jacob A", "non-dropping-particle" : "", "parse-names" : false, "suffix" : "" }, { "dropping-particle" : "", "family" : "Bigham", "given" : "Abigail W", "non-dropping-particle" : "", "parse-names" : false, "suffix" : "" }, { "dropping-particle" : "", "family" : "O'Connor", "given" : "Timothy D", "non-dropping-particle" : "", "parse-names" : false, "suffix" : "" }, { "dropping-particle" : "", "family" : "Fu", "given" : "Wenqing", "non-dropping-particle" : "", "parse-names" : false, "suffix" : "" }, { "dropping-particle" : "", "family" : "Kenny", "given" : "Eimear E", "non-dropping-particle" : "", "parse-names" : false, "suffix" : "" }, { "dropping-particle" : "", "family" : "Gravel", "given" : "Simon", "non-dropping-particle" : "", "parse-names" : false, "suffix" : "" }, { "dropping-particle" : "", "family" : "McGee", "given" : "Sean", "non-dropping-particle" : "", "parse-names" : false, "suffix" : "" }, { "dropping-particle" : "", "family" : "Do", "given" : "Ron", "non-dropping-particle" : "", "parse-names" : false, "suffix" : "" }, { "dropping-particle" : "", "family" : "Liu", "given" : "Xiaoming", "non-dropping-particle" : "", "parse-names" : false, "suffix" : "" }, { "dropping-particle" : "", "family" : "Jun", "given" : "Goo", "non-dropping-particle" : "", "parse-names" : false, "suffix" : "" }, { "dropping-particle" : "", "family" : "Kang", "given" : "Hyun Min", "non-dropping-particle" : "", "parse-names" : false, "suffix" : "" }, { "dropping-particle" : "", "family" : "Jordan", "given" : "Daniel", "non-dropping-particle" : "", "parse-names" : false, "suffix" : "" }, { "dropping-particle" : "", "family" : "Leal", "given" : "Suzanne M", "non-dropping-particle" : "", "parse-names" : false, "suffix" : "" }, { "dropping-particle" : "", "family" : "Gabriel", "given" : "Stacey", "non-dropping-particle" : "", "parse-names" : false, "suffix" : "" }, { "dropping-particle" : "", "family" : "Rieder", "given" : "Mark J", "non-dropping-particle" : "", "parse-names" : false, "suffix" : "" }, { "dropping-particle" : "", "family" : "Abecasis", "given" : "Goncalo", "non-dropping-particle" : "", "parse-names" : false, "suffix" : "" }, { "dropping-particle" : "", "family" : "Altshuler", "given" : "David", "non-dropping-particle" : "", "parse-names" : false, "suffix" : "" }, { "dropping-particle" : "", "family" : "Nickerson", "given" : "Deborah A", "non-dropping-particle" : "", "parse-names" : false, "suffix" : "" }, { "dropping-particle" : "", "family" : "Boerwinkle", "given" : "Eric", "non-dropping-particle" : "", "parse-names" : false, "suffix" : "" }, { "dropping-particle" : "", "family" : "Sunyaev", "given" : "Shamil", "non-dropping-particle" : "", "parse-names" : false, "suffix" : "" }, { "dropping-particle" : "", "family" : "Bustamante", "given" : "Carlos D", "non-dropping-particle" : "", "parse-names" : false, "suffix" : "" }, { "dropping-particle" : "", "family" : "Bamshad", "given" : "Michael J", "non-dropping-particle" : "", "parse-names" : false, "suffix" : "" }, { "dropping-particle" : "", "family" : "Akey", "given" : "Joshua M", "non-dropping-particle" : "", "parse-names" : false, "suffix" : "" }, { "dropping-particle" : "", "family" : "Broad GO", "given" : "", "non-dropping-particle" : "", "parse-names" : false, "suffix" : "" }, { "dropping-particle" : "", "family" : "Seattle GO", "given" : "", "non-dropping-particle" : "", "parse-names" : false, "suffix" : "" }, { "dropping-particle" : "", "family" : "NHLBI Exome Sequencing Project", "given" : "", "non-dropping-particle" : "", "parse-names" : false, "suffix" : "" } ], "container-title" : "Science (New York, N.Y.)", "id" : "ITEM-1", "issue" : "6090", "issued" : { "date-parts" : [ [ "2012", "7", "6" ] ] }, "page" : "64-9", "title" : "Evolution and functional impact of rare coding variation from deep sequencing of human exomes.", "type" : "article-journal", "volume" : "337" }, "uris" : [ "http://www.mendeley.com/documents/?uuid=7219db7c-4aa8-4dc2-ab10-ea9946749433" ] } ], "mendeley" : { "formattedCitation" : "&lt;sup&gt;17&lt;/sup&gt;", "plainTextFormattedCitation" : "17", "previouslyFormattedCitation" : "&lt;sup&gt;17&lt;/sup&gt;" }, "properties" : { "noteIndex" : 0 }, "schema" : "https://github.com/citation-style-language/schema/raw/master/csl-citation.json" }</w:instrText>
      </w:r>
      <w:r w:rsidR="00A570ED">
        <w:rPr>
          <w:rFonts w:ascii="Times New Roman" w:hAnsi="Times New Roman" w:cs="Times New Roman"/>
          <w:sz w:val="24"/>
          <w:szCs w:val="24"/>
        </w:rPr>
        <w:fldChar w:fldCharType="separate"/>
      </w:r>
      <w:r w:rsidR="00A570ED" w:rsidRPr="00A570ED">
        <w:rPr>
          <w:rFonts w:ascii="Times New Roman" w:hAnsi="Times New Roman" w:cs="Times New Roman"/>
          <w:noProof/>
          <w:sz w:val="24"/>
          <w:szCs w:val="24"/>
          <w:vertAlign w:val="superscript"/>
        </w:rPr>
        <w:t>17</w:t>
      </w:r>
      <w:r w:rsidR="00A570ED">
        <w:rPr>
          <w:rFonts w:ascii="Times New Roman" w:hAnsi="Times New Roman" w:cs="Times New Roman"/>
          <w:sz w:val="24"/>
          <w:szCs w:val="24"/>
        </w:rPr>
        <w:fldChar w:fldCharType="end"/>
      </w:r>
      <w:r w:rsidR="0047721C">
        <w:rPr>
          <w:rFonts w:ascii="Times New Roman" w:hAnsi="Times New Roman" w:cs="Times New Roman"/>
          <w:sz w:val="24"/>
          <w:szCs w:val="24"/>
        </w:rPr>
        <w:t xml:space="preserve">, to produce </w:t>
      </w:r>
      <w:r w:rsidR="0047721C" w:rsidRPr="0047721C">
        <w:rPr>
          <w:rFonts w:ascii="Times New Roman" w:hAnsi="Times New Roman" w:cs="Times New Roman"/>
          <w:color w:val="FF0000"/>
          <w:sz w:val="24"/>
          <w:szCs w:val="24"/>
        </w:rPr>
        <w:t>Supplementary Figure 2</w:t>
      </w:r>
      <w:r w:rsidR="0047721C">
        <w:rPr>
          <w:rFonts w:ascii="Times New Roman" w:hAnsi="Times New Roman" w:cs="Times New Roman"/>
          <w:sz w:val="24"/>
          <w:szCs w:val="24"/>
        </w:rPr>
        <w:t xml:space="preserve"> and </w:t>
      </w:r>
      <w:r w:rsidR="0047721C" w:rsidRPr="0047721C">
        <w:rPr>
          <w:rFonts w:ascii="Times New Roman" w:hAnsi="Times New Roman" w:cs="Times New Roman"/>
          <w:color w:val="FF0000"/>
          <w:sz w:val="24"/>
          <w:szCs w:val="24"/>
        </w:rPr>
        <w:t>Supplementary Table 1</w:t>
      </w:r>
      <w:r w:rsidR="0047721C">
        <w:rPr>
          <w:rFonts w:ascii="Times New Roman" w:hAnsi="Times New Roman" w:cs="Times New Roman"/>
          <w:sz w:val="24"/>
          <w:szCs w:val="24"/>
        </w:rPr>
        <w:t xml:space="preserve">. </w:t>
      </w:r>
    </w:p>
    <w:p w:rsidR="00C96CA4" w:rsidRDefault="00C96CA4" w:rsidP="006B37B8">
      <w:pPr>
        <w:spacing w:after="0" w:line="240" w:lineRule="auto"/>
        <w:rPr>
          <w:rFonts w:ascii="Times New Roman" w:hAnsi="Times New Roman" w:cs="Times New Roman"/>
          <w:sz w:val="24"/>
          <w:szCs w:val="24"/>
        </w:rPr>
      </w:pPr>
    </w:p>
    <w:p w:rsidR="00C96CA4" w:rsidRDefault="00C96CA4" w:rsidP="006B37B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All coordinates are based on the human reference genome </w:t>
      </w:r>
      <w:r w:rsidR="00E65D48">
        <w:rPr>
          <w:rFonts w:ascii="Times New Roman" w:hAnsi="Times New Roman" w:cs="Times New Roman"/>
          <w:sz w:val="24"/>
          <w:szCs w:val="24"/>
        </w:rPr>
        <w:t xml:space="preserve">assembly version </w:t>
      </w:r>
      <w:r>
        <w:rPr>
          <w:rFonts w:ascii="Times New Roman" w:hAnsi="Times New Roman" w:cs="Times New Roman"/>
          <w:sz w:val="24"/>
          <w:szCs w:val="24"/>
        </w:rPr>
        <w:t xml:space="preserve">of GRCh37. </w:t>
      </w:r>
    </w:p>
    <w:p w:rsidR="00174D4F" w:rsidRDefault="00174D4F" w:rsidP="006B37B8">
      <w:pPr>
        <w:spacing w:after="0" w:line="240" w:lineRule="auto"/>
        <w:rPr>
          <w:rFonts w:ascii="Times New Roman" w:hAnsi="Times New Roman" w:cs="Times New Roman"/>
          <w:sz w:val="24"/>
          <w:szCs w:val="24"/>
        </w:rPr>
      </w:pPr>
    </w:p>
    <w:p w:rsidR="00174D4F" w:rsidRDefault="00785438" w:rsidP="006B37B8">
      <w:pPr>
        <w:spacing w:after="0" w:line="240" w:lineRule="auto"/>
        <w:rPr>
          <w:rFonts w:ascii="Times New Roman" w:hAnsi="Times New Roman" w:cs="Times New Roman"/>
          <w:b/>
          <w:i/>
          <w:sz w:val="24"/>
          <w:szCs w:val="24"/>
        </w:rPr>
      </w:pPr>
      <w:r>
        <w:rPr>
          <w:rFonts w:ascii="Times New Roman" w:hAnsi="Times New Roman" w:cs="Times New Roman"/>
          <w:b/>
          <w:i/>
          <w:sz w:val="24"/>
          <w:szCs w:val="24"/>
        </w:rPr>
        <w:t>Relating genomic and protein information</w:t>
      </w:r>
    </w:p>
    <w:p w:rsidR="00785438" w:rsidRPr="00785438" w:rsidRDefault="00785438" w:rsidP="006B37B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Custom scripts are written to relate </w:t>
      </w:r>
      <w:r w:rsidR="00271AF6">
        <w:rPr>
          <w:rFonts w:ascii="Times New Roman" w:hAnsi="Times New Roman" w:cs="Times New Roman"/>
          <w:sz w:val="24"/>
          <w:szCs w:val="24"/>
        </w:rPr>
        <w:t>genomic</w:t>
      </w:r>
      <w:r>
        <w:rPr>
          <w:rFonts w:ascii="Times New Roman" w:hAnsi="Times New Roman" w:cs="Times New Roman"/>
          <w:sz w:val="24"/>
          <w:szCs w:val="24"/>
        </w:rPr>
        <w:t xml:space="preserve"> </w:t>
      </w:r>
      <w:r w:rsidR="00E07D1B">
        <w:rPr>
          <w:rFonts w:ascii="Times New Roman" w:hAnsi="Times New Roman" w:cs="Times New Roman"/>
          <w:sz w:val="24"/>
          <w:szCs w:val="24"/>
        </w:rPr>
        <w:t>to protein information</w:t>
      </w:r>
      <w:r w:rsidR="00E65D48">
        <w:rPr>
          <w:rFonts w:ascii="Times New Roman" w:hAnsi="Times New Roman" w:cs="Times New Roman"/>
          <w:sz w:val="24"/>
          <w:szCs w:val="24"/>
        </w:rPr>
        <w:t xml:space="preserve">. </w:t>
      </w:r>
      <w:r w:rsidR="00271AF6">
        <w:rPr>
          <w:rFonts w:ascii="Times New Roman" w:hAnsi="Times New Roman" w:cs="Times New Roman"/>
          <w:sz w:val="24"/>
          <w:szCs w:val="24"/>
        </w:rPr>
        <w:t>The key idea is in identifying codon coordinates. W</w:t>
      </w:r>
      <w:r w:rsidR="00E65D48">
        <w:rPr>
          <w:rFonts w:ascii="Times New Roman" w:hAnsi="Times New Roman" w:cs="Times New Roman"/>
          <w:sz w:val="24"/>
          <w:szCs w:val="24"/>
        </w:rPr>
        <w:t xml:space="preserve">e first obtain all genomic coordinates </w:t>
      </w:r>
      <w:r w:rsidR="00132CB1">
        <w:rPr>
          <w:rFonts w:ascii="Times New Roman" w:hAnsi="Times New Roman" w:cs="Times New Roman"/>
          <w:sz w:val="24"/>
          <w:szCs w:val="24"/>
        </w:rPr>
        <w:t xml:space="preserve">and strand information </w:t>
      </w:r>
      <w:r w:rsidR="00E65D48">
        <w:rPr>
          <w:rFonts w:ascii="Times New Roman" w:hAnsi="Times New Roman" w:cs="Times New Roman"/>
          <w:sz w:val="24"/>
          <w:szCs w:val="24"/>
        </w:rPr>
        <w:t xml:space="preserve">of </w:t>
      </w:r>
      <w:r w:rsidR="00B90A5F">
        <w:rPr>
          <w:rFonts w:ascii="Times New Roman" w:hAnsi="Times New Roman" w:cs="Times New Roman"/>
          <w:sz w:val="24"/>
          <w:szCs w:val="24"/>
        </w:rPr>
        <w:t xml:space="preserve">protein-coding exons </w:t>
      </w:r>
      <w:r w:rsidR="00DF1B65">
        <w:rPr>
          <w:rFonts w:ascii="Times New Roman" w:hAnsi="Times New Roman" w:cs="Times New Roman"/>
          <w:sz w:val="24"/>
          <w:szCs w:val="24"/>
        </w:rPr>
        <w:t xml:space="preserve">and residue coordinates of SMART protein domains from </w:t>
      </w:r>
      <w:proofErr w:type="spellStart"/>
      <w:r w:rsidR="00DF1B65">
        <w:rPr>
          <w:rFonts w:ascii="Times New Roman" w:hAnsi="Times New Roman" w:cs="Times New Roman"/>
          <w:sz w:val="24"/>
          <w:szCs w:val="24"/>
        </w:rPr>
        <w:t>Ensembl</w:t>
      </w:r>
      <w:proofErr w:type="spellEnd"/>
      <w:r w:rsidR="00DF1B65">
        <w:rPr>
          <w:rFonts w:ascii="Times New Roman" w:hAnsi="Times New Roman" w:cs="Times New Roman"/>
          <w:sz w:val="24"/>
          <w:szCs w:val="24"/>
        </w:rPr>
        <w:t xml:space="preserve"> 73</w:t>
      </w:r>
      <w:r w:rsidR="006E6705">
        <w:rPr>
          <w:rFonts w:ascii="Times New Roman" w:hAnsi="Times New Roman" w:cs="Times New Roman"/>
          <w:sz w:val="24"/>
          <w:szCs w:val="24"/>
        </w:rPr>
        <w:t xml:space="preserve"> and GENCODE 18</w:t>
      </w:r>
      <w:r w:rsidR="00136CD8">
        <w:rPr>
          <w:rFonts w:ascii="Times New Roman" w:hAnsi="Times New Roman" w:cs="Times New Roman"/>
          <w:sz w:val="24"/>
          <w:szCs w:val="24"/>
        </w:rPr>
        <w:t xml:space="preserve"> on the reference genome, hg19</w:t>
      </w:r>
      <w:r w:rsidR="00DF1B65">
        <w:rPr>
          <w:rFonts w:ascii="Times New Roman" w:hAnsi="Times New Roman" w:cs="Times New Roman"/>
          <w:sz w:val="24"/>
          <w:szCs w:val="24"/>
        </w:rPr>
        <w:t>.</w:t>
      </w:r>
      <w:r w:rsidR="00B90A5F">
        <w:rPr>
          <w:rFonts w:ascii="Times New Roman" w:hAnsi="Times New Roman" w:cs="Times New Roman"/>
          <w:sz w:val="24"/>
          <w:szCs w:val="24"/>
        </w:rPr>
        <w:t xml:space="preserve"> The exon information will give us the</w:t>
      </w:r>
      <w:r w:rsidR="004D23B8">
        <w:rPr>
          <w:rFonts w:ascii="Times New Roman" w:hAnsi="Times New Roman" w:cs="Times New Roman"/>
          <w:sz w:val="24"/>
          <w:szCs w:val="24"/>
        </w:rPr>
        <w:t xml:space="preserve"> exact</w:t>
      </w:r>
      <w:r w:rsidR="00B90A5F">
        <w:rPr>
          <w:rFonts w:ascii="Times New Roman" w:hAnsi="Times New Roman" w:cs="Times New Roman"/>
          <w:sz w:val="24"/>
          <w:szCs w:val="24"/>
        </w:rPr>
        <w:t xml:space="preserve"> genomic coordinates of the codons for each protein-coding gene, </w:t>
      </w:r>
      <w:r w:rsidR="00271AF6">
        <w:rPr>
          <w:rFonts w:ascii="Times New Roman" w:hAnsi="Times New Roman" w:cs="Times New Roman"/>
          <w:sz w:val="24"/>
          <w:szCs w:val="24"/>
        </w:rPr>
        <w:t>using</w:t>
      </w:r>
      <w:r w:rsidR="00B90A5F">
        <w:rPr>
          <w:rFonts w:ascii="Times New Roman" w:hAnsi="Times New Roman" w:cs="Times New Roman"/>
          <w:sz w:val="24"/>
          <w:szCs w:val="24"/>
        </w:rPr>
        <w:t xml:space="preserve"> the </w:t>
      </w:r>
      <w:r w:rsidR="00271AF6">
        <w:rPr>
          <w:rFonts w:ascii="Times New Roman" w:hAnsi="Times New Roman" w:cs="Times New Roman"/>
          <w:sz w:val="24"/>
          <w:szCs w:val="24"/>
        </w:rPr>
        <w:t xml:space="preserve">locations </w:t>
      </w:r>
      <w:r w:rsidR="00B90A5F">
        <w:rPr>
          <w:rFonts w:ascii="Times New Roman" w:hAnsi="Times New Roman" w:cs="Times New Roman"/>
          <w:sz w:val="24"/>
          <w:szCs w:val="24"/>
        </w:rPr>
        <w:t xml:space="preserve">of </w:t>
      </w:r>
      <w:r w:rsidR="00271AF6">
        <w:rPr>
          <w:rFonts w:ascii="Times New Roman" w:hAnsi="Times New Roman" w:cs="Times New Roman"/>
          <w:sz w:val="24"/>
          <w:szCs w:val="24"/>
        </w:rPr>
        <w:t xml:space="preserve">the </w:t>
      </w:r>
      <w:r w:rsidR="00B90A5F">
        <w:rPr>
          <w:rFonts w:ascii="Times New Roman" w:hAnsi="Times New Roman" w:cs="Times New Roman"/>
          <w:sz w:val="24"/>
          <w:szCs w:val="24"/>
        </w:rPr>
        <w:t xml:space="preserve">exon-intron junctions. </w:t>
      </w:r>
      <w:r w:rsidR="00F57260">
        <w:rPr>
          <w:rFonts w:ascii="Times New Roman" w:hAnsi="Times New Roman" w:cs="Times New Roman"/>
          <w:sz w:val="24"/>
          <w:szCs w:val="24"/>
        </w:rPr>
        <w:t xml:space="preserve">This allows </w:t>
      </w:r>
      <w:r w:rsidR="005F5691">
        <w:rPr>
          <w:rFonts w:ascii="Times New Roman" w:hAnsi="Times New Roman" w:cs="Times New Roman"/>
          <w:sz w:val="24"/>
          <w:szCs w:val="24"/>
        </w:rPr>
        <w:t xml:space="preserve">mapping of genomic variants to </w:t>
      </w:r>
      <w:r w:rsidR="00F57260">
        <w:rPr>
          <w:rFonts w:ascii="Times New Roman" w:hAnsi="Times New Roman" w:cs="Times New Roman"/>
          <w:sz w:val="24"/>
          <w:szCs w:val="24"/>
        </w:rPr>
        <w:t>specific codons, enabling positional accumulation of variant information across a motif-MSA profile</w:t>
      </w:r>
      <w:r w:rsidR="005F5691">
        <w:rPr>
          <w:rFonts w:ascii="Times New Roman" w:hAnsi="Times New Roman" w:cs="Times New Roman"/>
          <w:sz w:val="24"/>
          <w:szCs w:val="24"/>
        </w:rPr>
        <w:t>.</w:t>
      </w:r>
      <w:r w:rsidR="005F5691" w:rsidRPr="003F61D2">
        <w:rPr>
          <w:rFonts w:ascii="Times New Roman" w:hAnsi="Times New Roman" w:cs="Times New Roman"/>
          <w:color w:val="FF0000"/>
          <w:sz w:val="24"/>
          <w:szCs w:val="24"/>
        </w:rPr>
        <w:t xml:space="preserve"> </w:t>
      </w:r>
      <w:proofErr w:type="gramStart"/>
      <w:r w:rsidR="00E07D1B" w:rsidRPr="00E07D1B">
        <w:rPr>
          <w:rFonts w:ascii="Times New Roman" w:hAnsi="Times New Roman" w:cs="Times New Roman"/>
          <w:color w:val="FF0000"/>
          <w:sz w:val="24"/>
          <w:szCs w:val="24"/>
        </w:rPr>
        <w:t>These</w:t>
      </w:r>
      <w:proofErr w:type="gramEnd"/>
      <w:r w:rsidR="00E07D1B" w:rsidRPr="00E07D1B">
        <w:rPr>
          <w:rFonts w:ascii="Times New Roman" w:hAnsi="Times New Roman" w:cs="Times New Roman"/>
          <w:color w:val="FF0000"/>
          <w:sz w:val="24"/>
          <w:szCs w:val="24"/>
        </w:rPr>
        <w:t xml:space="preserve"> scripts are available upon request</w:t>
      </w:r>
      <w:r w:rsidR="00E07D1B">
        <w:rPr>
          <w:rFonts w:ascii="Times New Roman" w:hAnsi="Times New Roman" w:cs="Times New Roman"/>
          <w:sz w:val="24"/>
          <w:szCs w:val="24"/>
        </w:rPr>
        <w:t xml:space="preserve">. </w:t>
      </w:r>
    </w:p>
    <w:p w:rsidR="00785438" w:rsidRDefault="00785438" w:rsidP="006B37B8">
      <w:pPr>
        <w:spacing w:after="0" w:line="240" w:lineRule="auto"/>
        <w:rPr>
          <w:rFonts w:ascii="Times New Roman" w:hAnsi="Times New Roman" w:cs="Times New Roman"/>
          <w:sz w:val="24"/>
          <w:szCs w:val="24"/>
        </w:rPr>
      </w:pPr>
    </w:p>
    <w:p w:rsidR="00785438" w:rsidRDefault="00BD179C" w:rsidP="006B37B8">
      <w:pPr>
        <w:spacing w:after="0" w:line="240" w:lineRule="auto"/>
        <w:rPr>
          <w:rFonts w:ascii="Times New Roman" w:hAnsi="Times New Roman" w:cs="Times New Roman"/>
          <w:b/>
          <w:i/>
          <w:sz w:val="24"/>
          <w:szCs w:val="24"/>
        </w:rPr>
      </w:pPr>
      <w:r>
        <w:rPr>
          <w:rFonts w:ascii="Times New Roman" w:hAnsi="Times New Roman" w:cs="Times New Roman"/>
          <w:b/>
          <w:i/>
          <w:sz w:val="24"/>
          <w:szCs w:val="24"/>
        </w:rPr>
        <w:t>Protein structure visualization</w:t>
      </w:r>
    </w:p>
    <w:p w:rsidR="00BD179C" w:rsidRDefault="00BD179C" w:rsidP="006B37B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X-ray crystal structures from Protein Data Bank (PDB) </w:t>
      </w:r>
      <w:r w:rsidR="00A570ED">
        <w:rPr>
          <w:rFonts w:ascii="Times New Roman" w:hAnsi="Times New Roman" w:cs="Times New Roman"/>
          <w:sz w:val="24"/>
          <w:szCs w:val="24"/>
        </w:rPr>
        <w:t xml:space="preserve">are created using </w:t>
      </w:r>
      <w:proofErr w:type="spellStart"/>
      <w:r w:rsidR="00A570ED">
        <w:rPr>
          <w:rFonts w:ascii="Times New Roman" w:hAnsi="Times New Roman" w:cs="Times New Roman"/>
          <w:sz w:val="24"/>
          <w:szCs w:val="24"/>
        </w:rPr>
        <w:t>Pymol</w:t>
      </w:r>
      <w:proofErr w:type="spellEnd"/>
      <w:r w:rsidR="00A570ED">
        <w:rPr>
          <w:rFonts w:ascii="Times New Roman" w:hAnsi="Times New Roman" w:cs="Times New Roman"/>
          <w:sz w:val="24"/>
          <w:szCs w:val="24"/>
        </w:rPr>
        <w:t xml:space="preserve"> 1.3.</w:t>
      </w:r>
      <w:r w:rsidR="00EA6673">
        <w:rPr>
          <w:rFonts w:ascii="Times New Roman" w:hAnsi="Times New Roman" w:cs="Times New Roman"/>
          <w:sz w:val="24"/>
          <w:szCs w:val="24"/>
        </w:rPr>
        <w:fldChar w:fldCharType="begin" w:fldLock="1"/>
      </w:r>
      <w:r w:rsidR="00EA6673">
        <w:rPr>
          <w:rFonts w:ascii="Times New Roman" w:hAnsi="Times New Roman" w:cs="Times New Roman"/>
          <w:sz w:val="24"/>
          <w:szCs w:val="24"/>
        </w:rPr>
        <w:instrText>ADDIN CSL_CITATION { "citationItems" : [ { "id" : "ITEM-1", "itemData" : { "id" : "ITEM-1", "issued" : { "date-parts" : [ [ "0" ] ] }, "title" : "The PyMOL Molecular Graphics System, Version 1.8 Schr\u00f6dinger, LLC.", "type" : "article" }, "uris" : [ "http://www.mendeley.com/documents/?uuid=b59902ae-4c0c-430a-9083-83d5dfdb4e37" ] } ], "mendeley" : { "formattedCitation" : "&lt;sup&gt;42&lt;/sup&gt;", "plainTextFormattedCitation" : "42", "previouslyFormattedCitation" : "&lt;sup&gt;42&lt;/sup&gt;" }, "properties" : { "noteIndex" : 0 }, "schema" : "https://github.com/citation-style-language/schema/raw/master/csl-citation.json" }</w:instrText>
      </w:r>
      <w:r w:rsidR="00EA6673">
        <w:rPr>
          <w:rFonts w:ascii="Times New Roman" w:hAnsi="Times New Roman" w:cs="Times New Roman"/>
          <w:sz w:val="24"/>
          <w:szCs w:val="24"/>
        </w:rPr>
        <w:fldChar w:fldCharType="separate"/>
      </w:r>
      <w:r w:rsidR="00EA6673" w:rsidRPr="00EA6673">
        <w:rPr>
          <w:rFonts w:ascii="Times New Roman" w:hAnsi="Times New Roman" w:cs="Times New Roman"/>
          <w:noProof/>
          <w:sz w:val="24"/>
          <w:szCs w:val="24"/>
          <w:vertAlign w:val="superscript"/>
        </w:rPr>
        <w:t>42</w:t>
      </w:r>
      <w:r w:rsidR="00EA6673">
        <w:rPr>
          <w:rFonts w:ascii="Times New Roman" w:hAnsi="Times New Roman" w:cs="Times New Roman"/>
          <w:sz w:val="24"/>
          <w:szCs w:val="24"/>
        </w:rPr>
        <w:fldChar w:fldCharType="end"/>
      </w:r>
    </w:p>
    <w:p w:rsidR="00BD179C" w:rsidRDefault="00BD179C" w:rsidP="006B37B8">
      <w:pPr>
        <w:spacing w:after="0" w:line="240" w:lineRule="auto"/>
        <w:rPr>
          <w:rFonts w:ascii="Times New Roman" w:hAnsi="Times New Roman" w:cs="Times New Roman"/>
          <w:sz w:val="24"/>
          <w:szCs w:val="24"/>
        </w:rPr>
      </w:pPr>
    </w:p>
    <w:p w:rsidR="00BD179C" w:rsidRDefault="00BD179C" w:rsidP="006B37B8">
      <w:pPr>
        <w:spacing w:after="0" w:line="240" w:lineRule="auto"/>
        <w:rPr>
          <w:rFonts w:ascii="Times New Roman" w:hAnsi="Times New Roman" w:cs="Times New Roman"/>
          <w:b/>
          <w:i/>
          <w:sz w:val="24"/>
          <w:szCs w:val="24"/>
        </w:rPr>
      </w:pPr>
      <w:r>
        <w:rPr>
          <w:rFonts w:ascii="Times New Roman" w:hAnsi="Times New Roman" w:cs="Times New Roman"/>
          <w:b/>
          <w:i/>
          <w:sz w:val="24"/>
          <w:szCs w:val="24"/>
        </w:rPr>
        <w:t>Clinically-relevant and disease-related variants</w:t>
      </w:r>
    </w:p>
    <w:p w:rsidR="00BD179C" w:rsidRDefault="007443C4" w:rsidP="006B37B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Clinically-relevant and disease-related variants </w:t>
      </w:r>
      <w:r w:rsidR="00722502">
        <w:rPr>
          <w:rFonts w:ascii="Times New Roman" w:hAnsi="Times New Roman" w:cs="Times New Roman"/>
          <w:sz w:val="24"/>
          <w:szCs w:val="24"/>
        </w:rPr>
        <w:t>in GRCh37</w:t>
      </w:r>
      <w:r w:rsidR="00A8393D">
        <w:rPr>
          <w:rFonts w:ascii="Times New Roman" w:hAnsi="Times New Roman" w:cs="Times New Roman"/>
          <w:sz w:val="24"/>
          <w:szCs w:val="24"/>
        </w:rPr>
        <w:t xml:space="preserve"> </w:t>
      </w:r>
      <w:r>
        <w:rPr>
          <w:rFonts w:ascii="Times New Roman" w:hAnsi="Times New Roman" w:cs="Times New Roman"/>
          <w:sz w:val="24"/>
          <w:szCs w:val="24"/>
        </w:rPr>
        <w:t>were downloaded from ClinVar</w:t>
      </w:r>
      <w:r>
        <w:rPr>
          <w:rFonts w:ascii="Times New Roman" w:hAnsi="Times New Roman" w:cs="Times New Roman"/>
          <w:sz w:val="24"/>
          <w:szCs w:val="24"/>
        </w:rPr>
        <w:fldChar w:fldCharType="begin" w:fldLock="1"/>
      </w:r>
      <w:r w:rsidR="007F79CC">
        <w:rPr>
          <w:rFonts w:ascii="Times New Roman" w:hAnsi="Times New Roman" w:cs="Times New Roman"/>
          <w:sz w:val="24"/>
          <w:szCs w:val="24"/>
        </w:rPr>
        <w:instrText>ADDIN CSL_CITATION { "citationItems" : [ { "id" : "ITEM-1", "itemData" : { "DOI" : "10.1093/nar/gkt1113", "ISSN" : "1362-4962", "PMID" : "24234437", "abstract" : "ClinVar (http://www.ncbi.nlm.nih.gov/clinvar/) provides a freely available archive of reports of relationships among medically important variants and phenotypes. ClinVar accessions submissions reporting human variation, interpretations of the relationship of that variation to human health and the evidence supporting each interpretation. The database is tightly coupled with dbSNP and dbVar, which maintain information about the location of variation on human assemblies. ClinVar is also based on the phenotypic descriptions maintained in MedGen (http://www.ncbi.nlm.nih.gov/medgen). Each ClinVar record represents the submitter, the variation and the phenotype, i.e. the unit that is assigned an accession of the format SCV000000000.0. The submitter can update the submission at any time, in which case a new version is assigned. To facilitate evaluation of the medical importance of each variant, ClinVar aggregates submissions with the same variation/phenotype combination, adds value from other NCBI databases, assigns a distinct accession of the format RCV000000000.0 and reports if there are conflicting clinical interpretations. Data in ClinVar are available in multiple formats, including html, download as XML, VCF or tab-delimited subsets. Data from ClinVar are provided as annotation tracks on genomic RefSeqs and are used in tools such as Variation Reporter (http://www.ncbi.nlm.nih.gov/variation/tools/reporter), which reports what is known about variation based on user-supplied locations.", "author" : [ { "dropping-particle" : "", "family" : "Landrum", "given" : "Melissa J", "non-dropping-particle" : "", "parse-names" : false, "suffix" : "" }, { "dropping-particle" : "", "family" : "Lee", "given" : "Jennifer M", "non-dropping-particle" : "", "parse-names" : false, "suffix" : "" }, { "dropping-particle" : "", "family" : "Riley", "given" : "George R", "non-dropping-particle" : "", "parse-names" : false, "suffix" : "" }, { "dropping-particle" : "", "family" : "Jang", "given" : "Wonhee", "non-dropping-particle" : "", "parse-names" : false, "suffix" : "" }, { "dropping-particle" : "", "family" : "Rubinstein", "given" : "Wendy S", "non-dropping-particle" : "", "parse-names" : false, "suffix" : "" }, { "dropping-particle" : "", "family" : "Church", "given" : "Deanna M", "non-dropping-particle" : "", "parse-names" : false, "suffix" : "" }, { "dropping-particle" : "", "family" : "Maglott", "given" : "Donna R", "non-dropping-particle" : "", "parse-names" : false, "suffix" : "" } ], "container-title" : "Nucleic acids research", "id" : "ITEM-1", "issue" : "Database issue", "issued" : { "date-parts" : [ [ "2014", "1" ] ] }, "page" : "D980-5", "title" : "ClinVar: public archive of relationships among sequence variation and human phenotype.", "type" : "article-journal", "volume" : "42" }, "uris" : [ "http://www.mendeley.com/documents/?uuid=d289c6f2-ccab-48b0-98f5-d43aa0078563" ] } ], "mendeley" : { "formattedCitation" : "&lt;sup&gt;21&lt;/sup&gt;", "plainTextFormattedCitation" : "21", "previouslyFormattedCitation" : "&lt;sup&gt;21&lt;/sup&gt;" }, "properties" : { "noteIndex" : 0 }, "schema" : "https://github.com/citation-style-language/schema/raw/master/csl-citation.json" }</w:instrText>
      </w:r>
      <w:r>
        <w:rPr>
          <w:rFonts w:ascii="Times New Roman" w:hAnsi="Times New Roman" w:cs="Times New Roman"/>
          <w:sz w:val="24"/>
          <w:szCs w:val="24"/>
        </w:rPr>
        <w:fldChar w:fldCharType="separate"/>
      </w:r>
      <w:r w:rsidR="007F79CC" w:rsidRPr="007F79CC">
        <w:rPr>
          <w:rFonts w:ascii="Times New Roman" w:hAnsi="Times New Roman" w:cs="Times New Roman"/>
          <w:noProof/>
          <w:sz w:val="24"/>
          <w:szCs w:val="24"/>
          <w:vertAlign w:val="superscript"/>
        </w:rPr>
        <w:t>21</w:t>
      </w:r>
      <w:r>
        <w:rPr>
          <w:rFonts w:ascii="Times New Roman" w:hAnsi="Times New Roman" w:cs="Times New Roman"/>
          <w:sz w:val="24"/>
          <w:szCs w:val="24"/>
        </w:rPr>
        <w:fldChar w:fldCharType="end"/>
      </w:r>
      <w:r>
        <w:rPr>
          <w:rFonts w:ascii="Times New Roman" w:hAnsi="Times New Roman" w:cs="Times New Roman"/>
          <w:sz w:val="24"/>
          <w:szCs w:val="24"/>
        </w:rPr>
        <w:t xml:space="preserve"> on July 8, 2015 and </w:t>
      </w:r>
      <w:r w:rsidR="000C666C">
        <w:rPr>
          <w:rFonts w:ascii="Times New Roman" w:hAnsi="Times New Roman" w:cs="Times New Roman"/>
          <w:sz w:val="24"/>
          <w:szCs w:val="24"/>
        </w:rPr>
        <w:t>the proprietary HGMD Professional Database downloaded on July 27, 2015</w:t>
      </w:r>
      <w:r>
        <w:rPr>
          <w:rFonts w:ascii="Times New Roman" w:hAnsi="Times New Roman" w:cs="Times New Roman"/>
          <w:sz w:val="24"/>
          <w:szCs w:val="24"/>
        </w:rPr>
        <w:t>.</w:t>
      </w:r>
      <w:r w:rsidR="00EA6673">
        <w:rPr>
          <w:rFonts w:ascii="Times New Roman" w:hAnsi="Times New Roman" w:cs="Times New Roman"/>
          <w:sz w:val="24"/>
          <w:szCs w:val="24"/>
        </w:rPr>
        <w:fldChar w:fldCharType="begin" w:fldLock="1"/>
      </w:r>
      <w:r w:rsidR="00EA6673">
        <w:rPr>
          <w:rFonts w:ascii="Times New Roman" w:hAnsi="Times New Roman" w:cs="Times New Roman"/>
          <w:sz w:val="24"/>
          <w:szCs w:val="24"/>
        </w:rPr>
        <w:instrText>ADDIN CSL_CITATION { "citationItems" : [ { "id" : "ITEM-1", "itemData" : { "DOI" : "10.1007/s00439-013-1358-4", "ISSN" : "1432-1203", "PMID" : "24077912", "abstract" : "The Human Gene Mutation Database (HGMD\u00ae) is a comprehensive collection of germline mutations in nuclear genes that underlie, or are associated with, human inherited disease. By June 2013, the database contained over 141,000 different lesions detected in over 5,700 different genes, with new mutation entries currently accumulating at a rate exceeding 10,000 per annum. HGMD was originally established in 1996 for the scientific study of mutational mechanisms in human genes. However, it has since acquired a much broader utility as a central unified disease-oriented mutation repository utilized by human molecular geneticists, genome scientists, molecular biologists, clinicians and genetic counsellors as well as by those specializing in biopharmaceuticals, bioinformatics and personalized genomics. The public version of HGMD (http://www.hgmd.org) is freely available to registered users from academic institutions/non-profit organizations whilst the subscription version (HGMD Professional) is available to academic, clinical and commercial users under license via BIOBASE GmbH.", "author" : [ { "dropping-particle" : "", "family" : "Stenson", "given" : "Peter D", "non-dropping-particle" : "", "parse-names" : false, "suffix" : "" }, { "dropping-particle" : "", "family" : "Mort", "given" : "Matthew", "non-dropping-particle" : "", "parse-names" : false, "suffix" : "" }, { "dropping-particle" : "V", "family" : "Ball", "given" : "Edward", "non-dropping-particle" : "", "parse-names" : false, "suffix" : "" }, { "dropping-particle" : "", "family" : "Shaw", "given" : "Katy", "non-dropping-particle" : "", "parse-names" : false, "suffix" : "" }, { "dropping-particle" : "", "family" : "Phillips", "given" : "Andrew", "non-dropping-particle" : "", "parse-names" : false, "suffix" : "" }, { "dropping-particle" : "", "family" : "Cooper", "given" : "David N", "non-dropping-particle" : "", "parse-names" : false, "suffix" : "" } ], "container-title" : "Human genetics", "id" : "ITEM-1", "issue" : "1", "issued" : { "date-parts" : [ [ "2014", "1" ] ] }, "page" : "1-9", "title" : "The Human Gene Mutation Database: building a comprehensive mutation repository for clinical and molecular genetics, diagnostic testing and personalized genomic medicine.", "type" : "article-journal", "volume" : "133" }, "uris" : [ "http://www.mendeley.com/documents/?uuid=0e84394d-f31d-46d0-8973-7d751af03499" ] } ], "mendeley" : { "formattedCitation" : "&lt;sup&gt;22&lt;/sup&gt;", "plainTextFormattedCitation" : "22", "previouslyFormattedCitation" : "&lt;sup&gt;22&lt;/sup&gt;" }, "properties" : { "noteIndex" : 0 }, "schema" : "https://github.com/citation-style-language/schema/raw/master/csl-citation.json" }</w:instrText>
      </w:r>
      <w:r w:rsidR="00EA6673">
        <w:rPr>
          <w:rFonts w:ascii="Times New Roman" w:hAnsi="Times New Roman" w:cs="Times New Roman"/>
          <w:sz w:val="24"/>
          <w:szCs w:val="24"/>
        </w:rPr>
        <w:fldChar w:fldCharType="separate"/>
      </w:r>
      <w:r w:rsidR="00EA6673" w:rsidRPr="00EA6673">
        <w:rPr>
          <w:rFonts w:ascii="Times New Roman" w:hAnsi="Times New Roman" w:cs="Times New Roman"/>
          <w:noProof/>
          <w:sz w:val="24"/>
          <w:szCs w:val="24"/>
          <w:vertAlign w:val="superscript"/>
        </w:rPr>
        <w:t>22</w:t>
      </w:r>
      <w:r w:rsidR="00EA6673">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2171BC" w:rsidRDefault="002171BC" w:rsidP="006B37B8">
      <w:pPr>
        <w:spacing w:after="0" w:line="240" w:lineRule="auto"/>
        <w:rPr>
          <w:rFonts w:ascii="Times New Roman" w:hAnsi="Times New Roman" w:cs="Times New Roman"/>
          <w:sz w:val="24"/>
          <w:szCs w:val="24"/>
        </w:rPr>
      </w:pPr>
    </w:p>
    <w:p w:rsidR="002171BC" w:rsidRPr="00BD179C" w:rsidRDefault="002171BC" w:rsidP="006B37B8">
      <w:pPr>
        <w:spacing w:after="0" w:line="240" w:lineRule="auto"/>
        <w:rPr>
          <w:rFonts w:ascii="Times New Roman" w:hAnsi="Times New Roman" w:cs="Times New Roman"/>
          <w:sz w:val="24"/>
          <w:szCs w:val="24"/>
        </w:rPr>
      </w:pPr>
    </w:p>
    <w:p w:rsidR="00EA6673" w:rsidRDefault="00EA6673" w:rsidP="00EA6673">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Acknowledgements</w:t>
      </w:r>
    </w:p>
    <w:p w:rsidR="00BD179C" w:rsidRPr="00BD179C" w:rsidRDefault="00BD179C" w:rsidP="006B37B8">
      <w:pPr>
        <w:spacing w:after="0" w:line="240" w:lineRule="auto"/>
        <w:rPr>
          <w:rFonts w:ascii="Times New Roman" w:hAnsi="Times New Roman" w:cs="Times New Roman"/>
          <w:sz w:val="24"/>
          <w:szCs w:val="24"/>
        </w:rPr>
      </w:pPr>
    </w:p>
    <w:p w:rsidR="00134900" w:rsidRDefault="00134900" w:rsidP="006B37B8">
      <w:pPr>
        <w:spacing w:after="0" w:line="240" w:lineRule="auto"/>
        <w:rPr>
          <w:rFonts w:ascii="Times New Roman" w:hAnsi="Times New Roman" w:cs="Times New Roman"/>
          <w:sz w:val="24"/>
          <w:szCs w:val="24"/>
        </w:rPr>
      </w:pPr>
    </w:p>
    <w:p w:rsidR="0020288A" w:rsidRDefault="0020288A" w:rsidP="006B37B8">
      <w:pPr>
        <w:spacing w:after="0" w:line="240" w:lineRule="auto"/>
        <w:rPr>
          <w:rFonts w:ascii="Times New Roman" w:hAnsi="Times New Roman" w:cs="Times New Roman"/>
          <w:sz w:val="24"/>
          <w:szCs w:val="24"/>
        </w:rPr>
      </w:pPr>
    </w:p>
    <w:p w:rsidR="0020288A" w:rsidRDefault="0020288A" w:rsidP="006B37B8">
      <w:pPr>
        <w:spacing w:after="0" w:line="240" w:lineRule="auto"/>
        <w:rPr>
          <w:rFonts w:ascii="Times New Roman" w:hAnsi="Times New Roman" w:cs="Times New Roman"/>
          <w:sz w:val="24"/>
          <w:szCs w:val="24"/>
        </w:rPr>
      </w:pPr>
    </w:p>
    <w:p w:rsidR="00EA6673" w:rsidRDefault="00EA6673" w:rsidP="006B37B8">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References</w:t>
      </w:r>
    </w:p>
    <w:p w:rsidR="00616FD1" w:rsidRPr="00616FD1" w:rsidRDefault="00EA6673" w:rsidP="00616FD1">
      <w:pPr>
        <w:widowControl w:val="0"/>
        <w:autoSpaceDE w:val="0"/>
        <w:autoSpaceDN w:val="0"/>
        <w:adjustRightInd w:val="0"/>
        <w:spacing w:after="0" w:line="240" w:lineRule="auto"/>
        <w:ind w:left="640" w:hanging="640"/>
        <w:rPr>
          <w:rFonts w:ascii="Times New Roman" w:hAnsi="Times New Roman" w:cs="Times New Roman"/>
          <w:noProof/>
          <w:sz w:val="24"/>
          <w:szCs w:val="24"/>
        </w:rPr>
      </w:pPr>
      <w:r>
        <w:rPr>
          <w:rFonts w:ascii="Times New Roman" w:hAnsi="Times New Roman" w:cs="Times New Roman"/>
          <w:b/>
          <w:sz w:val="24"/>
          <w:szCs w:val="24"/>
          <w:u w:val="single"/>
        </w:rPr>
        <w:fldChar w:fldCharType="begin" w:fldLock="1"/>
      </w:r>
      <w:r>
        <w:rPr>
          <w:rFonts w:ascii="Times New Roman" w:hAnsi="Times New Roman" w:cs="Times New Roman"/>
          <w:b/>
          <w:sz w:val="24"/>
          <w:szCs w:val="24"/>
          <w:u w:val="single"/>
        </w:rPr>
        <w:instrText xml:space="preserve">ADDIN Mendeley Bibliography CSL_BIBLIOGRAPHY </w:instrText>
      </w:r>
      <w:r>
        <w:rPr>
          <w:rFonts w:ascii="Times New Roman" w:hAnsi="Times New Roman" w:cs="Times New Roman"/>
          <w:b/>
          <w:sz w:val="24"/>
          <w:szCs w:val="24"/>
          <w:u w:val="single"/>
        </w:rPr>
        <w:fldChar w:fldCharType="separate"/>
      </w:r>
      <w:r w:rsidR="00616FD1" w:rsidRPr="00616FD1">
        <w:rPr>
          <w:rFonts w:ascii="Times New Roman" w:hAnsi="Times New Roman" w:cs="Times New Roman"/>
          <w:noProof/>
          <w:sz w:val="24"/>
          <w:szCs w:val="24"/>
        </w:rPr>
        <w:t>1.</w:t>
      </w:r>
      <w:r w:rsidR="00616FD1" w:rsidRPr="00616FD1">
        <w:rPr>
          <w:rFonts w:ascii="Times New Roman" w:hAnsi="Times New Roman" w:cs="Times New Roman"/>
          <w:noProof/>
          <w:sz w:val="24"/>
          <w:szCs w:val="24"/>
        </w:rPr>
        <w:tab/>
        <w:t xml:space="preserve">1000 Genomes Project Consortium </w:t>
      </w:r>
      <w:r w:rsidR="00616FD1" w:rsidRPr="00616FD1">
        <w:rPr>
          <w:rFonts w:ascii="Times New Roman" w:hAnsi="Times New Roman" w:cs="Times New Roman"/>
          <w:i/>
          <w:iCs/>
          <w:noProof/>
          <w:sz w:val="24"/>
          <w:szCs w:val="24"/>
        </w:rPr>
        <w:t>et al.</w:t>
      </w:r>
      <w:r w:rsidR="00616FD1" w:rsidRPr="00616FD1">
        <w:rPr>
          <w:rFonts w:ascii="Times New Roman" w:hAnsi="Times New Roman" w:cs="Times New Roman"/>
          <w:noProof/>
          <w:sz w:val="24"/>
          <w:szCs w:val="24"/>
        </w:rPr>
        <w:t xml:space="preserve"> A global reference for human genetic variation. </w:t>
      </w:r>
      <w:r w:rsidR="00616FD1" w:rsidRPr="00616FD1">
        <w:rPr>
          <w:rFonts w:ascii="Times New Roman" w:hAnsi="Times New Roman" w:cs="Times New Roman"/>
          <w:i/>
          <w:iCs/>
          <w:noProof/>
          <w:sz w:val="24"/>
          <w:szCs w:val="24"/>
        </w:rPr>
        <w:t>Nature</w:t>
      </w:r>
      <w:r w:rsidR="00616FD1" w:rsidRPr="00616FD1">
        <w:rPr>
          <w:rFonts w:ascii="Times New Roman" w:hAnsi="Times New Roman" w:cs="Times New Roman"/>
          <w:noProof/>
          <w:sz w:val="24"/>
          <w:szCs w:val="24"/>
        </w:rPr>
        <w:t xml:space="preserve"> </w:t>
      </w:r>
      <w:r w:rsidR="00616FD1" w:rsidRPr="00616FD1">
        <w:rPr>
          <w:rFonts w:ascii="Times New Roman" w:hAnsi="Times New Roman" w:cs="Times New Roman"/>
          <w:b/>
          <w:bCs/>
          <w:noProof/>
          <w:sz w:val="24"/>
          <w:szCs w:val="24"/>
        </w:rPr>
        <w:t>526,</w:t>
      </w:r>
      <w:r w:rsidR="00616FD1" w:rsidRPr="00616FD1">
        <w:rPr>
          <w:rFonts w:ascii="Times New Roman" w:hAnsi="Times New Roman" w:cs="Times New Roman"/>
          <w:noProof/>
          <w:sz w:val="24"/>
          <w:szCs w:val="24"/>
        </w:rPr>
        <w:t xml:space="preserve"> 68–74 (2015).</w:t>
      </w:r>
    </w:p>
    <w:p w:rsidR="00616FD1" w:rsidRPr="00616FD1" w:rsidRDefault="00616FD1" w:rsidP="00616FD1">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616FD1">
        <w:rPr>
          <w:rFonts w:ascii="Times New Roman" w:hAnsi="Times New Roman" w:cs="Times New Roman"/>
          <w:noProof/>
          <w:sz w:val="24"/>
          <w:szCs w:val="24"/>
        </w:rPr>
        <w:t>2.</w:t>
      </w:r>
      <w:r w:rsidRPr="00616FD1">
        <w:rPr>
          <w:rFonts w:ascii="Times New Roman" w:hAnsi="Times New Roman" w:cs="Times New Roman"/>
          <w:noProof/>
          <w:sz w:val="24"/>
          <w:szCs w:val="24"/>
        </w:rPr>
        <w:tab/>
        <w:t xml:space="preserve">Muddyman, D., Smee, C., Griffin, H. &amp; Kaye, J. Implementing a successful data-management framework: the UK10K managed access model. </w:t>
      </w:r>
      <w:r w:rsidRPr="00616FD1">
        <w:rPr>
          <w:rFonts w:ascii="Times New Roman" w:hAnsi="Times New Roman" w:cs="Times New Roman"/>
          <w:i/>
          <w:iCs/>
          <w:noProof/>
          <w:sz w:val="24"/>
          <w:szCs w:val="24"/>
        </w:rPr>
        <w:t>Genome Med.</w:t>
      </w:r>
      <w:r w:rsidRPr="00616FD1">
        <w:rPr>
          <w:rFonts w:ascii="Times New Roman" w:hAnsi="Times New Roman" w:cs="Times New Roman"/>
          <w:noProof/>
          <w:sz w:val="24"/>
          <w:szCs w:val="24"/>
        </w:rPr>
        <w:t xml:space="preserve"> </w:t>
      </w:r>
      <w:r w:rsidRPr="00616FD1">
        <w:rPr>
          <w:rFonts w:ascii="Times New Roman" w:hAnsi="Times New Roman" w:cs="Times New Roman"/>
          <w:b/>
          <w:bCs/>
          <w:noProof/>
          <w:sz w:val="24"/>
          <w:szCs w:val="24"/>
        </w:rPr>
        <w:t>5,</w:t>
      </w:r>
      <w:r w:rsidRPr="00616FD1">
        <w:rPr>
          <w:rFonts w:ascii="Times New Roman" w:hAnsi="Times New Roman" w:cs="Times New Roman"/>
          <w:noProof/>
          <w:sz w:val="24"/>
          <w:szCs w:val="24"/>
        </w:rPr>
        <w:t xml:space="preserve"> 100 (2013).</w:t>
      </w:r>
    </w:p>
    <w:p w:rsidR="00616FD1" w:rsidRPr="00616FD1" w:rsidRDefault="00616FD1" w:rsidP="00616FD1">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616FD1">
        <w:rPr>
          <w:rFonts w:ascii="Times New Roman" w:hAnsi="Times New Roman" w:cs="Times New Roman"/>
          <w:noProof/>
          <w:sz w:val="24"/>
          <w:szCs w:val="24"/>
        </w:rPr>
        <w:t>3.</w:t>
      </w:r>
      <w:r w:rsidRPr="00616FD1">
        <w:rPr>
          <w:rFonts w:ascii="Times New Roman" w:hAnsi="Times New Roman" w:cs="Times New Roman"/>
          <w:noProof/>
          <w:sz w:val="24"/>
          <w:szCs w:val="24"/>
        </w:rPr>
        <w:tab/>
        <w:t xml:space="preserve">Kumar, P., Henikoff, S. &amp; Ng, P. C. Predicting the effects of coding non-synonymous variants on protein function using the SIFT algorithm. </w:t>
      </w:r>
      <w:r w:rsidRPr="00616FD1">
        <w:rPr>
          <w:rFonts w:ascii="Times New Roman" w:hAnsi="Times New Roman" w:cs="Times New Roman"/>
          <w:i/>
          <w:iCs/>
          <w:noProof/>
          <w:sz w:val="24"/>
          <w:szCs w:val="24"/>
        </w:rPr>
        <w:t>Nat. Protoc.</w:t>
      </w:r>
      <w:r w:rsidRPr="00616FD1">
        <w:rPr>
          <w:rFonts w:ascii="Times New Roman" w:hAnsi="Times New Roman" w:cs="Times New Roman"/>
          <w:noProof/>
          <w:sz w:val="24"/>
          <w:szCs w:val="24"/>
        </w:rPr>
        <w:t xml:space="preserve"> </w:t>
      </w:r>
      <w:r w:rsidRPr="00616FD1">
        <w:rPr>
          <w:rFonts w:ascii="Times New Roman" w:hAnsi="Times New Roman" w:cs="Times New Roman"/>
          <w:b/>
          <w:bCs/>
          <w:noProof/>
          <w:sz w:val="24"/>
          <w:szCs w:val="24"/>
        </w:rPr>
        <w:t>4,</w:t>
      </w:r>
      <w:r w:rsidRPr="00616FD1">
        <w:rPr>
          <w:rFonts w:ascii="Times New Roman" w:hAnsi="Times New Roman" w:cs="Times New Roman"/>
          <w:noProof/>
          <w:sz w:val="24"/>
          <w:szCs w:val="24"/>
        </w:rPr>
        <w:t xml:space="preserve"> 1073–81 (2009).</w:t>
      </w:r>
    </w:p>
    <w:p w:rsidR="00616FD1" w:rsidRPr="00616FD1" w:rsidRDefault="00616FD1" w:rsidP="00616FD1">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616FD1">
        <w:rPr>
          <w:rFonts w:ascii="Times New Roman" w:hAnsi="Times New Roman" w:cs="Times New Roman"/>
          <w:noProof/>
          <w:sz w:val="24"/>
          <w:szCs w:val="24"/>
        </w:rPr>
        <w:t>4.</w:t>
      </w:r>
      <w:r w:rsidRPr="00616FD1">
        <w:rPr>
          <w:rFonts w:ascii="Times New Roman" w:hAnsi="Times New Roman" w:cs="Times New Roman"/>
          <w:noProof/>
          <w:sz w:val="24"/>
          <w:szCs w:val="24"/>
        </w:rPr>
        <w:tab/>
        <w:t xml:space="preserve">Adzhubei, I., Jordan, D. M. &amp; Sunyaev, S. R. Predicting functional effect of human missense mutations using PolyPhen-2. </w:t>
      </w:r>
      <w:r w:rsidRPr="00616FD1">
        <w:rPr>
          <w:rFonts w:ascii="Times New Roman" w:hAnsi="Times New Roman" w:cs="Times New Roman"/>
          <w:i/>
          <w:iCs/>
          <w:noProof/>
          <w:sz w:val="24"/>
          <w:szCs w:val="24"/>
        </w:rPr>
        <w:t>Curr. Protoc. Hum. Genet.</w:t>
      </w:r>
      <w:r w:rsidRPr="00616FD1">
        <w:rPr>
          <w:rFonts w:ascii="Times New Roman" w:hAnsi="Times New Roman" w:cs="Times New Roman"/>
          <w:noProof/>
          <w:sz w:val="24"/>
          <w:szCs w:val="24"/>
        </w:rPr>
        <w:t xml:space="preserve"> </w:t>
      </w:r>
      <w:r w:rsidRPr="00616FD1">
        <w:rPr>
          <w:rFonts w:ascii="Times New Roman" w:hAnsi="Times New Roman" w:cs="Times New Roman"/>
          <w:b/>
          <w:bCs/>
          <w:noProof/>
          <w:sz w:val="24"/>
          <w:szCs w:val="24"/>
        </w:rPr>
        <w:t>Chapter 7,</w:t>
      </w:r>
      <w:r w:rsidRPr="00616FD1">
        <w:rPr>
          <w:rFonts w:ascii="Times New Roman" w:hAnsi="Times New Roman" w:cs="Times New Roman"/>
          <w:noProof/>
          <w:sz w:val="24"/>
          <w:szCs w:val="24"/>
        </w:rPr>
        <w:t xml:space="preserve"> Unit7.20 (2013).</w:t>
      </w:r>
    </w:p>
    <w:p w:rsidR="00616FD1" w:rsidRPr="00616FD1" w:rsidRDefault="00616FD1" w:rsidP="00616FD1">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616FD1">
        <w:rPr>
          <w:rFonts w:ascii="Times New Roman" w:hAnsi="Times New Roman" w:cs="Times New Roman"/>
          <w:noProof/>
          <w:sz w:val="24"/>
          <w:szCs w:val="24"/>
        </w:rPr>
        <w:t>5.</w:t>
      </w:r>
      <w:r w:rsidRPr="00616FD1">
        <w:rPr>
          <w:rFonts w:ascii="Times New Roman" w:hAnsi="Times New Roman" w:cs="Times New Roman"/>
          <w:noProof/>
          <w:sz w:val="24"/>
          <w:szCs w:val="24"/>
        </w:rPr>
        <w:tab/>
        <w:t xml:space="preserve">González-Pérez, A. &amp; López-Bigas, N. Improving the assessment of the outcome of nonsynonymous SNVs with a consensus deleteriousness score, Condel. </w:t>
      </w:r>
      <w:r w:rsidRPr="00616FD1">
        <w:rPr>
          <w:rFonts w:ascii="Times New Roman" w:hAnsi="Times New Roman" w:cs="Times New Roman"/>
          <w:i/>
          <w:iCs/>
          <w:noProof/>
          <w:sz w:val="24"/>
          <w:szCs w:val="24"/>
        </w:rPr>
        <w:t>Am. J. Hum. Genet.</w:t>
      </w:r>
      <w:r w:rsidRPr="00616FD1">
        <w:rPr>
          <w:rFonts w:ascii="Times New Roman" w:hAnsi="Times New Roman" w:cs="Times New Roman"/>
          <w:noProof/>
          <w:sz w:val="24"/>
          <w:szCs w:val="24"/>
        </w:rPr>
        <w:t xml:space="preserve"> </w:t>
      </w:r>
      <w:r w:rsidRPr="00616FD1">
        <w:rPr>
          <w:rFonts w:ascii="Times New Roman" w:hAnsi="Times New Roman" w:cs="Times New Roman"/>
          <w:b/>
          <w:bCs/>
          <w:noProof/>
          <w:sz w:val="24"/>
          <w:szCs w:val="24"/>
        </w:rPr>
        <w:t>88,</w:t>
      </w:r>
      <w:r w:rsidRPr="00616FD1">
        <w:rPr>
          <w:rFonts w:ascii="Times New Roman" w:hAnsi="Times New Roman" w:cs="Times New Roman"/>
          <w:noProof/>
          <w:sz w:val="24"/>
          <w:szCs w:val="24"/>
        </w:rPr>
        <w:t xml:space="preserve"> 440–9 (2011).</w:t>
      </w:r>
    </w:p>
    <w:p w:rsidR="00616FD1" w:rsidRPr="00616FD1" w:rsidRDefault="00616FD1" w:rsidP="00616FD1">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616FD1">
        <w:rPr>
          <w:rFonts w:ascii="Times New Roman" w:hAnsi="Times New Roman" w:cs="Times New Roman"/>
          <w:noProof/>
          <w:sz w:val="24"/>
          <w:szCs w:val="24"/>
        </w:rPr>
        <w:t>6.</w:t>
      </w:r>
      <w:r w:rsidRPr="00616FD1">
        <w:rPr>
          <w:rFonts w:ascii="Times New Roman" w:hAnsi="Times New Roman" w:cs="Times New Roman"/>
          <w:noProof/>
          <w:sz w:val="24"/>
          <w:szCs w:val="24"/>
        </w:rPr>
        <w:tab/>
        <w:t xml:space="preserve">Ng, P. C. &amp; Henikoff, S. Predicting the effects of amino acid substitutions on protein function. </w:t>
      </w:r>
      <w:r w:rsidRPr="00616FD1">
        <w:rPr>
          <w:rFonts w:ascii="Times New Roman" w:hAnsi="Times New Roman" w:cs="Times New Roman"/>
          <w:i/>
          <w:iCs/>
          <w:noProof/>
          <w:sz w:val="24"/>
          <w:szCs w:val="24"/>
        </w:rPr>
        <w:t>Annu. Rev. Genomics Hum. Genet.</w:t>
      </w:r>
      <w:r w:rsidRPr="00616FD1">
        <w:rPr>
          <w:rFonts w:ascii="Times New Roman" w:hAnsi="Times New Roman" w:cs="Times New Roman"/>
          <w:noProof/>
          <w:sz w:val="24"/>
          <w:szCs w:val="24"/>
        </w:rPr>
        <w:t xml:space="preserve"> </w:t>
      </w:r>
      <w:r w:rsidRPr="00616FD1">
        <w:rPr>
          <w:rFonts w:ascii="Times New Roman" w:hAnsi="Times New Roman" w:cs="Times New Roman"/>
          <w:b/>
          <w:bCs/>
          <w:noProof/>
          <w:sz w:val="24"/>
          <w:szCs w:val="24"/>
        </w:rPr>
        <w:t>7,</w:t>
      </w:r>
      <w:r w:rsidRPr="00616FD1">
        <w:rPr>
          <w:rFonts w:ascii="Times New Roman" w:hAnsi="Times New Roman" w:cs="Times New Roman"/>
          <w:noProof/>
          <w:sz w:val="24"/>
          <w:szCs w:val="24"/>
        </w:rPr>
        <w:t xml:space="preserve"> 61–80 (2006).</w:t>
      </w:r>
    </w:p>
    <w:p w:rsidR="00616FD1" w:rsidRPr="00616FD1" w:rsidRDefault="00616FD1" w:rsidP="00616FD1">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616FD1">
        <w:rPr>
          <w:rFonts w:ascii="Times New Roman" w:hAnsi="Times New Roman" w:cs="Times New Roman"/>
          <w:noProof/>
          <w:sz w:val="24"/>
          <w:szCs w:val="24"/>
        </w:rPr>
        <w:t>7.</w:t>
      </w:r>
      <w:r w:rsidRPr="00616FD1">
        <w:rPr>
          <w:rFonts w:ascii="Times New Roman" w:hAnsi="Times New Roman" w:cs="Times New Roman"/>
          <w:noProof/>
          <w:sz w:val="24"/>
          <w:szCs w:val="24"/>
        </w:rPr>
        <w:tab/>
        <w:t xml:space="preserve">Clackson, T. &amp; Wells, J. A. A hot spot of binding energy in a hormone-receptor interface. </w:t>
      </w:r>
      <w:r w:rsidRPr="00616FD1">
        <w:rPr>
          <w:rFonts w:ascii="Times New Roman" w:hAnsi="Times New Roman" w:cs="Times New Roman"/>
          <w:i/>
          <w:iCs/>
          <w:noProof/>
          <w:sz w:val="24"/>
          <w:szCs w:val="24"/>
        </w:rPr>
        <w:t>Science</w:t>
      </w:r>
      <w:r w:rsidRPr="00616FD1">
        <w:rPr>
          <w:rFonts w:ascii="Times New Roman" w:hAnsi="Times New Roman" w:cs="Times New Roman"/>
          <w:noProof/>
          <w:sz w:val="24"/>
          <w:szCs w:val="24"/>
        </w:rPr>
        <w:t xml:space="preserve"> </w:t>
      </w:r>
      <w:r w:rsidRPr="00616FD1">
        <w:rPr>
          <w:rFonts w:ascii="Times New Roman" w:hAnsi="Times New Roman" w:cs="Times New Roman"/>
          <w:b/>
          <w:bCs/>
          <w:noProof/>
          <w:sz w:val="24"/>
          <w:szCs w:val="24"/>
        </w:rPr>
        <w:t>267,</w:t>
      </w:r>
      <w:r w:rsidRPr="00616FD1">
        <w:rPr>
          <w:rFonts w:ascii="Times New Roman" w:hAnsi="Times New Roman" w:cs="Times New Roman"/>
          <w:noProof/>
          <w:sz w:val="24"/>
          <w:szCs w:val="24"/>
        </w:rPr>
        <w:t xml:space="preserve"> 383–6 (1995).</w:t>
      </w:r>
    </w:p>
    <w:p w:rsidR="00616FD1" w:rsidRPr="00616FD1" w:rsidRDefault="00616FD1" w:rsidP="00616FD1">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616FD1">
        <w:rPr>
          <w:rFonts w:ascii="Times New Roman" w:hAnsi="Times New Roman" w:cs="Times New Roman"/>
          <w:noProof/>
          <w:sz w:val="24"/>
          <w:szCs w:val="24"/>
        </w:rPr>
        <w:lastRenderedPageBreak/>
        <w:t>8.</w:t>
      </w:r>
      <w:r w:rsidRPr="00616FD1">
        <w:rPr>
          <w:rFonts w:ascii="Times New Roman" w:hAnsi="Times New Roman" w:cs="Times New Roman"/>
          <w:noProof/>
          <w:sz w:val="24"/>
          <w:szCs w:val="24"/>
        </w:rPr>
        <w:tab/>
        <w:t xml:space="preserve">Marcotte, E. M., Pellegrini, M., Yeates, T. O. &amp; Eisenberg, D. A census of protein repeats. </w:t>
      </w:r>
      <w:r w:rsidRPr="00616FD1">
        <w:rPr>
          <w:rFonts w:ascii="Times New Roman" w:hAnsi="Times New Roman" w:cs="Times New Roman"/>
          <w:i/>
          <w:iCs/>
          <w:noProof/>
          <w:sz w:val="24"/>
          <w:szCs w:val="24"/>
        </w:rPr>
        <w:t>J. Mol. Biol.</w:t>
      </w:r>
      <w:r w:rsidRPr="00616FD1">
        <w:rPr>
          <w:rFonts w:ascii="Times New Roman" w:hAnsi="Times New Roman" w:cs="Times New Roman"/>
          <w:noProof/>
          <w:sz w:val="24"/>
          <w:szCs w:val="24"/>
        </w:rPr>
        <w:t xml:space="preserve"> </w:t>
      </w:r>
      <w:r w:rsidRPr="00616FD1">
        <w:rPr>
          <w:rFonts w:ascii="Times New Roman" w:hAnsi="Times New Roman" w:cs="Times New Roman"/>
          <w:b/>
          <w:bCs/>
          <w:noProof/>
          <w:sz w:val="24"/>
          <w:szCs w:val="24"/>
        </w:rPr>
        <w:t>293,</w:t>
      </w:r>
      <w:r w:rsidRPr="00616FD1">
        <w:rPr>
          <w:rFonts w:ascii="Times New Roman" w:hAnsi="Times New Roman" w:cs="Times New Roman"/>
          <w:noProof/>
          <w:sz w:val="24"/>
          <w:szCs w:val="24"/>
        </w:rPr>
        <w:t xml:space="preserve"> 151–60 (1999).</w:t>
      </w:r>
    </w:p>
    <w:p w:rsidR="00616FD1" w:rsidRPr="00616FD1" w:rsidRDefault="00616FD1" w:rsidP="00616FD1">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616FD1">
        <w:rPr>
          <w:rFonts w:ascii="Times New Roman" w:hAnsi="Times New Roman" w:cs="Times New Roman"/>
          <w:noProof/>
          <w:sz w:val="24"/>
          <w:szCs w:val="24"/>
        </w:rPr>
        <w:t>9.</w:t>
      </w:r>
      <w:r w:rsidRPr="00616FD1">
        <w:rPr>
          <w:rFonts w:ascii="Times New Roman" w:hAnsi="Times New Roman" w:cs="Times New Roman"/>
          <w:noProof/>
          <w:sz w:val="24"/>
          <w:szCs w:val="24"/>
        </w:rPr>
        <w:tab/>
        <w:t xml:space="preserve">Kajava, A. V. Tandem repeats in proteins: from sequence to structure. </w:t>
      </w:r>
      <w:r w:rsidRPr="00616FD1">
        <w:rPr>
          <w:rFonts w:ascii="Times New Roman" w:hAnsi="Times New Roman" w:cs="Times New Roman"/>
          <w:i/>
          <w:iCs/>
          <w:noProof/>
          <w:sz w:val="24"/>
          <w:szCs w:val="24"/>
        </w:rPr>
        <w:t>J. Struct. Biol.</w:t>
      </w:r>
      <w:r w:rsidRPr="00616FD1">
        <w:rPr>
          <w:rFonts w:ascii="Times New Roman" w:hAnsi="Times New Roman" w:cs="Times New Roman"/>
          <w:noProof/>
          <w:sz w:val="24"/>
          <w:szCs w:val="24"/>
        </w:rPr>
        <w:t xml:space="preserve"> </w:t>
      </w:r>
      <w:r w:rsidRPr="00616FD1">
        <w:rPr>
          <w:rFonts w:ascii="Times New Roman" w:hAnsi="Times New Roman" w:cs="Times New Roman"/>
          <w:b/>
          <w:bCs/>
          <w:noProof/>
          <w:sz w:val="24"/>
          <w:szCs w:val="24"/>
        </w:rPr>
        <w:t>179,</w:t>
      </w:r>
      <w:r w:rsidRPr="00616FD1">
        <w:rPr>
          <w:rFonts w:ascii="Times New Roman" w:hAnsi="Times New Roman" w:cs="Times New Roman"/>
          <w:noProof/>
          <w:sz w:val="24"/>
          <w:szCs w:val="24"/>
        </w:rPr>
        <w:t xml:space="preserve"> 279–88 (2012).</w:t>
      </w:r>
    </w:p>
    <w:p w:rsidR="00616FD1" w:rsidRPr="00616FD1" w:rsidRDefault="00616FD1" w:rsidP="00616FD1">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616FD1">
        <w:rPr>
          <w:rFonts w:ascii="Times New Roman" w:hAnsi="Times New Roman" w:cs="Times New Roman"/>
          <w:noProof/>
          <w:sz w:val="24"/>
          <w:szCs w:val="24"/>
        </w:rPr>
        <w:t>10.</w:t>
      </w:r>
      <w:r w:rsidRPr="00616FD1">
        <w:rPr>
          <w:rFonts w:ascii="Times New Roman" w:hAnsi="Times New Roman" w:cs="Times New Roman"/>
          <w:noProof/>
          <w:sz w:val="24"/>
          <w:szCs w:val="24"/>
        </w:rPr>
        <w:tab/>
        <w:t xml:space="preserve">Andrade, M. A., Perez-Iratxeta, C. &amp; Ponting, C. P. Protein repeats: structures, functions, and evolution. </w:t>
      </w:r>
      <w:r w:rsidRPr="00616FD1">
        <w:rPr>
          <w:rFonts w:ascii="Times New Roman" w:hAnsi="Times New Roman" w:cs="Times New Roman"/>
          <w:i/>
          <w:iCs/>
          <w:noProof/>
          <w:sz w:val="24"/>
          <w:szCs w:val="24"/>
        </w:rPr>
        <w:t>J. Struct. Biol.</w:t>
      </w:r>
      <w:r w:rsidRPr="00616FD1">
        <w:rPr>
          <w:rFonts w:ascii="Times New Roman" w:hAnsi="Times New Roman" w:cs="Times New Roman"/>
          <w:noProof/>
          <w:sz w:val="24"/>
          <w:szCs w:val="24"/>
        </w:rPr>
        <w:t xml:space="preserve"> </w:t>
      </w:r>
      <w:r w:rsidRPr="00616FD1">
        <w:rPr>
          <w:rFonts w:ascii="Times New Roman" w:hAnsi="Times New Roman" w:cs="Times New Roman"/>
          <w:b/>
          <w:bCs/>
          <w:noProof/>
          <w:sz w:val="24"/>
          <w:szCs w:val="24"/>
        </w:rPr>
        <w:t>134,</w:t>
      </w:r>
      <w:r w:rsidRPr="00616FD1">
        <w:rPr>
          <w:rFonts w:ascii="Times New Roman" w:hAnsi="Times New Roman" w:cs="Times New Roman"/>
          <w:noProof/>
          <w:sz w:val="24"/>
          <w:szCs w:val="24"/>
        </w:rPr>
        <w:t xml:space="preserve"> 117–31</w:t>
      </w:r>
    </w:p>
    <w:p w:rsidR="00616FD1" w:rsidRPr="00616FD1" w:rsidRDefault="00616FD1" w:rsidP="00616FD1">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616FD1">
        <w:rPr>
          <w:rFonts w:ascii="Times New Roman" w:hAnsi="Times New Roman" w:cs="Times New Roman"/>
          <w:noProof/>
          <w:sz w:val="24"/>
          <w:szCs w:val="24"/>
        </w:rPr>
        <w:t>11.</w:t>
      </w:r>
      <w:r w:rsidRPr="00616FD1">
        <w:rPr>
          <w:rFonts w:ascii="Times New Roman" w:hAnsi="Times New Roman" w:cs="Times New Roman"/>
          <w:noProof/>
          <w:sz w:val="24"/>
          <w:szCs w:val="24"/>
        </w:rPr>
        <w:tab/>
        <w:t xml:space="preserve">Li, J., Mahajan, A. &amp; Tsai, M.-D. Ankyrin repeat: a unique motif mediating protein-protein interactions. </w:t>
      </w:r>
      <w:r w:rsidRPr="00616FD1">
        <w:rPr>
          <w:rFonts w:ascii="Times New Roman" w:hAnsi="Times New Roman" w:cs="Times New Roman"/>
          <w:i/>
          <w:iCs/>
          <w:noProof/>
          <w:sz w:val="24"/>
          <w:szCs w:val="24"/>
        </w:rPr>
        <w:t>Biochemistry</w:t>
      </w:r>
      <w:r w:rsidRPr="00616FD1">
        <w:rPr>
          <w:rFonts w:ascii="Times New Roman" w:hAnsi="Times New Roman" w:cs="Times New Roman"/>
          <w:noProof/>
          <w:sz w:val="24"/>
          <w:szCs w:val="24"/>
        </w:rPr>
        <w:t xml:space="preserve"> </w:t>
      </w:r>
      <w:r w:rsidRPr="00616FD1">
        <w:rPr>
          <w:rFonts w:ascii="Times New Roman" w:hAnsi="Times New Roman" w:cs="Times New Roman"/>
          <w:b/>
          <w:bCs/>
          <w:noProof/>
          <w:sz w:val="24"/>
          <w:szCs w:val="24"/>
        </w:rPr>
        <w:t>45,</w:t>
      </w:r>
      <w:r w:rsidRPr="00616FD1">
        <w:rPr>
          <w:rFonts w:ascii="Times New Roman" w:hAnsi="Times New Roman" w:cs="Times New Roman"/>
          <w:noProof/>
          <w:sz w:val="24"/>
          <w:szCs w:val="24"/>
        </w:rPr>
        <w:t xml:space="preserve"> 15168–78 (2006).</w:t>
      </w:r>
    </w:p>
    <w:p w:rsidR="00616FD1" w:rsidRPr="00616FD1" w:rsidRDefault="00616FD1" w:rsidP="00616FD1">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616FD1">
        <w:rPr>
          <w:rFonts w:ascii="Times New Roman" w:hAnsi="Times New Roman" w:cs="Times New Roman"/>
          <w:noProof/>
          <w:sz w:val="24"/>
          <w:szCs w:val="24"/>
        </w:rPr>
        <w:t>12.</w:t>
      </w:r>
      <w:r w:rsidRPr="00616FD1">
        <w:rPr>
          <w:rFonts w:ascii="Times New Roman" w:hAnsi="Times New Roman" w:cs="Times New Roman"/>
          <w:noProof/>
          <w:sz w:val="24"/>
          <w:szCs w:val="24"/>
        </w:rPr>
        <w:tab/>
        <w:t xml:space="preserve">Andrade, M. A., Petosa, C., O’Donoghue, S. I., Müller, C. W. &amp; Bork, P. Comparison of ARM and HEAT protein repeats. </w:t>
      </w:r>
      <w:r w:rsidRPr="00616FD1">
        <w:rPr>
          <w:rFonts w:ascii="Times New Roman" w:hAnsi="Times New Roman" w:cs="Times New Roman"/>
          <w:i/>
          <w:iCs/>
          <w:noProof/>
          <w:sz w:val="24"/>
          <w:szCs w:val="24"/>
        </w:rPr>
        <w:t>J. Mol. Biol.</w:t>
      </w:r>
      <w:r w:rsidRPr="00616FD1">
        <w:rPr>
          <w:rFonts w:ascii="Times New Roman" w:hAnsi="Times New Roman" w:cs="Times New Roman"/>
          <w:noProof/>
          <w:sz w:val="24"/>
          <w:szCs w:val="24"/>
        </w:rPr>
        <w:t xml:space="preserve"> </w:t>
      </w:r>
      <w:r w:rsidRPr="00616FD1">
        <w:rPr>
          <w:rFonts w:ascii="Times New Roman" w:hAnsi="Times New Roman" w:cs="Times New Roman"/>
          <w:b/>
          <w:bCs/>
          <w:noProof/>
          <w:sz w:val="24"/>
          <w:szCs w:val="24"/>
        </w:rPr>
        <w:t>309,</w:t>
      </w:r>
      <w:r w:rsidRPr="00616FD1">
        <w:rPr>
          <w:rFonts w:ascii="Times New Roman" w:hAnsi="Times New Roman" w:cs="Times New Roman"/>
          <w:noProof/>
          <w:sz w:val="24"/>
          <w:szCs w:val="24"/>
        </w:rPr>
        <w:t xml:space="preserve"> 1–18 (2001).</w:t>
      </w:r>
    </w:p>
    <w:p w:rsidR="00616FD1" w:rsidRPr="00616FD1" w:rsidRDefault="00616FD1" w:rsidP="00616FD1">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616FD1">
        <w:rPr>
          <w:rFonts w:ascii="Times New Roman" w:hAnsi="Times New Roman" w:cs="Times New Roman"/>
          <w:noProof/>
          <w:sz w:val="24"/>
          <w:szCs w:val="24"/>
        </w:rPr>
        <w:t>13.</w:t>
      </w:r>
      <w:r w:rsidRPr="00616FD1">
        <w:rPr>
          <w:rFonts w:ascii="Times New Roman" w:hAnsi="Times New Roman" w:cs="Times New Roman"/>
          <w:noProof/>
          <w:sz w:val="24"/>
          <w:szCs w:val="24"/>
        </w:rPr>
        <w:tab/>
        <w:t xml:space="preserve">Allan, R. K. &amp; Ratajczak, T. Versatile TPR domains accommodate different modes of target protein recognition and function. </w:t>
      </w:r>
      <w:r w:rsidRPr="00616FD1">
        <w:rPr>
          <w:rFonts w:ascii="Times New Roman" w:hAnsi="Times New Roman" w:cs="Times New Roman"/>
          <w:i/>
          <w:iCs/>
          <w:noProof/>
          <w:sz w:val="24"/>
          <w:szCs w:val="24"/>
        </w:rPr>
        <w:t>Cell Stress Chaperones</w:t>
      </w:r>
      <w:r w:rsidRPr="00616FD1">
        <w:rPr>
          <w:rFonts w:ascii="Times New Roman" w:hAnsi="Times New Roman" w:cs="Times New Roman"/>
          <w:noProof/>
          <w:sz w:val="24"/>
          <w:szCs w:val="24"/>
        </w:rPr>
        <w:t xml:space="preserve"> </w:t>
      </w:r>
      <w:r w:rsidRPr="00616FD1">
        <w:rPr>
          <w:rFonts w:ascii="Times New Roman" w:hAnsi="Times New Roman" w:cs="Times New Roman"/>
          <w:b/>
          <w:bCs/>
          <w:noProof/>
          <w:sz w:val="24"/>
          <w:szCs w:val="24"/>
        </w:rPr>
        <w:t>16,</w:t>
      </w:r>
      <w:r w:rsidRPr="00616FD1">
        <w:rPr>
          <w:rFonts w:ascii="Times New Roman" w:hAnsi="Times New Roman" w:cs="Times New Roman"/>
          <w:noProof/>
          <w:sz w:val="24"/>
          <w:szCs w:val="24"/>
        </w:rPr>
        <w:t xml:space="preserve"> 353–67 (2011).</w:t>
      </w:r>
    </w:p>
    <w:p w:rsidR="00616FD1" w:rsidRPr="00616FD1" w:rsidRDefault="00616FD1" w:rsidP="00616FD1">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616FD1">
        <w:rPr>
          <w:rFonts w:ascii="Times New Roman" w:hAnsi="Times New Roman" w:cs="Times New Roman"/>
          <w:noProof/>
          <w:sz w:val="24"/>
          <w:szCs w:val="24"/>
        </w:rPr>
        <w:t>14.</w:t>
      </w:r>
      <w:r w:rsidRPr="00616FD1">
        <w:rPr>
          <w:rFonts w:ascii="Times New Roman" w:hAnsi="Times New Roman" w:cs="Times New Roman"/>
          <w:noProof/>
          <w:sz w:val="24"/>
          <w:szCs w:val="24"/>
        </w:rPr>
        <w:tab/>
        <w:t xml:space="preserve">Lehmann, M., Pasamontes, L., Lassen, S. F. &amp; Wyss, M. The consensus concept for thermostability engineering of proteins. </w:t>
      </w:r>
      <w:r w:rsidRPr="00616FD1">
        <w:rPr>
          <w:rFonts w:ascii="Times New Roman" w:hAnsi="Times New Roman" w:cs="Times New Roman"/>
          <w:i/>
          <w:iCs/>
          <w:noProof/>
          <w:sz w:val="24"/>
          <w:szCs w:val="24"/>
        </w:rPr>
        <w:t>Biochim. Biophys. Acta</w:t>
      </w:r>
      <w:r w:rsidRPr="00616FD1">
        <w:rPr>
          <w:rFonts w:ascii="Times New Roman" w:hAnsi="Times New Roman" w:cs="Times New Roman"/>
          <w:noProof/>
          <w:sz w:val="24"/>
          <w:szCs w:val="24"/>
        </w:rPr>
        <w:t xml:space="preserve"> </w:t>
      </w:r>
      <w:r w:rsidRPr="00616FD1">
        <w:rPr>
          <w:rFonts w:ascii="Times New Roman" w:hAnsi="Times New Roman" w:cs="Times New Roman"/>
          <w:b/>
          <w:bCs/>
          <w:noProof/>
          <w:sz w:val="24"/>
          <w:szCs w:val="24"/>
        </w:rPr>
        <w:t>1543,</w:t>
      </w:r>
      <w:r w:rsidRPr="00616FD1">
        <w:rPr>
          <w:rFonts w:ascii="Times New Roman" w:hAnsi="Times New Roman" w:cs="Times New Roman"/>
          <w:noProof/>
          <w:sz w:val="24"/>
          <w:szCs w:val="24"/>
        </w:rPr>
        <w:t xml:space="preserve"> 408–415 (2000).</w:t>
      </w:r>
    </w:p>
    <w:p w:rsidR="00616FD1" w:rsidRPr="00616FD1" w:rsidRDefault="00616FD1" w:rsidP="00616FD1">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616FD1">
        <w:rPr>
          <w:rFonts w:ascii="Times New Roman" w:hAnsi="Times New Roman" w:cs="Times New Roman"/>
          <w:noProof/>
          <w:sz w:val="24"/>
          <w:szCs w:val="24"/>
        </w:rPr>
        <w:t>15.</w:t>
      </w:r>
      <w:r w:rsidRPr="00616FD1">
        <w:rPr>
          <w:rFonts w:ascii="Times New Roman" w:hAnsi="Times New Roman" w:cs="Times New Roman"/>
          <w:noProof/>
          <w:sz w:val="24"/>
          <w:szCs w:val="24"/>
        </w:rPr>
        <w:tab/>
        <w:t xml:space="preserve">Main, E. R. G., Xiong, Y., Cocco, M. J., D’Andrea, L. &amp; Regan, L. Design of stable alpha-helical arrays from an idealized TPR motif. </w:t>
      </w:r>
      <w:r w:rsidRPr="00616FD1">
        <w:rPr>
          <w:rFonts w:ascii="Times New Roman" w:hAnsi="Times New Roman" w:cs="Times New Roman"/>
          <w:i/>
          <w:iCs/>
          <w:noProof/>
          <w:sz w:val="24"/>
          <w:szCs w:val="24"/>
        </w:rPr>
        <w:t>Structure</w:t>
      </w:r>
      <w:r w:rsidRPr="00616FD1">
        <w:rPr>
          <w:rFonts w:ascii="Times New Roman" w:hAnsi="Times New Roman" w:cs="Times New Roman"/>
          <w:noProof/>
          <w:sz w:val="24"/>
          <w:szCs w:val="24"/>
        </w:rPr>
        <w:t xml:space="preserve"> </w:t>
      </w:r>
      <w:r w:rsidRPr="00616FD1">
        <w:rPr>
          <w:rFonts w:ascii="Times New Roman" w:hAnsi="Times New Roman" w:cs="Times New Roman"/>
          <w:b/>
          <w:bCs/>
          <w:noProof/>
          <w:sz w:val="24"/>
          <w:szCs w:val="24"/>
        </w:rPr>
        <w:t>11,</w:t>
      </w:r>
      <w:r w:rsidRPr="00616FD1">
        <w:rPr>
          <w:rFonts w:ascii="Times New Roman" w:hAnsi="Times New Roman" w:cs="Times New Roman"/>
          <w:noProof/>
          <w:sz w:val="24"/>
          <w:szCs w:val="24"/>
        </w:rPr>
        <w:t xml:space="preserve"> 497–508 (2003).</w:t>
      </w:r>
    </w:p>
    <w:p w:rsidR="00616FD1" w:rsidRPr="00616FD1" w:rsidRDefault="00616FD1" w:rsidP="00616FD1">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616FD1">
        <w:rPr>
          <w:rFonts w:ascii="Times New Roman" w:hAnsi="Times New Roman" w:cs="Times New Roman"/>
          <w:noProof/>
          <w:sz w:val="24"/>
          <w:szCs w:val="24"/>
        </w:rPr>
        <w:t>16.</w:t>
      </w:r>
      <w:r w:rsidRPr="00616FD1">
        <w:rPr>
          <w:rFonts w:ascii="Times New Roman" w:hAnsi="Times New Roman" w:cs="Times New Roman"/>
          <w:noProof/>
          <w:sz w:val="24"/>
          <w:szCs w:val="24"/>
        </w:rPr>
        <w:tab/>
        <w:t xml:space="preserve">Parizek, P. </w:t>
      </w:r>
      <w:r w:rsidRPr="00616FD1">
        <w:rPr>
          <w:rFonts w:ascii="Times New Roman" w:hAnsi="Times New Roman" w:cs="Times New Roman"/>
          <w:i/>
          <w:iCs/>
          <w:noProof/>
          <w:sz w:val="24"/>
          <w:szCs w:val="24"/>
        </w:rPr>
        <w:t>et al.</w:t>
      </w:r>
      <w:r w:rsidRPr="00616FD1">
        <w:rPr>
          <w:rFonts w:ascii="Times New Roman" w:hAnsi="Times New Roman" w:cs="Times New Roman"/>
          <w:noProof/>
          <w:sz w:val="24"/>
          <w:szCs w:val="24"/>
        </w:rPr>
        <w:t xml:space="preserve"> Designed ankyrin repeat proteins (DARPins) as novel isoform-specific intracellular inhibitors of c-Jun N-terminal kinases. </w:t>
      </w:r>
      <w:r w:rsidRPr="00616FD1">
        <w:rPr>
          <w:rFonts w:ascii="Times New Roman" w:hAnsi="Times New Roman" w:cs="Times New Roman"/>
          <w:i/>
          <w:iCs/>
          <w:noProof/>
          <w:sz w:val="24"/>
          <w:szCs w:val="24"/>
        </w:rPr>
        <w:t>ACS Chem. Biol.</w:t>
      </w:r>
      <w:r w:rsidRPr="00616FD1">
        <w:rPr>
          <w:rFonts w:ascii="Times New Roman" w:hAnsi="Times New Roman" w:cs="Times New Roman"/>
          <w:noProof/>
          <w:sz w:val="24"/>
          <w:szCs w:val="24"/>
        </w:rPr>
        <w:t xml:space="preserve"> </w:t>
      </w:r>
      <w:r w:rsidRPr="00616FD1">
        <w:rPr>
          <w:rFonts w:ascii="Times New Roman" w:hAnsi="Times New Roman" w:cs="Times New Roman"/>
          <w:b/>
          <w:bCs/>
          <w:noProof/>
          <w:sz w:val="24"/>
          <w:szCs w:val="24"/>
        </w:rPr>
        <w:t>7,</w:t>
      </w:r>
      <w:r w:rsidRPr="00616FD1">
        <w:rPr>
          <w:rFonts w:ascii="Times New Roman" w:hAnsi="Times New Roman" w:cs="Times New Roman"/>
          <w:noProof/>
          <w:sz w:val="24"/>
          <w:szCs w:val="24"/>
        </w:rPr>
        <w:t xml:space="preserve"> 1356–66 (2012).</w:t>
      </w:r>
    </w:p>
    <w:p w:rsidR="00616FD1" w:rsidRPr="00616FD1" w:rsidRDefault="00616FD1" w:rsidP="00616FD1">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616FD1">
        <w:rPr>
          <w:rFonts w:ascii="Times New Roman" w:hAnsi="Times New Roman" w:cs="Times New Roman"/>
          <w:noProof/>
          <w:sz w:val="24"/>
          <w:szCs w:val="24"/>
        </w:rPr>
        <w:t>17.</w:t>
      </w:r>
      <w:r w:rsidRPr="00616FD1">
        <w:rPr>
          <w:rFonts w:ascii="Times New Roman" w:hAnsi="Times New Roman" w:cs="Times New Roman"/>
          <w:noProof/>
          <w:sz w:val="24"/>
          <w:szCs w:val="24"/>
        </w:rPr>
        <w:tab/>
        <w:t xml:space="preserve">Tennessen, J. A. </w:t>
      </w:r>
      <w:r w:rsidRPr="00616FD1">
        <w:rPr>
          <w:rFonts w:ascii="Times New Roman" w:hAnsi="Times New Roman" w:cs="Times New Roman"/>
          <w:i/>
          <w:iCs/>
          <w:noProof/>
          <w:sz w:val="24"/>
          <w:szCs w:val="24"/>
        </w:rPr>
        <w:t>et al.</w:t>
      </w:r>
      <w:r w:rsidRPr="00616FD1">
        <w:rPr>
          <w:rFonts w:ascii="Times New Roman" w:hAnsi="Times New Roman" w:cs="Times New Roman"/>
          <w:noProof/>
          <w:sz w:val="24"/>
          <w:szCs w:val="24"/>
        </w:rPr>
        <w:t xml:space="preserve"> Evolution and functional impact of rare coding variation from deep sequencing of human exomes. </w:t>
      </w:r>
      <w:r w:rsidRPr="00616FD1">
        <w:rPr>
          <w:rFonts w:ascii="Times New Roman" w:hAnsi="Times New Roman" w:cs="Times New Roman"/>
          <w:i/>
          <w:iCs/>
          <w:noProof/>
          <w:sz w:val="24"/>
          <w:szCs w:val="24"/>
        </w:rPr>
        <w:t>Science</w:t>
      </w:r>
      <w:r w:rsidRPr="00616FD1">
        <w:rPr>
          <w:rFonts w:ascii="Times New Roman" w:hAnsi="Times New Roman" w:cs="Times New Roman"/>
          <w:noProof/>
          <w:sz w:val="24"/>
          <w:szCs w:val="24"/>
        </w:rPr>
        <w:t xml:space="preserve"> </w:t>
      </w:r>
      <w:r w:rsidRPr="00616FD1">
        <w:rPr>
          <w:rFonts w:ascii="Times New Roman" w:hAnsi="Times New Roman" w:cs="Times New Roman"/>
          <w:b/>
          <w:bCs/>
          <w:noProof/>
          <w:sz w:val="24"/>
          <w:szCs w:val="24"/>
        </w:rPr>
        <w:t>337,</w:t>
      </w:r>
      <w:r w:rsidRPr="00616FD1">
        <w:rPr>
          <w:rFonts w:ascii="Times New Roman" w:hAnsi="Times New Roman" w:cs="Times New Roman"/>
          <w:noProof/>
          <w:sz w:val="24"/>
          <w:szCs w:val="24"/>
        </w:rPr>
        <w:t xml:space="preserve"> 64–9 (2012).</w:t>
      </w:r>
    </w:p>
    <w:p w:rsidR="00616FD1" w:rsidRPr="00616FD1" w:rsidRDefault="00616FD1" w:rsidP="00616FD1">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616FD1">
        <w:rPr>
          <w:rFonts w:ascii="Times New Roman" w:hAnsi="Times New Roman" w:cs="Times New Roman"/>
          <w:noProof/>
          <w:sz w:val="24"/>
          <w:szCs w:val="24"/>
        </w:rPr>
        <w:t>18.</w:t>
      </w:r>
      <w:r w:rsidRPr="00616FD1">
        <w:rPr>
          <w:rFonts w:ascii="Times New Roman" w:hAnsi="Times New Roman" w:cs="Times New Roman"/>
          <w:noProof/>
          <w:sz w:val="24"/>
          <w:szCs w:val="24"/>
        </w:rPr>
        <w:tab/>
        <w:t xml:space="preserve">1000 Genomes Project Consortium </w:t>
      </w:r>
      <w:r w:rsidRPr="00616FD1">
        <w:rPr>
          <w:rFonts w:ascii="Times New Roman" w:hAnsi="Times New Roman" w:cs="Times New Roman"/>
          <w:i/>
          <w:iCs/>
          <w:noProof/>
          <w:sz w:val="24"/>
          <w:szCs w:val="24"/>
        </w:rPr>
        <w:t>et al.</w:t>
      </w:r>
      <w:r w:rsidRPr="00616FD1">
        <w:rPr>
          <w:rFonts w:ascii="Times New Roman" w:hAnsi="Times New Roman" w:cs="Times New Roman"/>
          <w:noProof/>
          <w:sz w:val="24"/>
          <w:szCs w:val="24"/>
        </w:rPr>
        <w:t xml:space="preserve"> An integrated map of genetic variation from 1,092 human genomes. </w:t>
      </w:r>
      <w:r w:rsidRPr="00616FD1">
        <w:rPr>
          <w:rFonts w:ascii="Times New Roman" w:hAnsi="Times New Roman" w:cs="Times New Roman"/>
          <w:i/>
          <w:iCs/>
          <w:noProof/>
          <w:sz w:val="24"/>
          <w:szCs w:val="24"/>
        </w:rPr>
        <w:t>Nature</w:t>
      </w:r>
      <w:r w:rsidRPr="00616FD1">
        <w:rPr>
          <w:rFonts w:ascii="Times New Roman" w:hAnsi="Times New Roman" w:cs="Times New Roman"/>
          <w:noProof/>
          <w:sz w:val="24"/>
          <w:szCs w:val="24"/>
        </w:rPr>
        <w:t xml:space="preserve"> </w:t>
      </w:r>
      <w:r w:rsidRPr="00616FD1">
        <w:rPr>
          <w:rFonts w:ascii="Times New Roman" w:hAnsi="Times New Roman" w:cs="Times New Roman"/>
          <w:b/>
          <w:bCs/>
          <w:noProof/>
          <w:sz w:val="24"/>
          <w:szCs w:val="24"/>
        </w:rPr>
        <w:t>491,</w:t>
      </w:r>
      <w:r w:rsidRPr="00616FD1">
        <w:rPr>
          <w:rFonts w:ascii="Times New Roman" w:hAnsi="Times New Roman" w:cs="Times New Roman"/>
          <w:noProof/>
          <w:sz w:val="24"/>
          <w:szCs w:val="24"/>
        </w:rPr>
        <w:t xml:space="preserve"> 56–65 (2012).</w:t>
      </w:r>
    </w:p>
    <w:p w:rsidR="00616FD1" w:rsidRPr="00616FD1" w:rsidRDefault="00616FD1" w:rsidP="00616FD1">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616FD1">
        <w:rPr>
          <w:rFonts w:ascii="Times New Roman" w:hAnsi="Times New Roman" w:cs="Times New Roman"/>
          <w:noProof/>
          <w:sz w:val="24"/>
          <w:szCs w:val="24"/>
        </w:rPr>
        <w:t>19.</w:t>
      </w:r>
      <w:r w:rsidRPr="00616FD1">
        <w:rPr>
          <w:rFonts w:ascii="Times New Roman" w:hAnsi="Times New Roman" w:cs="Times New Roman"/>
          <w:noProof/>
          <w:sz w:val="24"/>
          <w:szCs w:val="24"/>
        </w:rPr>
        <w:tab/>
        <w:t xml:space="preserve">Khurana, E. </w:t>
      </w:r>
      <w:r w:rsidRPr="00616FD1">
        <w:rPr>
          <w:rFonts w:ascii="Times New Roman" w:hAnsi="Times New Roman" w:cs="Times New Roman"/>
          <w:i/>
          <w:iCs/>
          <w:noProof/>
          <w:sz w:val="24"/>
          <w:szCs w:val="24"/>
        </w:rPr>
        <w:t>et al.</w:t>
      </w:r>
      <w:r w:rsidRPr="00616FD1">
        <w:rPr>
          <w:rFonts w:ascii="Times New Roman" w:hAnsi="Times New Roman" w:cs="Times New Roman"/>
          <w:noProof/>
          <w:sz w:val="24"/>
          <w:szCs w:val="24"/>
        </w:rPr>
        <w:t xml:space="preserve"> Integrative annotation of variants from 1092 humans: application to cancer genomics. </w:t>
      </w:r>
      <w:r w:rsidRPr="00616FD1">
        <w:rPr>
          <w:rFonts w:ascii="Times New Roman" w:hAnsi="Times New Roman" w:cs="Times New Roman"/>
          <w:i/>
          <w:iCs/>
          <w:noProof/>
          <w:sz w:val="24"/>
          <w:szCs w:val="24"/>
        </w:rPr>
        <w:t>Science</w:t>
      </w:r>
      <w:r w:rsidRPr="00616FD1">
        <w:rPr>
          <w:rFonts w:ascii="Times New Roman" w:hAnsi="Times New Roman" w:cs="Times New Roman"/>
          <w:noProof/>
          <w:sz w:val="24"/>
          <w:szCs w:val="24"/>
        </w:rPr>
        <w:t xml:space="preserve"> </w:t>
      </w:r>
      <w:r w:rsidRPr="00616FD1">
        <w:rPr>
          <w:rFonts w:ascii="Times New Roman" w:hAnsi="Times New Roman" w:cs="Times New Roman"/>
          <w:b/>
          <w:bCs/>
          <w:noProof/>
          <w:sz w:val="24"/>
          <w:szCs w:val="24"/>
        </w:rPr>
        <w:t>342,</w:t>
      </w:r>
      <w:r w:rsidRPr="00616FD1">
        <w:rPr>
          <w:rFonts w:ascii="Times New Roman" w:hAnsi="Times New Roman" w:cs="Times New Roman"/>
          <w:noProof/>
          <w:sz w:val="24"/>
          <w:szCs w:val="24"/>
        </w:rPr>
        <w:t xml:space="preserve"> 1235587 (2013).</w:t>
      </w:r>
    </w:p>
    <w:p w:rsidR="00616FD1" w:rsidRPr="00616FD1" w:rsidRDefault="00616FD1" w:rsidP="00616FD1">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616FD1">
        <w:rPr>
          <w:rFonts w:ascii="Times New Roman" w:hAnsi="Times New Roman" w:cs="Times New Roman"/>
          <w:noProof/>
          <w:sz w:val="24"/>
          <w:szCs w:val="24"/>
        </w:rPr>
        <w:t>20.</w:t>
      </w:r>
      <w:r w:rsidRPr="00616FD1">
        <w:rPr>
          <w:rFonts w:ascii="Times New Roman" w:hAnsi="Times New Roman" w:cs="Times New Roman"/>
          <w:noProof/>
          <w:sz w:val="24"/>
          <w:szCs w:val="24"/>
        </w:rPr>
        <w:tab/>
        <w:t xml:space="preserve">Schmid, A. B. </w:t>
      </w:r>
      <w:r w:rsidRPr="00616FD1">
        <w:rPr>
          <w:rFonts w:ascii="Times New Roman" w:hAnsi="Times New Roman" w:cs="Times New Roman"/>
          <w:i/>
          <w:iCs/>
          <w:noProof/>
          <w:sz w:val="24"/>
          <w:szCs w:val="24"/>
        </w:rPr>
        <w:t>et al.</w:t>
      </w:r>
      <w:r w:rsidRPr="00616FD1">
        <w:rPr>
          <w:rFonts w:ascii="Times New Roman" w:hAnsi="Times New Roman" w:cs="Times New Roman"/>
          <w:noProof/>
          <w:sz w:val="24"/>
          <w:szCs w:val="24"/>
        </w:rPr>
        <w:t xml:space="preserve"> The architecture of functional modules in the Hsp90 co-chaperone Sti1/Hop. </w:t>
      </w:r>
      <w:r w:rsidRPr="00616FD1">
        <w:rPr>
          <w:rFonts w:ascii="Times New Roman" w:hAnsi="Times New Roman" w:cs="Times New Roman"/>
          <w:i/>
          <w:iCs/>
          <w:noProof/>
          <w:sz w:val="24"/>
          <w:szCs w:val="24"/>
        </w:rPr>
        <w:t>EMBO J.</w:t>
      </w:r>
      <w:r w:rsidRPr="00616FD1">
        <w:rPr>
          <w:rFonts w:ascii="Times New Roman" w:hAnsi="Times New Roman" w:cs="Times New Roman"/>
          <w:noProof/>
          <w:sz w:val="24"/>
          <w:szCs w:val="24"/>
        </w:rPr>
        <w:t xml:space="preserve"> </w:t>
      </w:r>
      <w:r w:rsidRPr="00616FD1">
        <w:rPr>
          <w:rFonts w:ascii="Times New Roman" w:hAnsi="Times New Roman" w:cs="Times New Roman"/>
          <w:b/>
          <w:bCs/>
          <w:noProof/>
          <w:sz w:val="24"/>
          <w:szCs w:val="24"/>
        </w:rPr>
        <w:t>31,</w:t>
      </w:r>
      <w:r w:rsidRPr="00616FD1">
        <w:rPr>
          <w:rFonts w:ascii="Times New Roman" w:hAnsi="Times New Roman" w:cs="Times New Roman"/>
          <w:noProof/>
          <w:sz w:val="24"/>
          <w:szCs w:val="24"/>
        </w:rPr>
        <w:t xml:space="preserve"> 1506–17 (2012).</w:t>
      </w:r>
    </w:p>
    <w:p w:rsidR="00616FD1" w:rsidRPr="00616FD1" w:rsidRDefault="00616FD1" w:rsidP="00616FD1">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616FD1">
        <w:rPr>
          <w:rFonts w:ascii="Times New Roman" w:hAnsi="Times New Roman" w:cs="Times New Roman"/>
          <w:noProof/>
          <w:sz w:val="24"/>
          <w:szCs w:val="24"/>
        </w:rPr>
        <w:t>21.</w:t>
      </w:r>
      <w:r w:rsidRPr="00616FD1">
        <w:rPr>
          <w:rFonts w:ascii="Times New Roman" w:hAnsi="Times New Roman" w:cs="Times New Roman"/>
          <w:noProof/>
          <w:sz w:val="24"/>
          <w:szCs w:val="24"/>
        </w:rPr>
        <w:tab/>
        <w:t xml:space="preserve">Landrum, M. J. </w:t>
      </w:r>
      <w:r w:rsidRPr="00616FD1">
        <w:rPr>
          <w:rFonts w:ascii="Times New Roman" w:hAnsi="Times New Roman" w:cs="Times New Roman"/>
          <w:i/>
          <w:iCs/>
          <w:noProof/>
          <w:sz w:val="24"/>
          <w:szCs w:val="24"/>
        </w:rPr>
        <w:t>et al.</w:t>
      </w:r>
      <w:r w:rsidRPr="00616FD1">
        <w:rPr>
          <w:rFonts w:ascii="Times New Roman" w:hAnsi="Times New Roman" w:cs="Times New Roman"/>
          <w:noProof/>
          <w:sz w:val="24"/>
          <w:szCs w:val="24"/>
        </w:rPr>
        <w:t xml:space="preserve"> ClinVar: public archive of relationships among sequence variation and human phenotype. </w:t>
      </w:r>
      <w:r w:rsidRPr="00616FD1">
        <w:rPr>
          <w:rFonts w:ascii="Times New Roman" w:hAnsi="Times New Roman" w:cs="Times New Roman"/>
          <w:i/>
          <w:iCs/>
          <w:noProof/>
          <w:sz w:val="24"/>
          <w:szCs w:val="24"/>
        </w:rPr>
        <w:t>Nucleic Acids Res.</w:t>
      </w:r>
      <w:r w:rsidRPr="00616FD1">
        <w:rPr>
          <w:rFonts w:ascii="Times New Roman" w:hAnsi="Times New Roman" w:cs="Times New Roman"/>
          <w:noProof/>
          <w:sz w:val="24"/>
          <w:szCs w:val="24"/>
        </w:rPr>
        <w:t xml:space="preserve"> </w:t>
      </w:r>
      <w:r w:rsidRPr="00616FD1">
        <w:rPr>
          <w:rFonts w:ascii="Times New Roman" w:hAnsi="Times New Roman" w:cs="Times New Roman"/>
          <w:b/>
          <w:bCs/>
          <w:noProof/>
          <w:sz w:val="24"/>
          <w:szCs w:val="24"/>
        </w:rPr>
        <w:t>42,</w:t>
      </w:r>
      <w:r w:rsidRPr="00616FD1">
        <w:rPr>
          <w:rFonts w:ascii="Times New Roman" w:hAnsi="Times New Roman" w:cs="Times New Roman"/>
          <w:noProof/>
          <w:sz w:val="24"/>
          <w:szCs w:val="24"/>
        </w:rPr>
        <w:t xml:space="preserve"> D980–5 (2014).</w:t>
      </w:r>
    </w:p>
    <w:p w:rsidR="00616FD1" w:rsidRPr="00616FD1" w:rsidRDefault="00616FD1" w:rsidP="00616FD1">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616FD1">
        <w:rPr>
          <w:rFonts w:ascii="Times New Roman" w:hAnsi="Times New Roman" w:cs="Times New Roman"/>
          <w:noProof/>
          <w:sz w:val="24"/>
          <w:szCs w:val="24"/>
        </w:rPr>
        <w:t>22.</w:t>
      </w:r>
      <w:r w:rsidRPr="00616FD1">
        <w:rPr>
          <w:rFonts w:ascii="Times New Roman" w:hAnsi="Times New Roman" w:cs="Times New Roman"/>
          <w:noProof/>
          <w:sz w:val="24"/>
          <w:szCs w:val="24"/>
        </w:rPr>
        <w:tab/>
        <w:t xml:space="preserve">Stenson, P. D. </w:t>
      </w:r>
      <w:r w:rsidRPr="00616FD1">
        <w:rPr>
          <w:rFonts w:ascii="Times New Roman" w:hAnsi="Times New Roman" w:cs="Times New Roman"/>
          <w:i/>
          <w:iCs/>
          <w:noProof/>
          <w:sz w:val="24"/>
          <w:szCs w:val="24"/>
        </w:rPr>
        <w:t>et al.</w:t>
      </w:r>
      <w:r w:rsidRPr="00616FD1">
        <w:rPr>
          <w:rFonts w:ascii="Times New Roman" w:hAnsi="Times New Roman" w:cs="Times New Roman"/>
          <w:noProof/>
          <w:sz w:val="24"/>
          <w:szCs w:val="24"/>
        </w:rPr>
        <w:t xml:space="preserve"> The Human Gene Mutation Database: building a comprehensive mutation repository for clinical and molecular genetics, diagnostic testing and personalized genomic medicine. </w:t>
      </w:r>
      <w:r w:rsidRPr="00616FD1">
        <w:rPr>
          <w:rFonts w:ascii="Times New Roman" w:hAnsi="Times New Roman" w:cs="Times New Roman"/>
          <w:i/>
          <w:iCs/>
          <w:noProof/>
          <w:sz w:val="24"/>
          <w:szCs w:val="24"/>
        </w:rPr>
        <w:t>Hum. Genet.</w:t>
      </w:r>
      <w:r w:rsidRPr="00616FD1">
        <w:rPr>
          <w:rFonts w:ascii="Times New Roman" w:hAnsi="Times New Roman" w:cs="Times New Roman"/>
          <w:noProof/>
          <w:sz w:val="24"/>
          <w:szCs w:val="24"/>
        </w:rPr>
        <w:t xml:space="preserve"> </w:t>
      </w:r>
      <w:r w:rsidRPr="00616FD1">
        <w:rPr>
          <w:rFonts w:ascii="Times New Roman" w:hAnsi="Times New Roman" w:cs="Times New Roman"/>
          <w:b/>
          <w:bCs/>
          <w:noProof/>
          <w:sz w:val="24"/>
          <w:szCs w:val="24"/>
        </w:rPr>
        <w:t>133,</w:t>
      </w:r>
      <w:r w:rsidRPr="00616FD1">
        <w:rPr>
          <w:rFonts w:ascii="Times New Roman" w:hAnsi="Times New Roman" w:cs="Times New Roman"/>
          <w:noProof/>
          <w:sz w:val="24"/>
          <w:szCs w:val="24"/>
        </w:rPr>
        <w:t xml:space="preserve"> 1–9 (2014).</w:t>
      </w:r>
    </w:p>
    <w:p w:rsidR="00616FD1" w:rsidRPr="00616FD1" w:rsidRDefault="00616FD1" w:rsidP="00616FD1">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616FD1">
        <w:rPr>
          <w:rFonts w:ascii="Times New Roman" w:hAnsi="Times New Roman" w:cs="Times New Roman"/>
          <w:noProof/>
          <w:sz w:val="24"/>
          <w:szCs w:val="24"/>
        </w:rPr>
        <w:t>23.</w:t>
      </w:r>
      <w:r w:rsidRPr="00616FD1">
        <w:rPr>
          <w:rFonts w:ascii="Times New Roman" w:hAnsi="Times New Roman" w:cs="Times New Roman"/>
          <w:noProof/>
          <w:sz w:val="24"/>
          <w:szCs w:val="24"/>
        </w:rPr>
        <w:tab/>
        <w:t xml:space="preserve">Noack, D. </w:t>
      </w:r>
      <w:r w:rsidRPr="00616FD1">
        <w:rPr>
          <w:rFonts w:ascii="Times New Roman" w:hAnsi="Times New Roman" w:cs="Times New Roman"/>
          <w:i/>
          <w:iCs/>
          <w:noProof/>
          <w:sz w:val="24"/>
          <w:szCs w:val="24"/>
        </w:rPr>
        <w:t>et al.</w:t>
      </w:r>
      <w:r w:rsidRPr="00616FD1">
        <w:rPr>
          <w:rFonts w:ascii="Times New Roman" w:hAnsi="Times New Roman" w:cs="Times New Roman"/>
          <w:noProof/>
          <w:sz w:val="24"/>
          <w:szCs w:val="24"/>
        </w:rPr>
        <w:t xml:space="preserve"> Autosomal recessive chronic granulomatous disease caused by novel mutations in NCF-2, the gene encoding the p67-phox component of phagocyte NADPH oxidase. </w:t>
      </w:r>
      <w:r w:rsidRPr="00616FD1">
        <w:rPr>
          <w:rFonts w:ascii="Times New Roman" w:hAnsi="Times New Roman" w:cs="Times New Roman"/>
          <w:i/>
          <w:iCs/>
          <w:noProof/>
          <w:sz w:val="24"/>
          <w:szCs w:val="24"/>
        </w:rPr>
        <w:t>Hum. Genet.</w:t>
      </w:r>
      <w:r w:rsidRPr="00616FD1">
        <w:rPr>
          <w:rFonts w:ascii="Times New Roman" w:hAnsi="Times New Roman" w:cs="Times New Roman"/>
          <w:noProof/>
          <w:sz w:val="24"/>
          <w:szCs w:val="24"/>
        </w:rPr>
        <w:t xml:space="preserve"> </w:t>
      </w:r>
      <w:r w:rsidRPr="00616FD1">
        <w:rPr>
          <w:rFonts w:ascii="Times New Roman" w:hAnsi="Times New Roman" w:cs="Times New Roman"/>
          <w:b/>
          <w:bCs/>
          <w:noProof/>
          <w:sz w:val="24"/>
          <w:szCs w:val="24"/>
        </w:rPr>
        <w:t>105,</w:t>
      </w:r>
      <w:r w:rsidRPr="00616FD1">
        <w:rPr>
          <w:rFonts w:ascii="Times New Roman" w:hAnsi="Times New Roman" w:cs="Times New Roman"/>
          <w:noProof/>
          <w:sz w:val="24"/>
          <w:szCs w:val="24"/>
        </w:rPr>
        <w:t xml:space="preserve"> 460–7 (1999).</w:t>
      </w:r>
    </w:p>
    <w:p w:rsidR="00616FD1" w:rsidRPr="00616FD1" w:rsidRDefault="00616FD1" w:rsidP="00616FD1">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616FD1">
        <w:rPr>
          <w:rFonts w:ascii="Times New Roman" w:hAnsi="Times New Roman" w:cs="Times New Roman"/>
          <w:noProof/>
          <w:sz w:val="24"/>
          <w:szCs w:val="24"/>
        </w:rPr>
        <w:t>24.</w:t>
      </w:r>
      <w:r w:rsidRPr="00616FD1">
        <w:rPr>
          <w:rFonts w:ascii="Times New Roman" w:hAnsi="Times New Roman" w:cs="Times New Roman"/>
          <w:noProof/>
          <w:sz w:val="24"/>
          <w:szCs w:val="24"/>
        </w:rPr>
        <w:tab/>
        <w:t xml:space="preserve">Ramamurthy, V. </w:t>
      </w:r>
      <w:r w:rsidRPr="00616FD1">
        <w:rPr>
          <w:rFonts w:ascii="Times New Roman" w:hAnsi="Times New Roman" w:cs="Times New Roman"/>
          <w:i/>
          <w:iCs/>
          <w:noProof/>
          <w:sz w:val="24"/>
          <w:szCs w:val="24"/>
        </w:rPr>
        <w:t>et al.</w:t>
      </w:r>
      <w:r w:rsidRPr="00616FD1">
        <w:rPr>
          <w:rFonts w:ascii="Times New Roman" w:hAnsi="Times New Roman" w:cs="Times New Roman"/>
          <w:noProof/>
          <w:sz w:val="24"/>
          <w:szCs w:val="24"/>
        </w:rPr>
        <w:t xml:space="preserve"> AIPL1, a protein implicated in Leber’s congenital amaurosis, interacts with and aids in processing of farnesylated proteins. </w:t>
      </w:r>
      <w:r w:rsidRPr="00616FD1">
        <w:rPr>
          <w:rFonts w:ascii="Times New Roman" w:hAnsi="Times New Roman" w:cs="Times New Roman"/>
          <w:i/>
          <w:iCs/>
          <w:noProof/>
          <w:sz w:val="24"/>
          <w:szCs w:val="24"/>
        </w:rPr>
        <w:t>Proc. Natl. Acad. Sci. U. S. A.</w:t>
      </w:r>
      <w:r w:rsidRPr="00616FD1">
        <w:rPr>
          <w:rFonts w:ascii="Times New Roman" w:hAnsi="Times New Roman" w:cs="Times New Roman"/>
          <w:noProof/>
          <w:sz w:val="24"/>
          <w:szCs w:val="24"/>
        </w:rPr>
        <w:t xml:space="preserve"> </w:t>
      </w:r>
      <w:r w:rsidRPr="00616FD1">
        <w:rPr>
          <w:rFonts w:ascii="Times New Roman" w:hAnsi="Times New Roman" w:cs="Times New Roman"/>
          <w:b/>
          <w:bCs/>
          <w:noProof/>
          <w:sz w:val="24"/>
          <w:szCs w:val="24"/>
        </w:rPr>
        <w:t>100,</w:t>
      </w:r>
      <w:r w:rsidRPr="00616FD1">
        <w:rPr>
          <w:rFonts w:ascii="Times New Roman" w:hAnsi="Times New Roman" w:cs="Times New Roman"/>
          <w:noProof/>
          <w:sz w:val="24"/>
          <w:szCs w:val="24"/>
        </w:rPr>
        <w:t xml:space="preserve"> 12630–5 (2003).</w:t>
      </w:r>
    </w:p>
    <w:p w:rsidR="00616FD1" w:rsidRPr="00616FD1" w:rsidRDefault="00616FD1" w:rsidP="00616FD1">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616FD1">
        <w:rPr>
          <w:rFonts w:ascii="Times New Roman" w:hAnsi="Times New Roman" w:cs="Times New Roman"/>
          <w:noProof/>
          <w:sz w:val="24"/>
          <w:szCs w:val="24"/>
        </w:rPr>
        <w:t>25.</w:t>
      </w:r>
      <w:r w:rsidRPr="00616FD1">
        <w:rPr>
          <w:rFonts w:ascii="Times New Roman" w:hAnsi="Times New Roman" w:cs="Times New Roman"/>
          <w:noProof/>
          <w:sz w:val="24"/>
          <w:szCs w:val="24"/>
        </w:rPr>
        <w:tab/>
        <w:t xml:space="preserve">Valdar, W. S. &amp; Thornton, J. M. Conservation helps to identify biologically relevant crystal contacts. </w:t>
      </w:r>
      <w:r w:rsidRPr="00616FD1">
        <w:rPr>
          <w:rFonts w:ascii="Times New Roman" w:hAnsi="Times New Roman" w:cs="Times New Roman"/>
          <w:i/>
          <w:iCs/>
          <w:noProof/>
          <w:sz w:val="24"/>
          <w:szCs w:val="24"/>
        </w:rPr>
        <w:t>J. Mol. Biol.</w:t>
      </w:r>
      <w:r w:rsidRPr="00616FD1">
        <w:rPr>
          <w:rFonts w:ascii="Times New Roman" w:hAnsi="Times New Roman" w:cs="Times New Roman"/>
          <w:noProof/>
          <w:sz w:val="24"/>
          <w:szCs w:val="24"/>
        </w:rPr>
        <w:t xml:space="preserve"> </w:t>
      </w:r>
      <w:r w:rsidRPr="00616FD1">
        <w:rPr>
          <w:rFonts w:ascii="Times New Roman" w:hAnsi="Times New Roman" w:cs="Times New Roman"/>
          <w:b/>
          <w:bCs/>
          <w:noProof/>
          <w:sz w:val="24"/>
          <w:szCs w:val="24"/>
        </w:rPr>
        <w:t>313,</w:t>
      </w:r>
      <w:r w:rsidRPr="00616FD1">
        <w:rPr>
          <w:rFonts w:ascii="Times New Roman" w:hAnsi="Times New Roman" w:cs="Times New Roman"/>
          <w:noProof/>
          <w:sz w:val="24"/>
          <w:szCs w:val="24"/>
        </w:rPr>
        <w:t xml:space="preserve"> 399–416 (2001).</w:t>
      </w:r>
    </w:p>
    <w:p w:rsidR="00616FD1" w:rsidRPr="00616FD1" w:rsidRDefault="00616FD1" w:rsidP="00616FD1">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616FD1">
        <w:rPr>
          <w:rFonts w:ascii="Times New Roman" w:hAnsi="Times New Roman" w:cs="Times New Roman"/>
          <w:noProof/>
          <w:sz w:val="24"/>
          <w:szCs w:val="24"/>
        </w:rPr>
        <w:t>26.</w:t>
      </w:r>
      <w:r w:rsidRPr="00616FD1">
        <w:rPr>
          <w:rFonts w:ascii="Times New Roman" w:hAnsi="Times New Roman" w:cs="Times New Roman"/>
          <w:noProof/>
          <w:sz w:val="24"/>
          <w:szCs w:val="24"/>
        </w:rPr>
        <w:tab/>
        <w:t xml:space="preserve">Zhang, Q. C. </w:t>
      </w:r>
      <w:r w:rsidRPr="00616FD1">
        <w:rPr>
          <w:rFonts w:ascii="Times New Roman" w:hAnsi="Times New Roman" w:cs="Times New Roman"/>
          <w:i/>
          <w:iCs/>
          <w:noProof/>
          <w:sz w:val="24"/>
          <w:szCs w:val="24"/>
        </w:rPr>
        <w:t>et al.</w:t>
      </w:r>
      <w:r w:rsidRPr="00616FD1">
        <w:rPr>
          <w:rFonts w:ascii="Times New Roman" w:hAnsi="Times New Roman" w:cs="Times New Roman"/>
          <w:noProof/>
          <w:sz w:val="24"/>
          <w:szCs w:val="24"/>
        </w:rPr>
        <w:t xml:space="preserve"> Structure-based prediction of protein-protein interactions on a genome-wide scale. </w:t>
      </w:r>
      <w:r w:rsidRPr="00616FD1">
        <w:rPr>
          <w:rFonts w:ascii="Times New Roman" w:hAnsi="Times New Roman" w:cs="Times New Roman"/>
          <w:i/>
          <w:iCs/>
          <w:noProof/>
          <w:sz w:val="24"/>
          <w:szCs w:val="24"/>
        </w:rPr>
        <w:t>Nature</w:t>
      </w:r>
      <w:r w:rsidRPr="00616FD1">
        <w:rPr>
          <w:rFonts w:ascii="Times New Roman" w:hAnsi="Times New Roman" w:cs="Times New Roman"/>
          <w:noProof/>
          <w:sz w:val="24"/>
          <w:szCs w:val="24"/>
        </w:rPr>
        <w:t xml:space="preserve"> </w:t>
      </w:r>
      <w:r w:rsidRPr="00616FD1">
        <w:rPr>
          <w:rFonts w:ascii="Times New Roman" w:hAnsi="Times New Roman" w:cs="Times New Roman"/>
          <w:b/>
          <w:bCs/>
          <w:noProof/>
          <w:sz w:val="24"/>
          <w:szCs w:val="24"/>
        </w:rPr>
        <w:t>490,</w:t>
      </w:r>
      <w:r w:rsidRPr="00616FD1">
        <w:rPr>
          <w:rFonts w:ascii="Times New Roman" w:hAnsi="Times New Roman" w:cs="Times New Roman"/>
          <w:noProof/>
          <w:sz w:val="24"/>
          <w:szCs w:val="24"/>
        </w:rPr>
        <w:t xml:space="preserve"> 556–60 (2012).</w:t>
      </w:r>
    </w:p>
    <w:p w:rsidR="00616FD1" w:rsidRPr="00616FD1" w:rsidRDefault="00616FD1" w:rsidP="00616FD1">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616FD1">
        <w:rPr>
          <w:rFonts w:ascii="Times New Roman" w:hAnsi="Times New Roman" w:cs="Times New Roman"/>
          <w:noProof/>
          <w:sz w:val="24"/>
          <w:szCs w:val="24"/>
        </w:rPr>
        <w:t>27.</w:t>
      </w:r>
      <w:r w:rsidRPr="00616FD1">
        <w:rPr>
          <w:rFonts w:ascii="Times New Roman" w:hAnsi="Times New Roman" w:cs="Times New Roman"/>
          <w:noProof/>
          <w:sz w:val="24"/>
          <w:szCs w:val="24"/>
        </w:rPr>
        <w:tab/>
        <w:t xml:space="preserve">Chen, J., Sawyer, N. &amp; Regan, L. Protein-protein interactions: general trends in the relationship between binding affinity and interfacial buried surface area. </w:t>
      </w:r>
      <w:r w:rsidRPr="00616FD1">
        <w:rPr>
          <w:rFonts w:ascii="Times New Roman" w:hAnsi="Times New Roman" w:cs="Times New Roman"/>
          <w:i/>
          <w:iCs/>
          <w:noProof/>
          <w:sz w:val="24"/>
          <w:szCs w:val="24"/>
        </w:rPr>
        <w:t>Protein Sci.</w:t>
      </w:r>
      <w:r w:rsidRPr="00616FD1">
        <w:rPr>
          <w:rFonts w:ascii="Times New Roman" w:hAnsi="Times New Roman" w:cs="Times New Roman"/>
          <w:noProof/>
          <w:sz w:val="24"/>
          <w:szCs w:val="24"/>
        </w:rPr>
        <w:t xml:space="preserve"> </w:t>
      </w:r>
      <w:r w:rsidRPr="00616FD1">
        <w:rPr>
          <w:rFonts w:ascii="Times New Roman" w:hAnsi="Times New Roman" w:cs="Times New Roman"/>
          <w:b/>
          <w:bCs/>
          <w:noProof/>
          <w:sz w:val="24"/>
          <w:szCs w:val="24"/>
        </w:rPr>
        <w:t>22,</w:t>
      </w:r>
      <w:r w:rsidRPr="00616FD1">
        <w:rPr>
          <w:rFonts w:ascii="Times New Roman" w:hAnsi="Times New Roman" w:cs="Times New Roman"/>
          <w:noProof/>
          <w:sz w:val="24"/>
          <w:szCs w:val="24"/>
        </w:rPr>
        <w:t xml:space="preserve"> 510–5 (2013).</w:t>
      </w:r>
    </w:p>
    <w:p w:rsidR="00616FD1" w:rsidRPr="00616FD1" w:rsidRDefault="00616FD1" w:rsidP="00616FD1">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616FD1">
        <w:rPr>
          <w:rFonts w:ascii="Times New Roman" w:hAnsi="Times New Roman" w:cs="Times New Roman"/>
          <w:noProof/>
          <w:sz w:val="24"/>
          <w:szCs w:val="24"/>
        </w:rPr>
        <w:t>28.</w:t>
      </w:r>
      <w:r w:rsidRPr="00616FD1">
        <w:rPr>
          <w:rFonts w:ascii="Times New Roman" w:hAnsi="Times New Roman" w:cs="Times New Roman"/>
          <w:noProof/>
          <w:sz w:val="24"/>
          <w:szCs w:val="24"/>
        </w:rPr>
        <w:tab/>
        <w:t xml:space="preserve">Valdar, W. S. &amp; Thornton, J. M. Protein-protein interfaces: analysis of amino acid conservation in homodimers. </w:t>
      </w:r>
      <w:r w:rsidRPr="00616FD1">
        <w:rPr>
          <w:rFonts w:ascii="Times New Roman" w:hAnsi="Times New Roman" w:cs="Times New Roman"/>
          <w:i/>
          <w:iCs/>
          <w:noProof/>
          <w:sz w:val="24"/>
          <w:szCs w:val="24"/>
        </w:rPr>
        <w:t>Proteins</w:t>
      </w:r>
      <w:r w:rsidRPr="00616FD1">
        <w:rPr>
          <w:rFonts w:ascii="Times New Roman" w:hAnsi="Times New Roman" w:cs="Times New Roman"/>
          <w:noProof/>
          <w:sz w:val="24"/>
          <w:szCs w:val="24"/>
        </w:rPr>
        <w:t xml:space="preserve"> </w:t>
      </w:r>
      <w:r w:rsidRPr="00616FD1">
        <w:rPr>
          <w:rFonts w:ascii="Times New Roman" w:hAnsi="Times New Roman" w:cs="Times New Roman"/>
          <w:b/>
          <w:bCs/>
          <w:noProof/>
          <w:sz w:val="24"/>
          <w:szCs w:val="24"/>
        </w:rPr>
        <w:t>42,</w:t>
      </w:r>
      <w:r w:rsidRPr="00616FD1">
        <w:rPr>
          <w:rFonts w:ascii="Times New Roman" w:hAnsi="Times New Roman" w:cs="Times New Roman"/>
          <w:noProof/>
          <w:sz w:val="24"/>
          <w:szCs w:val="24"/>
        </w:rPr>
        <w:t xml:space="preserve"> 108–24 (2001).</w:t>
      </w:r>
    </w:p>
    <w:p w:rsidR="00616FD1" w:rsidRPr="00616FD1" w:rsidRDefault="00616FD1" w:rsidP="00616FD1">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616FD1">
        <w:rPr>
          <w:rFonts w:ascii="Times New Roman" w:hAnsi="Times New Roman" w:cs="Times New Roman"/>
          <w:noProof/>
          <w:sz w:val="24"/>
          <w:szCs w:val="24"/>
        </w:rPr>
        <w:lastRenderedPageBreak/>
        <w:t>29.</w:t>
      </w:r>
      <w:r w:rsidRPr="00616FD1">
        <w:rPr>
          <w:rFonts w:ascii="Times New Roman" w:hAnsi="Times New Roman" w:cs="Times New Roman"/>
          <w:noProof/>
          <w:sz w:val="24"/>
          <w:szCs w:val="24"/>
        </w:rPr>
        <w:tab/>
        <w:t xml:space="preserve">Tuncbag, N., Kar, G., Keskin, O., Gursoy, A. &amp; Nussinov, R. A survey of available tools and web servers for analysis of protein-protein interactions and interfaces. </w:t>
      </w:r>
      <w:r w:rsidRPr="00616FD1">
        <w:rPr>
          <w:rFonts w:ascii="Times New Roman" w:hAnsi="Times New Roman" w:cs="Times New Roman"/>
          <w:i/>
          <w:iCs/>
          <w:noProof/>
          <w:sz w:val="24"/>
          <w:szCs w:val="24"/>
        </w:rPr>
        <w:t>Brief. Bioinform.</w:t>
      </w:r>
      <w:r w:rsidRPr="00616FD1">
        <w:rPr>
          <w:rFonts w:ascii="Times New Roman" w:hAnsi="Times New Roman" w:cs="Times New Roman"/>
          <w:noProof/>
          <w:sz w:val="24"/>
          <w:szCs w:val="24"/>
        </w:rPr>
        <w:t xml:space="preserve"> </w:t>
      </w:r>
      <w:r w:rsidRPr="00616FD1">
        <w:rPr>
          <w:rFonts w:ascii="Times New Roman" w:hAnsi="Times New Roman" w:cs="Times New Roman"/>
          <w:b/>
          <w:bCs/>
          <w:noProof/>
          <w:sz w:val="24"/>
          <w:szCs w:val="24"/>
        </w:rPr>
        <w:t>10,</w:t>
      </w:r>
      <w:r w:rsidRPr="00616FD1">
        <w:rPr>
          <w:rFonts w:ascii="Times New Roman" w:hAnsi="Times New Roman" w:cs="Times New Roman"/>
          <w:noProof/>
          <w:sz w:val="24"/>
          <w:szCs w:val="24"/>
        </w:rPr>
        <w:t xml:space="preserve"> 217–32 (2009).</w:t>
      </w:r>
    </w:p>
    <w:p w:rsidR="00616FD1" w:rsidRPr="00616FD1" w:rsidRDefault="00616FD1" w:rsidP="00616FD1">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616FD1">
        <w:rPr>
          <w:rFonts w:ascii="Times New Roman" w:hAnsi="Times New Roman" w:cs="Times New Roman"/>
          <w:noProof/>
          <w:sz w:val="24"/>
          <w:szCs w:val="24"/>
        </w:rPr>
        <w:t>30.</w:t>
      </w:r>
      <w:r w:rsidRPr="00616FD1">
        <w:rPr>
          <w:rFonts w:ascii="Times New Roman" w:hAnsi="Times New Roman" w:cs="Times New Roman"/>
          <w:noProof/>
          <w:sz w:val="24"/>
          <w:szCs w:val="24"/>
        </w:rPr>
        <w:tab/>
        <w:t xml:space="preserve">Moreira, I. S., Fernandes, P. A. &amp; Ramos, M. J. Hot spots--a review of the protein-protein interface determinant amino-acid residues. </w:t>
      </w:r>
      <w:r w:rsidRPr="00616FD1">
        <w:rPr>
          <w:rFonts w:ascii="Times New Roman" w:hAnsi="Times New Roman" w:cs="Times New Roman"/>
          <w:i/>
          <w:iCs/>
          <w:noProof/>
          <w:sz w:val="24"/>
          <w:szCs w:val="24"/>
        </w:rPr>
        <w:t>Proteins</w:t>
      </w:r>
      <w:r w:rsidRPr="00616FD1">
        <w:rPr>
          <w:rFonts w:ascii="Times New Roman" w:hAnsi="Times New Roman" w:cs="Times New Roman"/>
          <w:noProof/>
          <w:sz w:val="24"/>
          <w:szCs w:val="24"/>
        </w:rPr>
        <w:t xml:space="preserve"> </w:t>
      </w:r>
      <w:r w:rsidRPr="00616FD1">
        <w:rPr>
          <w:rFonts w:ascii="Times New Roman" w:hAnsi="Times New Roman" w:cs="Times New Roman"/>
          <w:b/>
          <w:bCs/>
          <w:noProof/>
          <w:sz w:val="24"/>
          <w:szCs w:val="24"/>
        </w:rPr>
        <w:t>68,</w:t>
      </w:r>
      <w:r w:rsidRPr="00616FD1">
        <w:rPr>
          <w:rFonts w:ascii="Times New Roman" w:hAnsi="Times New Roman" w:cs="Times New Roman"/>
          <w:noProof/>
          <w:sz w:val="24"/>
          <w:szCs w:val="24"/>
        </w:rPr>
        <w:t xml:space="preserve"> 803–12 (2007).</w:t>
      </w:r>
    </w:p>
    <w:p w:rsidR="00616FD1" w:rsidRPr="00616FD1" w:rsidRDefault="00616FD1" w:rsidP="00616FD1">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616FD1">
        <w:rPr>
          <w:rFonts w:ascii="Times New Roman" w:hAnsi="Times New Roman" w:cs="Times New Roman"/>
          <w:noProof/>
          <w:sz w:val="24"/>
          <w:szCs w:val="24"/>
        </w:rPr>
        <w:t>31.</w:t>
      </w:r>
      <w:r w:rsidRPr="00616FD1">
        <w:rPr>
          <w:rFonts w:ascii="Times New Roman" w:hAnsi="Times New Roman" w:cs="Times New Roman"/>
          <w:noProof/>
          <w:sz w:val="24"/>
          <w:szCs w:val="24"/>
        </w:rPr>
        <w:tab/>
        <w:t xml:space="preserve">Ovchinnikov, S., Kamisetty, H. &amp; Baker, D. Robust and accurate prediction of residue-residue interactions across protein interfaces using evolutionary information. </w:t>
      </w:r>
      <w:r w:rsidRPr="00616FD1">
        <w:rPr>
          <w:rFonts w:ascii="Times New Roman" w:hAnsi="Times New Roman" w:cs="Times New Roman"/>
          <w:i/>
          <w:iCs/>
          <w:noProof/>
          <w:sz w:val="24"/>
          <w:szCs w:val="24"/>
        </w:rPr>
        <w:t>Elife</w:t>
      </w:r>
      <w:r w:rsidRPr="00616FD1">
        <w:rPr>
          <w:rFonts w:ascii="Times New Roman" w:hAnsi="Times New Roman" w:cs="Times New Roman"/>
          <w:noProof/>
          <w:sz w:val="24"/>
          <w:szCs w:val="24"/>
        </w:rPr>
        <w:t xml:space="preserve"> </w:t>
      </w:r>
      <w:r w:rsidRPr="00616FD1">
        <w:rPr>
          <w:rFonts w:ascii="Times New Roman" w:hAnsi="Times New Roman" w:cs="Times New Roman"/>
          <w:b/>
          <w:bCs/>
          <w:noProof/>
          <w:sz w:val="24"/>
          <w:szCs w:val="24"/>
        </w:rPr>
        <w:t>3,</w:t>
      </w:r>
      <w:r w:rsidRPr="00616FD1">
        <w:rPr>
          <w:rFonts w:ascii="Times New Roman" w:hAnsi="Times New Roman" w:cs="Times New Roman"/>
          <w:noProof/>
          <w:sz w:val="24"/>
          <w:szCs w:val="24"/>
        </w:rPr>
        <w:t xml:space="preserve"> e02030 (2014).</w:t>
      </w:r>
    </w:p>
    <w:p w:rsidR="00616FD1" w:rsidRPr="00616FD1" w:rsidRDefault="00616FD1" w:rsidP="00616FD1">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616FD1">
        <w:rPr>
          <w:rFonts w:ascii="Times New Roman" w:hAnsi="Times New Roman" w:cs="Times New Roman"/>
          <w:noProof/>
          <w:sz w:val="24"/>
          <w:szCs w:val="24"/>
        </w:rPr>
        <w:t>32.</w:t>
      </w:r>
      <w:r w:rsidRPr="00616FD1">
        <w:rPr>
          <w:rFonts w:ascii="Times New Roman" w:hAnsi="Times New Roman" w:cs="Times New Roman"/>
          <w:noProof/>
          <w:sz w:val="24"/>
          <w:szCs w:val="24"/>
        </w:rPr>
        <w:tab/>
        <w:t xml:space="preserve">Sethi, A. </w:t>
      </w:r>
      <w:r w:rsidRPr="00616FD1">
        <w:rPr>
          <w:rFonts w:ascii="Times New Roman" w:hAnsi="Times New Roman" w:cs="Times New Roman"/>
          <w:i/>
          <w:iCs/>
          <w:noProof/>
          <w:sz w:val="24"/>
          <w:szCs w:val="24"/>
        </w:rPr>
        <w:t>et al.</w:t>
      </w:r>
      <w:r w:rsidRPr="00616FD1">
        <w:rPr>
          <w:rFonts w:ascii="Times New Roman" w:hAnsi="Times New Roman" w:cs="Times New Roman"/>
          <w:noProof/>
          <w:sz w:val="24"/>
          <w:szCs w:val="24"/>
        </w:rPr>
        <w:t xml:space="preserve"> Reads meet rotamers: structural biology in the age of deep sequencing. </w:t>
      </w:r>
      <w:r w:rsidRPr="00616FD1">
        <w:rPr>
          <w:rFonts w:ascii="Times New Roman" w:hAnsi="Times New Roman" w:cs="Times New Roman"/>
          <w:i/>
          <w:iCs/>
          <w:noProof/>
          <w:sz w:val="24"/>
          <w:szCs w:val="24"/>
        </w:rPr>
        <w:t>Curr. Opin. Struct. Biol.</w:t>
      </w:r>
      <w:r w:rsidRPr="00616FD1">
        <w:rPr>
          <w:rFonts w:ascii="Times New Roman" w:hAnsi="Times New Roman" w:cs="Times New Roman"/>
          <w:noProof/>
          <w:sz w:val="24"/>
          <w:szCs w:val="24"/>
        </w:rPr>
        <w:t xml:space="preserve"> </w:t>
      </w:r>
      <w:r w:rsidRPr="00616FD1">
        <w:rPr>
          <w:rFonts w:ascii="Times New Roman" w:hAnsi="Times New Roman" w:cs="Times New Roman"/>
          <w:b/>
          <w:bCs/>
          <w:noProof/>
          <w:sz w:val="24"/>
          <w:szCs w:val="24"/>
        </w:rPr>
        <w:t>35,</w:t>
      </w:r>
      <w:r w:rsidRPr="00616FD1">
        <w:rPr>
          <w:rFonts w:ascii="Times New Roman" w:hAnsi="Times New Roman" w:cs="Times New Roman"/>
          <w:noProof/>
          <w:sz w:val="24"/>
          <w:szCs w:val="24"/>
        </w:rPr>
        <w:t xml:space="preserve"> 125–34 (2015).</w:t>
      </w:r>
    </w:p>
    <w:p w:rsidR="00616FD1" w:rsidRPr="00616FD1" w:rsidRDefault="00616FD1" w:rsidP="00616FD1">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616FD1">
        <w:rPr>
          <w:rFonts w:ascii="Times New Roman" w:hAnsi="Times New Roman" w:cs="Times New Roman"/>
          <w:noProof/>
          <w:sz w:val="24"/>
          <w:szCs w:val="24"/>
        </w:rPr>
        <w:t>33.</w:t>
      </w:r>
      <w:r w:rsidRPr="00616FD1">
        <w:rPr>
          <w:rFonts w:ascii="Times New Roman" w:hAnsi="Times New Roman" w:cs="Times New Roman"/>
          <w:noProof/>
          <w:sz w:val="24"/>
          <w:szCs w:val="24"/>
        </w:rPr>
        <w:tab/>
        <w:t xml:space="preserve">Bromberg, Y. &amp; Rost, B. SNAP: predict effect of non-synonymous polymorphisms on function. </w:t>
      </w:r>
      <w:r w:rsidRPr="00616FD1">
        <w:rPr>
          <w:rFonts w:ascii="Times New Roman" w:hAnsi="Times New Roman" w:cs="Times New Roman"/>
          <w:i/>
          <w:iCs/>
          <w:noProof/>
          <w:sz w:val="24"/>
          <w:szCs w:val="24"/>
        </w:rPr>
        <w:t>Nucleic Acids Res.</w:t>
      </w:r>
      <w:r w:rsidRPr="00616FD1">
        <w:rPr>
          <w:rFonts w:ascii="Times New Roman" w:hAnsi="Times New Roman" w:cs="Times New Roman"/>
          <w:noProof/>
          <w:sz w:val="24"/>
          <w:szCs w:val="24"/>
        </w:rPr>
        <w:t xml:space="preserve"> </w:t>
      </w:r>
      <w:r w:rsidRPr="00616FD1">
        <w:rPr>
          <w:rFonts w:ascii="Times New Roman" w:hAnsi="Times New Roman" w:cs="Times New Roman"/>
          <w:b/>
          <w:bCs/>
          <w:noProof/>
          <w:sz w:val="24"/>
          <w:szCs w:val="24"/>
        </w:rPr>
        <w:t>35,</w:t>
      </w:r>
      <w:r w:rsidRPr="00616FD1">
        <w:rPr>
          <w:rFonts w:ascii="Times New Roman" w:hAnsi="Times New Roman" w:cs="Times New Roman"/>
          <w:noProof/>
          <w:sz w:val="24"/>
          <w:szCs w:val="24"/>
        </w:rPr>
        <w:t xml:space="preserve"> 3823–35 (2007).</w:t>
      </w:r>
    </w:p>
    <w:p w:rsidR="00616FD1" w:rsidRPr="00616FD1" w:rsidRDefault="00616FD1" w:rsidP="00616FD1">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616FD1">
        <w:rPr>
          <w:rFonts w:ascii="Times New Roman" w:hAnsi="Times New Roman" w:cs="Times New Roman"/>
          <w:noProof/>
          <w:sz w:val="24"/>
          <w:szCs w:val="24"/>
        </w:rPr>
        <w:t>34.</w:t>
      </w:r>
      <w:r w:rsidRPr="00616FD1">
        <w:rPr>
          <w:rFonts w:ascii="Times New Roman" w:hAnsi="Times New Roman" w:cs="Times New Roman"/>
          <w:noProof/>
          <w:sz w:val="24"/>
          <w:szCs w:val="24"/>
        </w:rPr>
        <w:tab/>
        <w:t xml:space="preserve">Colonna, V. </w:t>
      </w:r>
      <w:r w:rsidRPr="00616FD1">
        <w:rPr>
          <w:rFonts w:ascii="Times New Roman" w:hAnsi="Times New Roman" w:cs="Times New Roman"/>
          <w:i/>
          <w:iCs/>
          <w:noProof/>
          <w:sz w:val="24"/>
          <w:szCs w:val="24"/>
        </w:rPr>
        <w:t>et al.</w:t>
      </w:r>
      <w:r w:rsidRPr="00616FD1">
        <w:rPr>
          <w:rFonts w:ascii="Times New Roman" w:hAnsi="Times New Roman" w:cs="Times New Roman"/>
          <w:noProof/>
          <w:sz w:val="24"/>
          <w:szCs w:val="24"/>
        </w:rPr>
        <w:t xml:space="preserve"> Human genomic regions with exceptionally high levels of population differentiation identified from 911 whole-genome sequences. </w:t>
      </w:r>
      <w:r w:rsidRPr="00616FD1">
        <w:rPr>
          <w:rFonts w:ascii="Times New Roman" w:hAnsi="Times New Roman" w:cs="Times New Roman"/>
          <w:i/>
          <w:iCs/>
          <w:noProof/>
          <w:sz w:val="24"/>
          <w:szCs w:val="24"/>
        </w:rPr>
        <w:t>Genome Biol.</w:t>
      </w:r>
      <w:r w:rsidRPr="00616FD1">
        <w:rPr>
          <w:rFonts w:ascii="Times New Roman" w:hAnsi="Times New Roman" w:cs="Times New Roman"/>
          <w:noProof/>
          <w:sz w:val="24"/>
          <w:szCs w:val="24"/>
        </w:rPr>
        <w:t xml:space="preserve"> </w:t>
      </w:r>
      <w:r w:rsidRPr="00616FD1">
        <w:rPr>
          <w:rFonts w:ascii="Times New Roman" w:hAnsi="Times New Roman" w:cs="Times New Roman"/>
          <w:b/>
          <w:bCs/>
          <w:noProof/>
          <w:sz w:val="24"/>
          <w:szCs w:val="24"/>
        </w:rPr>
        <w:t>15,</w:t>
      </w:r>
      <w:r w:rsidRPr="00616FD1">
        <w:rPr>
          <w:rFonts w:ascii="Times New Roman" w:hAnsi="Times New Roman" w:cs="Times New Roman"/>
          <w:noProof/>
          <w:sz w:val="24"/>
          <w:szCs w:val="24"/>
        </w:rPr>
        <w:t xml:space="preserve"> R88 (2014).</w:t>
      </w:r>
    </w:p>
    <w:p w:rsidR="00616FD1" w:rsidRPr="00616FD1" w:rsidRDefault="00616FD1" w:rsidP="00616FD1">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616FD1">
        <w:rPr>
          <w:rFonts w:ascii="Times New Roman" w:hAnsi="Times New Roman" w:cs="Times New Roman"/>
          <w:noProof/>
          <w:sz w:val="24"/>
          <w:szCs w:val="24"/>
        </w:rPr>
        <w:t>35.</w:t>
      </w:r>
      <w:r w:rsidRPr="00616FD1">
        <w:rPr>
          <w:rFonts w:ascii="Times New Roman" w:hAnsi="Times New Roman" w:cs="Times New Roman"/>
          <w:noProof/>
          <w:sz w:val="24"/>
          <w:szCs w:val="24"/>
        </w:rPr>
        <w:tab/>
        <w:t xml:space="preserve">Holsinger, K. E. &amp; Weir, B. S. Genetics in geographically structured populations: defining, estimating and interpreting F(ST). </w:t>
      </w:r>
      <w:r w:rsidRPr="00616FD1">
        <w:rPr>
          <w:rFonts w:ascii="Times New Roman" w:hAnsi="Times New Roman" w:cs="Times New Roman"/>
          <w:i/>
          <w:iCs/>
          <w:noProof/>
          <w:sz w:val="24"/>
          <w:szCs w:val="24"/>
        </w:rPr>
        <w:t>Nat. Rev. Genet.</w:t>
      </w:r>
      <w:r w:rsidRPr="00616FD1">
        <w:rPr>
          <w:rFonts w:ascii="Times New Roman" w:hAnsi="Times New Roman" w:cs="Times New Roman"/>
          <w:noProof/>
          <w:sz w:val="24"/>
          <w:szCs w:val="24"/>
        </w:rPr>
        <w:t xml:space="preserve"> </w:t>
      </w:r>
      <w:r w:rsidRPr="00616FD1">
        <w:rPr>
          <w:rFonts w:ascii="Times New Roman" w:hAnsi="Times New Roman" w:cs="Times New Roman"/>
          <w:b/>
          <w:bCs/>
          <w:noProof/>
          <w:sz w:val="24"/>
          <w:szCs w:val="24"/>
        </w:rPr>
        <w:t>10,</w:t>
      </w:r>
      <w:r w:rsidRPr="00616FD1">
        <w:rPr>
          <w:rFonts w:ascii="Times New Roman" w:hAnsi="Times New Roman" w:cs="Times New Roman"/>
          <w:noProof/>
          <w:sz w:val="24"/>
          <w:szCs w:val="24"/>
        </w:rPr>
        <w:t xml:space="preserve"> 639–50 (2009).</w:t>
      </w:r>
    </w:p>
    <w:p w:rsidR="00616FD1" w:rsidRPr="00616FD1" w:rsidRDefault="00616FD1" w:rsidP="00616FD1">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616FD1">
        <w:rPr>
          <w:rFonts w:ascii="Times New Roman" w:hAnsi="Times New Roman" w:cs="Times New Roman"/>
          <w:noProof/>
          <w:sz w:val="24"/>
          <w:szCs w:val="24"/>
        </w:rPr>
        <w:t>36.</w:t>
      </w:r>
      <w:r w:rsidRPr="00616FD1">
        <w:rPr>
          <w:rFonts w:ascii="Times New Roman" w:hAnsi="Times New Roman" w:cs="Times New Roman"/>
          <w:noProof/>
          <w:sz w:val="24"/>
          <w:szCs w:val="24"/>
        </w:rPr>
        <w:tab/>
        <w:t xml:space="preserve">Magliery, T. J. &amp; Regan, L. Beyond consensus: statistical free energies reveal hidden interactions in the design of a TPR motif. </w:t>
      </w:r>
      <w:r w:rsidRPr="00616FD1">
        <w:rPr>
          <w:rFonts w:ascii="Times New Roman" w:hAnsi="Times New Roman" w:cs="Times New Roman"/>
          <w:i/>
          <w:iCs/>
          <w:noProof/>
          <w:sz w:val="24"/>
          <w:szCs w:val="24"/>
        </w:rPr>
        <w:t>J. Mol. Biol.</w:t>
      </w:r>
      <w:r w:rsidRPr="00616FD1">
        <w:rPr>
          <w:rFonts w:ascii="Times New Roman" w:hAnsi="Times New Roman" w:cs="Times New Roman"/>
          <w:noProof/>
          <w:sz w:val="24"/>
          <w:szCs w:val="24"/>
        </w:rPr>
        <w:t xml:space="preserve"> </w:t>
      </w:r>
      <w:r w:rsidRPr="00616FD1">
        <w:rPr>
          <w:rFonts w:ascii="Times New Roman" w:hAnsi="Times New Roman" w:cs="Times New Roman"/>
          <w:b/>
          <w:bCs/>
          <w:noProof/>
          <w:sz w:val="24"/>
          <w:szCs w:val="24"/>
        </w:rPr>
        <w:t>343,</w:t>
      </w:r>
      <w:r w:rsidRPr="00616FD1">
        <w:rPr>
          <w:rFonts w:ascii="Times New Roman" w:hAnsi="Times New Roman" w:cs="Times New Roman"/>
          <w:noProof/>
          <w:sz w:val="24"/>
          <w:szCs w:val="24"/>
        </w:rPr>
        <w:t xml:space="preserve"> 731–45 (2004).</w:t>
      </w:r>
    </w:p>
    <w:p w:rsidR="00616FD1" w:rsidRPr="00616FD1" w:rsidRDefault="00616FD1" w:rsidP="00616FD1">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616FD1">
        <w:rPr>
          <w:rFonts w:ascii="Times New Roman" w:hAnsi="Times New Roman" w:cs="Times New Roman"/>
          <w:noProof/>
          <w:sz w:val="24"/>
          <w:szCs w:val="24"/>
        </w:rPr>
        <w:t>37.</w:t>
      </w:r>
      <w:r w:rsidRPr="00616FD1">
        <w:rPr>
          <w:rFonts w:ascii="Times New Roman" w:hAnsi="Times New Roman" w:cs="Times New Roman"/>
          <w:noProof/>
          <w:sz w:val="24"/>
          <w:szCs w:val="24"/>
        </w:rPr>
        <w:tab/>
        <w:t xml:space="preserve">Magliery, T. J. &amp; Regan, L. Sequence variation in ligand binding sites in proteins. </w:t>
      </w:r>
      <w:r w:rsidRPr="00616FD1">
        <w:rPr>
          <w:rFonts w:ascii="Times New Roman" w:hAnsi="Times New Roman" w:cs="Times New Roman"/>
          <w:i/>
          <w:iCs/>
          <w:noProof/>
          <w:sz w:val="24"/>
          <w:szCs w:val="24"/>
        </w:rPr>
        <w:t>BMC Bioinformatics</w:t>
      </w:r>
      <w:r w:rsidRPr="00616FD1">
        <w:rPr>
          <w:rFonts w:ascii="Times New Roman" w:hAnsi="Times New Roman" w:cs="Times New Roman"/>
          <w:noProof/>
          <w:sz w:val="24"/>
          <w:szCs w:val="24"/>
        </w:rPr>
        <w:t xml:space="preserve"> </w:t>
      </w:r>
      <w:r w:rsidRPr="00616FD1">
        <w:rPr>
          <w:rFonts w:ascii="Times New Roman" w:hAnsi="Times New Roman" w:cs="Times New Roman"/>
          <w:b/>
          <w:bCs/>
          <w:noProof/>
          <w:sz w:val="24"/>
          <w:szCs w:val="24"/>
        </w:rPr>
        <w:t>6,</w:t>
      </w:r>
      <w:r w:rsidRPr="00616FD1">
        <w:rPr>
          <w:rFonts w:ascii="Times New Roman" w:hAnsi="Times New Roman" w:cs="Times New Roman"/>
          <w:noProof/>
          <w:sz w:val="24"/>
          <w:szCs w:val="24"/>
        </w:rPr>
        <w:t xml:space="preserve"> 240 (2005).</w:t>
      </w:r>
    </w:p>
    <w:p w:rsidR="00616FD1" w:rsidRPr="00616FD1" w:rsidRDefault="00616FD1" w:rsidP="00616FD1">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616FD1">
        <w:rPr>
          <w:rFonts w:ascii="Times New Roman" w:hAnsi="Times New Roman" w:cs="Times New Roman"/>
          <w:noProof/>
          <w:sz w:val="24"/>
          <w:szCs w:val="24"/>
        </w:rPr>
        <w:t>38.</w:t>
      </w:r>
      <w:r w:rsidRPr="00616FD1">
        <w:rPr>
          <w:rFonts w:ascii="Times New Roman" w:hAnsi="Times New Roman" w:cs="Times New Roman"/>
          <w:noProof/>
          <w:sz w:val="24"/>
          <w:szCs w:val="24"/>
        </w:rPr>
        <w:tab/>
        <w:t xml:space="preserve">Sawyer, N., Chen, J. &amp; Regan, L. All repeats are not equal: a module-based approach to guide repeat protein design. </w:t>
      </w:r>
      <w:r w:rsidRPr="00616FD1">
        <w:rPr>
          <w:rFonts w:ascii="Times New Roman" w:hAnsi="Times New Roman" w:cs="Times New Roman"/>
          <w:i/>
          <w:iCs/>
          <w:noProof/>
          <w:sz w:val="24"/>
          <w:szCs w:val="24"/>
        </w:rPr>
        <w:t>J. Mol. Biol.</w:t>
      </w:r>
      <w:r w:rsidRPr="00616FD1">
        <w:rPr>
          <w:rFonts w:ascii="Times New Roman" w:hAnsi="Times New Roman" w:cs="Times New Roman"/>
          <w:noProof/>
          <w:sz w:val="24"/>
          <w:szCs w:val="24"/>
        </w:rPr>
        <w:t xml:space="preserve"> </w:t>
      </w:r>
      <w:r w:rsidRPr="00616FD1">
        <w:rPr>
          <w:rFonts w:ascii="Times New Roman" w:hAnsi="Times New Roman" w:cs="Times New Roman"/>
          <w:b/>
          <w:bCs/>
          <w:noProof/>
          <w:sz w:val="24"/>
          <w:szCs w:val="24"/>
        </w:rPr>
        <w:t>425,</w:t>
      </w:r>
      <w:r w:rsidRPr="00616FD1">
        <w:rPr>
          <w:rFonts w:ascii="Times New Roman" w:hAnsi="Times New Roman" w:cs="Times New Roman"/>
          <w:noProof/>
          <w:sz w:val="24"/>
          <w:szCs w:val="24"/>
        </w:rPr>
        <w:t xml:space="preserve"> 1826–38 (2013).</w:t>
      </w:r>
    </w:p>
    <w:p w:rsidR="00616FD1" w:rsidRPr="00616FD1" w:rsidRDefault="00616FD1" w:rsidP="00616FD1">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616FD1">
        <w:rPr>
          <w:rFonts w:ascii="Times New Roman" w:hAnsi="Times New Roman" w:cs="Times New Roman"/>
          <w:noProof/>
          <w:sz w:val="24"/>
          <w:szCs w:val="24"/>
        </w:rPr>
        <w:t>39.</w:t>
      </w:r>
      <w:r w:rsidRPr="00616FD1">
        <w:rPr>
          <w:rFonts w:ascii="Times New Roman" w:hAnsi="Times New Roman" w:cs="Times New Roman"/>
          <w:noProof/>
          <w:sz w:val="24"/>
          <w:szCs w:val="24"/>
        </w:rPr>
        <w:tab/>
        <w:t xml:space="preserve">Letunic, I., Doerks, T. &amp; Bork, P. SMART 7: recent updates to the protein domain annotation resource. </w:t>
      </w:r>
      <w:r w:rsidRPr="00616FD1">
        <w:rPr>
          <w:rFonts w:ascii="Times New Roman" w:hAnsi="Times New Roman" w:cs="Times New Roman"/>
          <w:i/>
          <w:iCs/>
          <w:noProof/>
          <w:sz w:val="24"/>
          <w:szCs w:val="24"/>
        </w:rPr>
        <w:t>Nucleic Acids Res.</w:t>
      </w:r>
      <w:r w:rsidRPr="00616FD1">
        <w:rPr>
          <w:rFonts w:ascii="Times New Roman" w:hAnsi="Times New Roman" w:cs="Times New Roman"/>
          <w:noProof/>
          <w:sz w:val="24"/>
          <w:szCs w:val="24"/>
        </w:rPr>
        <w:t xml:space="preserve"> </w:t>
      </w:r>
      <w:r w:rsidRPr="00616FD1">
        <w:rPr>
          <w:rFonts w:ascii="Times New Roman" w:hAnsi="Times New Roman" w:cs="Times New Roman"/>
          <w:b/>
          <w:bCs/>
          <w:noProof/>
          <w:sz w:val="24"/>
          <w:szCs w:val="24"/>
        </w:rPr>
        <w:t>40,</w:t>
      </w:r>
      <w:r w:rsidRPr="00616FD1">
        <w:rPr>
          <w:rFonts w:ascii="Times New Roman" w:hAnsi="Times New Roman" w:cs="Times New Roman"/>
          <w:noProof/>
          <w:sz w:val="24"/>
          <w:szCs w:val="24"/>
        </w:rPr>
        <w:t xml:space="preserve"> D302–5 (2012).</w:t>
      </w:r>
    </w:p>
    <w:p w:rsidR="00616FD1" w:rsidRPr="00616FD1" w:rsidRDefault="00616FD1" w:rsidP="00616FD1">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616FD1">
        <w:rPr>
          <w:rFonts w:ascii="Times New Roman" w:hAnsi="Times New Roman" w:cs="Times New Roman"/>
          <w:noProof/>
          <w:sz w:val="24"/>
          <w:szCs w:val="24"/>
        </w:rPr>
        <w:t>40.</w:t>
      </w:r>
      <w:r w:rsidRPr="00616FD1">
        <w:rPr>
          <w:rFonts w:ascii="Times New Roman" w:hAnsi="Times New Roman" w:cs="Times New Roman"/>
          <w:noProof/>
          <w:sz w:val="24"/>
          <w:szCs w:val="24"/>
        </w:rPr>
        <w:tab/>
        <w:t xml:space="preserve">Crooks, G. E., Hon, G., Chandonia, J.-M. &amp; Brenner, S. E. WebLogo: a sequence logo generator. </w:t>
      </w:r>
      <w:r w:rsidRPr="00616FD1">
        <w:rPr>
          <w:rFonts w:ascii="Times New Roman" w:hAnsi="Times New Roman" w:cs="Times New Roman"/>
          <w:i/>
          <w:iCs/>
          <w:noProof/>
          <w:sz w:val="24"/>
          <w:szCs w:val="24"/>
        </w:rPr>
        <w:t>Genome Res.</w:t>
      </w:r>
      <w:r w:rsidRPr="00616FD1">
        <w:rPr>
          <w:rFonts w:ascii="Times New Roman" w:hAnsi="Times New Roman" w:cs="Times New Roman"/>
          <w:noProof/>
          <w:sz w:val="24"/>
          <w:szCs w:val="24"/>
        </w:rPr>
        <w:t xml:space="preserve"> </w:t>
      </w:r>
      <w:r w:rsidRPr="00616FD1">
        <w:rPr>
          <w:rFonts w:ascii="Times New Roman" w:hAnsi="Times New Roman" w:cs="Times New Roman"/>
          <w:b/>
          <w:bCs/>
          <w:noProof/>
          <w:sz w:val="24"/>
          <w:szCs w:val="24"/>
        </w:rPr>
        <w:t>14,</w:t>
      </w:r>
      <w:r w:rsidRPr="00616FD1">
        <w:rPr>
          <w:rFonts w:ascii="Times New Roman" w:hAnsi="Times New Roman" w:cs="Times New Roman"/>
          <w:noProof/>
          <w:sz w:val="24"/>
          <w:szCs w:val="24"/>
        </w:rPr>
        <w:t xml:space="preserve"> 1188–90 (2004).</w:t>
      </w:r>
    </w:p>
    <w:p w:rsidR="00616FD1" w:rsidRPr="00616FD1" w:rsidRDefault="00616FD1" w:rsidP="00616FD1">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616FD1">
        <w:rPr>
          <w:rFonts w:ascii="Times New Roman" w:hAnsi="Times New Roman" w:cs="Times New Roman"/>
          <w:noProof/>
          <w:sz w:val="24"/>
          <w:szCs w:val="24"/>
        </w:rPr>
        <w:t>41.</w:t>
      </w:r>
      <w:r w:rsidRPr="00616FD1">
        <w:rPr>
          <w:rFonts w:ascii="Times New Roman" w:hAnsi="Times New Roman" w:cs="Times New Roman"/>
          <w:noProof/>
          <w:sz w:val="24"/>
          <w:szCs w:val="24"/>
        </w:rPr>
        <w:tab/>
        <w:t xml:space="preserve">McLaren, W. </w:t>
      </w:r>
      <w:r w:rsidRPr="00616FD1">
        <w:rPr>
          <w:rFonts w:ascii="Times New Roman" w:hAnsi="Times New Roman" w:cs="Times New Roman"/>
          <w:i/>
          <w:iCs/>
          <w:noProof/>
          <w:sz w:val="24"/>
          <w:szCs w:val="24"/>
        </w:rPr>
        <w:t>et al.</w:t>
      </w:r>
      <w:r w:rsidRPr="00616FD1">
        <w:rPr>
          <w:rFonts w:ascii="Times New Roman" w:hAnsi="Times New Roman" w:cs="Times New Roman"/>
          <w:noProof/>
          <w:sz w:val="24"/>
          <w:szCs w:val="24"/>
        </w:rPr>
        <w:t xml:space="preserve"> Deriving the consequences of genomic variants with the Ensembl API and SNP Effect Predictor. </w:t>
      </w:r>
      <w:r w:rsidRPr="00616FD1">
        <w:rPr>
          <w:rFonts w:ascii="Times New Roman" w:hAnsi="Times New Roman" w:cs="Times New Roman"/>
          <w:i/>
          <w:iCs/>
          <w:noProof/>
          <w:sz w:val="24"/>
          <w:szCs w:val="24"/>
        </w:rPr>
        <w:t>Bioinformatics</w:t>
      </w:r>
      <w:r w:rsidRPr="00616FD1">
        <w:rPr>
          <w:rFonts w:ascii="Times New Roman" w:hAnsi="Times New Roman" w:cs="Times New Roman"/>
          <w:noProof/>
          <w:sz w:val="24"/>
          <w:szCs w:val="24"/>
        </w:rPr>
        <w:t xml:space="preserve"> </w:t>
      </w:r>
      <w:r w:rsidRPr="00616FD1">
        <w:rPr>
          <w:rFonts w:ascii="Times New Roman" w:hAnsi="Times New Roman" w:cs="Times New Roman"/>
          <w:b/>
          <w:bCs/>
          <w:noProof/>
          <w:sz w:val="24"/>
          <w:szCs w:val="24"/>
        </w:rPr>
        <w:t>26,</w:t>
      </w:r>
      <w:r w:rsidRPr="00616FD1">
        <w:rPr>
          <w:rFonts w:ascii="Times New Roman" w:hAnsi="Times New Roman" w:cs="Times New Roman"/>
          <w:noProof/>
          <w:sz w:val="24"/>
          <w:szCs w:val="24"/>
        </w:rPr>
        <w:t xml:space="preserve"> 2069–70 (2010).</w:t>
      </w:r>
    </w:p>
    <w:p w:rsidR="00616FD1" w:rsidRPr="00616FD1" w:rsidRDefault="00616FD1" w:rsidP="00616FD1">
      <w:pPr>
        <w:widowControl w:val="0"/>
        <w:autoSpaceDE w:val="0"/>
        <w:autoSpaceDN w:val="0"/>
        <w:adjustRightInd w:val="0"/>
        <w:spacing w:after="0" w:line="240" w:lineRule="auto"/>
        <w:ind w:left="640" w:hanging="640"/>
        <w:rPr>
          <w:rFonts w:ascii="Times New Roman" w:hAnsi="Times New Roman" w:cs="Times New Roman"/>
          <w:noProof/>
          <w:sz w:val="24"/>
        </w:rPr>
      </w:pPr>
      <w:r w:rsidRPr="00616FD1">
        <w:rPr>
          <w:rFonts w:ascii="Times New Roman" w:hAnsi="Times New Roman" w:cs="Times New Roman"/>
          <w:noProof/>
          <w:sz w:val="24"/>
          <w:szCs w:val="24"/>
        </w:rPr>
        <w:t>42.</w:t>
      </w:r>
      <w:r w:rsidRPr="00616FD1">
        <w:rPr>
          <w:rFonts w:ascii="Times New Roman" w:hAnsi="Times New Roman" w:cs="Times New Roman"/>
          <w:noProof/>
          <w:sz w:val="24"/>
          <w:szCs w:val="24"/>
        </w:rPr>
        <w:tab/>
        <w:t>The PyMOL Molecular Graphics System, Version 1.8 Schrödinger, LLC.</w:t>
      </w:r>
    </w:p>
    <w:p w:rsidR="00EA6673" w:rsidRDefault="00EA6673" w:rsidP="006B37B8">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fldChar w:fldCharType="end"/>
      </w:r>
    </w:p>
    <w:p w:rsidR="00EA6673" w:rsidRDefault="00EA6673" w:rsidP="006B37B8">
      <w:pPr>
        <w:spacing w:after="0" w:line="240" w:lineRule="auto"/>
        <w:rPr>
          <w:rFonts w:ascii="Times New Roman" w:hAnsi="Times New Roman" w:cs="Times New Roman"/>
          <w:b/>
          <w:sz w:val="24"/>
          <w:szCs w:val="24"/>
          <w:u w:val="single"/>
        </w:rPr>
      </w:pPr>
    </w:p>
    <w:p w:rsidR="00EA6673" w:rsidRDefault="00EA6673" w:rsidP="006B37B8">
      <w:pPr>
        <w:spacing w:after="0" w:line="240" w:lineRule="auto"/>
        <w:rPr>
          <w:rFonts w:ascii="Times New Roman" w:hAnsi="Times New Roman" w:cs="Times New Roman"/>
          <w:b/>
          <w:sz w:val="24"/>
          <w:szCs w:val="24"/>
          <w:u w:val="single"/>
        </w:rPr>
      </w:pPr>
    </w:p>
    <w:p w:rsidR="0020288A" w:rsidRPr="0020288A" w:rsidRDefault="0020288A" w:rsidP="006B37B8">
      <w:pPr>
        <w:spacing w:after="0" w:line="240" w:lineRule="auto"/>
        <w:rPr>
          <w:rFonts w:ascii="Times New Roman" w:hAnsi="Times New Roman" w:cs="Times New Roman"/>
          <w:b/>
          <w:sz w:val="24"/>
          <w:szCs w:val="24"/>
          <w:u w:val="single"/>
        </w:rPr>
      </w:pPr>
      <w:r w:rsidRPr="0020288A">
        <w:rPr>
          <w:rFonts w:ascii="Times New Roman" w:hAnsi="Times New Roman" w:cs="Times New Roman"/>
          <w:b/>
          <w:sz w:val="24"/>
          <w:szCs w:val="24"/>
          <w:u w:val="single"/>
        </w:rPr>
        <w:t>Figure Legends</w:t>
      </w:r>
    </w:p>
    <w:p w:rsidR="0020288A" w:rsidRDefault="0020288A" w:rsidP="006B37B8">
      <w:pPr>
        <w:spacing w:after="0" w:line="240" w:lineRule="auto"/>
        <w:rPr>
          <w:rFonts w:ascii="Times New Roman" w:hAnsi="Times New Roman" w:cs="Times New Roman"/>
          <w:sz w:val="24"/>
          <w:szCs w:val="24"/>
        </w:rPr>
      </w:pPr>
      <w:r w:rsidRPr="0020288A">
        <w:rPr>
          <w:rFonts w:ascii="Times New Roman" w:hAnsi="Times New Roman" w:cs="Times New Roman"/>
          <w:b/>
          <w:sz w:val="24"/>
          <w:szCs w:val="24"/>
        </w:rPr>
        <w:t>Figure 1. Our motif-MSA approach.</w:t>
      </w:r>
      <w:r w:rsidR="007C0487">
        <w:rPr>
          <w:rFonts w:ascii="Times New Roman" w:hAnsi="Times New Roman" w:cs="Times New Roman"/>
          <w:b/>
          <w:sz w:val="24"/>
          <w:szCs w:val="24"/>
        </w:rPr>
        <w:t xml:space="preserve"> </w:t>
      </w:r>
      <w:r w:rsidR="007C0487">
        <w:rPr>
          <w:rFonts w:ascii="Times New Roman" w:hAnsi="Times New Roman" w:cs="Times New Roman"/>
          <w:sz w:val="24"/>
          <w:szCs w:val="24"/>
        </w:rPr>
        <w:t xml:space="preserve">(1) We first query a database and obtain all the proteins with the desired domains or motifs. We use the TPR motifs as an example in this figure. </w:t>
      </w:r>
      <w:r w:rsidR="007C0487">
        <w:rPr>
          <w:rFonts w:ascii="Times New Roman" w:hAnsi="Times New Roman" w:cs="Times New Roman"/>
          <w:sz w:val="24"/>
          <w:szCs w:val="24"/>
        </w:rPr>
        <w:t>These motifs have to be the same length</w:t>
      </w:r>
      <w:r w:rsidR="007C0487">
        <w:rPr>
          <w:rFonts w:ascii="Times New Roman" w:hAnsi="Times New Roman" w:cs="Times New Roman"/>
          <w:sz w:val="24"/>
          <w:szCs w:val="24"/>
        </w:rPr>
        <w:t>. For example, we select TPR motifs that are 34 amino acids since they are the most frequently-occurring size. (2)</w:t>
      </w:r>
      <w:r w:rsidR="00546A7E">
        <w:rPr>
          <w:rFonts w:ascii="Times New Roman" w:hAnsi="Times New Roman" w:cs="Times New Roman"/>
          <w:sz w:val="24"/>
          <w:szCs w:val="24"/>
        </w:rPr>
        <w:t xml:space="preserve"> Subsequently</w:t>
      </w:r>
      <w:r w:rsidR="007C0487">
        <w:rPr>
          <w:rFonts w:ascii="Times New Roman" w:hAnsi="Times New Roman" w:cs="Times New Roman"/>
          <w:sz w:val="24"/>
          <w:szCs w:val="24"/>
        </w:rPr>
        <w:t>, we perform an ‘</w:t>
      </w:r>
      <w:proofErr w:type="spellStart"/>
      <w:r w:rsidR="007C0487">
        <w:rPr>
          <w:rFonts w:ascii="Times New Roman" w:hAnsi="Times New Roman" w:cs="Times New Roman"/>
          <w:sz w:val="24"/>
          <w:szCs w:val="24"/>
        </w:rPr>
        <w:t>ungapped</w:t>
      </w:r>
      <w:proofErr w:type="spellEnd"/>
      <w:r w:rsidR="007C0487">
        <w:rPr>
          <w:rFonts w:ascii="Times New Roman" w:hAnsi="Times New Roman" w:cs="Times New Roman"/>
          <w:sz w:val="24"/>
          <w:szCs w:val="24"/>
        </w:rPr>
        <w:t xml:space="preserve">’ multiple sequence alignment (MSA) of the TPR motifs by lining them up end to end, to obtain a sequence conservation profile. This motif-based MSA typically exhibits differential sequence conservation among the positions across the length of the motif. (3) </w:t>
      </w:r>
      <w:r w:rsidR="00546A7E">
        <w:rPr>
          <w:rFonts w:ascii="Times New Roman" w:hAnsi="Times New Roman" w:cs="Times New Roman"/>
          <w:sz w:val="24"/>
          <w:szCs w:val="24"/>
        </w:rPr>
        <w:t xml:space="preserve">The third step involves collecting genomic </w:t>
      </w:r>
      <w:r w:rsidR="00A06DC9">
        <w:rPr>
          <w:rFonts w:ascii="Times New Roman" w:hAnsi="Times New Roman" w:cs="Times New Roman"/>
          <w:sz w:val="24"/>
          <w:szCs w:val="24"/>
        </w:rPr>
        <w:t xml:space="preserve">single nucleotide </w:t>
      </w:r>
      <w:r w:rsidR="00546A7E">
        <w:rPr>
          <w:rFonts w:ascii="Times New Roman" w:hAnsi="Times New Roman" w:cs="Times New Roman"/>
          <w:sz w:val="24"/>
          <w:szCs w:val="24"/>
        </w:rPr>
        <w:t xml:space="preserve">variants </w:t>
      </w:r>
      <w:r w:rsidR="00A06DC9">
        <w:rPr>
          <w:rFonts w:ascii="Times New Roman" w:hAnsi="Times New Roman" w:cs="Times New Roman"/>
          <w:sz w:val="24"/>
          <w:szCs w:val="24"/>
        </w:rPr>
        <w:t xml:space="preserve">(SNVs) </w:t>
      </w:r>
      <w:r w:rsidR="00546A7E">
        <w:rPr>
          <w:rFonts w:ascii="Times New Roman" w:hAnsi="Times New Roman" w:cs="Times New Roman"/>
          <w:sz w:val="24"/>
          <w:szCs w:val="24"/>
        </w:rPr>
        <w:t xml:space="preserve">for each amino acid position of the motif-based alignment profile. </w:t>
      </w:r>
      <w:r w:rsidR="0019578F">
        <w:rPr>
          <w:rFonts w:ascii="Times New Roman" w:hAnsi="Times New Roman" w:cs="Times New Roman"/>
          <w:sz w:val="24"/>
          <w:szCs w:val="24"/>
        </w:rPr>
        <w:t xml:space="preserve">For </w:t>
      </w:r>
      <w:r w:rsidR="00546A7E">
        <w:rPr>
          <w:rFonts w:ascii="Times New Roman" w:hAnsi="Times New Roman" w:cs="Times New Roman"/>
          <w:sz w:val="24"/>
          <w:szCs w:val="24"/>
        </w:rPr>
        <w:t xml:space="preserve">TPR domains, we obtain the specific genomic coordinates of each codon of every TPR motif in the human proteome, and then we locate all variants that fall into each codon. </w:t>
      </w:r>
      <w:r w:rsidR="00A06DC9">
        <w:rPr>
          <w:rFonts w:ascii="Times New Roman" w:hAnsi="Times New Roman" w:cs="Times New Roman"/>
          <w:sz w:val="24"/>
          <w:szCs w:val="24"/>
        </w:rPr>
        <w:t xml:space="preserve">(4) An SNV can be non-synonymous or synonymous, common or rare in the human population, functionally disruptive or benign (depending on SIFT scores). Based on the nature of </w:t>
      </w:r>
      <w:r w:rsidR="00A06DC9">
        <w:rPr>
          <w:rFonts w:ascii="Times New Roman" w:hAnsi="Times New Roman" w:cs="Times New Roman"/>
          <w:sz w:val="24"/>
          <w:szCs w:val="24"/>
        </w:rPr>
        <w:lastRenderedPageBreak/>
        <w:t>the SNVs, we can describe various statistics based on these SNV properties. We can also visualize the locations of the variants by pinpointing the amino acid positions that reside in the 3D protein structures.</w:t>
      </w:r>
    </w:p>
    <w:p w:rsidR="0020288A" w:rsidRDefault="0020288A" w:rsidP="006B37B8">
      <w:pPr>
        <w:spacing w:after="0" w:line="240" w:lineRule="auto"/>
        <w:rPr>
          <w:rFonts w:ascii="Times New Roman" w:hAnsi="Times New Roman" w:cs="Times New Roman"/>
          <w:sz w:val="24"/>
          <w:szCs w:val="24"/>
        </w:rPr>
      </w:pPr>
    </w:p>
    <w:p w:rsidR="0020288A" w:rsidRDefault="002820B9" w:rsidP="002820B9">
      <w:pPr>
        <w:spacing w:after="0" w:line="240" w:lineRule="auto"/>
        <w:rPr>
          <w:rFonts w:ascii="Times New Roman" w:hAnsi="Times New Roman" w:cs="Times New Roman"/>
          <w:sz w:val="24"/>
          <w:szCs w:val="24"/>
        </w:rPr>
      </w:pPr>
      <w:r w:rsidRPr="002820B9">
        <w:rPr>
          <w:rFonts w:ascii="Times New Roman" w:hAnsi="Times New Roman" w:cs="Times New Roman"/>
          <w:b/>
          <w:sz w:val="24"/>
          <w:szCs w:val="24"/>
        </w:rPr>
        <w:t>Figure 2. Motif-MSA can uncover important domain positions missed by species-MSA and it also serves as a “variant</w:t>
      </w:r>
      <w:r w:rsidR="00293B76">
        <w:rPr>
          <w:rFonts w:ascii="Times New Roman" w:hAnsi="Times New Roman" w:cs="Times New Roman"/>
          <w:b/>
          <w:sz w:val="24"/>
          <w:szCs w:val="24"/>
        </w:rPr>
        <w:t xml:space="preserve"> information</w:t>
      </w:r>
      <w:r w:rsidRPr="002820B9">
        <w:rPr>
          <w:rFonts w:ascii="Times New Roman" w:hAnsi="Times New Roman" w:cs="Times New Roman"/>
          <w:b/>
          <w:sz w:val="24"/>
          <w:szCs w:val="24"/>
        </w:rPr>
        <w:t xml:space="preserve"> amplifier”.</w:t>
      </w:r>
      <w:r>
        <w:rPr>
          <w:rFonts w:ascii="Times New Roman" w:hAnsi="Times New Roman" w:cs="Times New Roman"/>
          <w:b/>
          <w:sz w:val="24"/>
          <w:szCs w:val="24"/>
        </w:rPr>
        <w:t xml:space="preserve"> </w:t>
      </w:r>
      <w:r w:rsidR="00EC6A01">
        <w:rPr>
          <w:rFonts w:ascii="Times New Roman" w:hAnsi="Times New Roman" w:cs="Times New Roman"/>
          <w:sz w:val="24"/>
          <w:szCs w:val="24"/>
        </w:rPr>
        <w:t xml:space="preserve">This figure uses TPR as an example. </w:t>
      </w:r>
      <w:r w:rsidR="00A66156">
        <w:rPr>
          <w:rFonts w:ascii="Times New Roman" w:hAnsi="Times New Roman" w:cs="Times New Roman"/>
          <w:sz w:val="24"/>
          <w:szCs w:val="24"/>
        </w:rPr>
        <w:t>(a) We perform a species-MSA using orthologous TTC21B from 66 species</w:t>
      </w:r>
      <w:r w:rsidR="0018689C">
        <w:rPr>
          <w:rFonts w:ascii="Times New Roman" w:hAnsi="Times New Roman" w:cs="Times New Roman"/>
          <w:sz w:val="24"/>
          <w:szCs w:val="24"/>
        </w:rPr>
        <w:t xml:space="preserve"> (species-MSA)</w:t>
      </w:r>
      <w:r w:rsidR="00A66156">
        <w:rPr>
          <w:rFonts w:ascii="Times New Roman" w:hAnsi="Times New Roman" w:cs="Times New Roman"/>
          <w:sz w:val="24"/>
          <w:szCs w:val="24"/>
        </w:rPr>
        <w:t>. Here, we show the alignment profiles for the first three TPR motifs</w:t>
      </w:r>
      <w:r w:rsidR="003C54C5">
        <w:rPr>
          <w:rFonts w:ascii="Times New Roman" w:hAnsi="Times New Roman" w:cs="Times New Roman"/>
          <w:sz w:val="24"/>
          <w:szCs w:val="24"/>
        </w:rPr>
        <w:t xml:space="preserve"> (red, blue and green sequence logos)</w:t>
      </w:r>
      <w:r w:rsidR="00A66156">
        <w:rPr>
          <w:rFonts w:ascii="Times New Roman" w:hAnsi="Times New Roman" w:cs="Times New Roman"/>
          <w:sz w:val="24"/>
          <w:szCs w:val="24"/>
        </w:rPr>
        <w:t xml:space="preserve">, out of the possible 16. </w:t>
      </w:r>
      <w:r w:rsidR="0018689C">
        <w:rPr>
          <w:rFonts w:ascii="Times New Roman" w:hAnsi="Times New Roman" w:cs="Times New Roman"/>
          <w:sz w:val="24"/>
          <w:szCs w:val="24"/>
        </w:rPr>
        <w:t xml:space="preserve">We observe that almost all the positions are highly conserved. </w:t>
      </w:r>
      <w:r w:rsidR="00A66156">
        <w:rPr>
          <w:rFonts w:ascii="Times New Roman" w:hAnsi="Times New Roman" w:cs="Times New Roman"/>
          <w:sz w:val="24"/>
          <w:szCs w:val="24"/>
        </w:rPr>
        <w:t xml:space="preserve">(b) </w:t>
      </w:r>
      <w:r w:rsidR="0018689C">
        <w:rPr>
          <w:rFonts w:ascii="Times New Roman" w:hAnsi="Times New Roman" w:cs="Times New Roman"/>
          <w:sz w:val="24"/>
          <w:szCs w:val="24"/>
        </w:rPr>
        <w:t xml:space="preserve">In contrast </w:t>
      </w:r>
      <w:r w:rsidR="0020288A" w:rsidRPr="0020288A">
        <w:rPr>
          <w:rFonts w:ascii="Times New Roman" w:hAnsi="Times New Roman" w:cs="Times New Roman"/>
          <w:sz w:val="24"/>
          <w:szCs w:val="24"/>
        </w:rPr>
        <w:t>to conventional</w:t>
      </w:r>
      <w:r w:rsidR="00A66156">
        <w:rPr>
          <w:rFonts w:ascii="Times New Roman" w:hAnsi="Times New Roman" w:cs="Times New Roman"/>
          <w:sz w:val="24"/>
          <w:szCs w:val="24"/>
        </w:rPr>
        <w:t xml:space="preserve"> species-MSA</w:t>
      </w:r>
      <w:r w:rsidR="0020288A" w:rsidRPr="0020288A">
        <w:rPr>
          <w:rFonts w:ascii="Times New Roman" w:hAnsi="Times New Roman" w:cs="Times New Roman"/>
          <w:sz w:val="24"/>
          <w:szCs w:val="24"/>
        </w:rPr>
        <w:t xml:space="preserve">, </w:t>
      </w:r>
      <w:r w:rsidR="0018689C">
        <w:rPr>
          <w:rFonts w:ascii="Times New Roman" w:hAnsi="Times New Roman" w:cs="Times New Roman"/>
          <w:sz w:val="24"/>
          <w:szCs w:val="24"/>
        </w:rPr>
        <w:t xml:space="preserve">there is a differential sequence conservation profile across </w:t>
      </w:r>
      <w:r w:rsidR="00EC6A01">
        <w:rPr>
          <w:rFonts w:ascii="Times New Roman" w:hAnsi="Times New Roman" w:cs="Times New Roman"/>
          <w:sz w:val="24"/>
          <w:szCs w:val="24"/>
        </w:rPr>
        <w:t xml:space="preserve">the TPR </w:t>
      </w:r>
      <w:r w:rsidR="0020288A" w:rsidRPr="0020288A">
        <w:rPr>
          <w:rFonts w:ascii="Times New Roman" w:hAnsi="Times New Roman" w:cs="Times New Roman"/>
          <w:sz w:val="24"/>
          <w:szCs w:val="24"/>
        </w:rPr>
        <w:t>motif-MSA</w:t>
      </w:r>
      <w:r w:rsidR="003C54C5">
        <w:rPr>
          <w:rFonts w:ascii="Times New Roman" w:hAnsi="Times New Roman" w:cs="Times New Roman"/>
          <w:sz w:val="24"/>
          <w:szCs w:val="24"/>
        </w:rPr>
        <w:t xml:space="preserve"> (black sequence logo)</w:t>
      </w:r>
      <w:r w:rsidR="0018689C">
        <w:rPr>
          <w:rFonts w:ascii="Times New Roman" w:hAnsi="Times New Roman" w:cs="Times New Roman"/>
          <w:sz w:val="24"/>
          <w:szCs w:val="24"/>
        </w:rPr>
        <w:t xml:space="preserve">, which facilitates the identification of </w:t>
      </w:r>
      <w:r w:rsidR="00382757">
        <w:rPr>
          <w:rFonts w:ascii="Times New Roman" w:hAnsi="Times New Roman" w:cs="Times New Roman"/>
          <w:sz w:val="24"/>
          <w:szCs w:val="24"/>
        </w:rPr>
        <w:t xml:space="preserve">more conserved </w:t>
      </w:r>
      <w:r w:rsidR="0018689C">
        <w:rPr>
          <w:rFonts w:ascii="Times New Roman" w:hAnsi="Times New Roman" w:cs="Times New Roman"/>
          <w:sz w:val="24"/>
          <w:szCs w:val="24"/>
        </w:rPr>
        <w:t xml:space="preserve">motif </w:t>
      </w:r>
      <w:r w:rsidR="0020288A" w:rsidRPr="0020288A">
        <w:rPr>
          <w:rFonts w:ascii="Times New Roman" w:hAnsi="Times New Roman" w:cs="Times New Roman"/>
          <w:sz w:val="24"/>
          <w:szCs w:val="24"/>
        </w:rPr>
        <w:t>positions that are potentially important</w:t>
      </w:r>
      <w:r w:rsidR="00293B76">
        <w:rPr>
          <w:rFonts w:ascii="Times New Roman" w:hAnsi="Times New Roman" w:cs="Times New Roman"/>
          <w:sz w:val="24"/>
          <w:szCs w:val="24"/>
        </w:rPr>
        <w:t xml:space="preserve"> (positions are highlighted in yellow)</w:t>
      </w:r>
      <w:r w:rsidR="0020288A" w:rsidRPr="0020288A">
        <w:rPr>
          <w:rFonts w:ascii="Times New Roman" w:hAnsi="Times New Roman" w:cs="Times New Roman"/>
          <w:sz w:val="24"/>
          <w:szCs w:val="24"/>
        </w:rPr>
        <w:t>.</w:t>
      </w:r>
      <w:r w:rsidR="00293B76">
        <w:rPr>
          <w:rFonts w:ascii="Times New Roman" w:hAnsi="Times New Roman" w:cs="Times New Roman"/>
          <w:sz w:val="24"/>
          <w:szCs w:val="24"/>
        </w:rPr>
        <w:t xml:space="preserve"> (c)</w:t>
      </w:r>
      <w:r w:rsidR="002E0B94">
        <w:rPr>
          <w:rFonts w:ascii="Times New Roman" w:hAnsi="Times New Roman" w:cs="Times New Roman"/>
          <w:sz w:val="24"/>
          <w:szCs w:val="24"/>
        </w:rPr>
        <w:t xml:space="preserve"> </w:t>
      </w:r>
      <w:r w:rsidR="003C54C5">
        <w:rPr>
          <w:rFonts w:ascii="Times New Roman" w:hAnsi="Times New Roman" w:cs="Times New Roman"/>
          <w:sz w:val="24"/>
          <w:szCs w:val="24"/>
        </w:rPr>
        <w:t xml:space="preserve">In order </w:t>
      </w:r>
      <w:r w:rsidR="00DF6DF3">
        <w:rPr>
          <w:rFonts w:ascii="Times New Roman" w:hAnsi="Times New Roman" w:cs="Times New Roman"/>
          <w:sz w:val="24"/>
          <w:szCs w:val="24"/>
        </w:rPr>
        <w:t xml:space="preserve">to </w:t>
      </w:r>
      <w:r w:rsidR="00C0133C">
        <w:rPr>
          <w:rFonts w:ascii="Times New Roman" w:hAnsi="Times New Roman" w:cs="Times New Roman"/>
          <w:sz w:val="24"/>
          <w:szCs w:val="24"/>
        </w:rPr>
        <w:t xml:space="preserve">integrate </w:t>
      </w:r>
      <w:r w:rsidR="00DF6DF3">
        <w:rPr>
          <w:rFonts w:ascii="Times New Roman" w:hAnsi="Times New Roman" w:cs="Times New Roman"/>
          <w:sz w:val="24"/>
          <w:szCs w:val="24"/>
        </w:rPr>
        <w:t xml:space="preserve">the vast amount of </w:t>
      </w:r>
      <w:r w:rsidR="00C0133C">
        <w:rPr>
          <w:rFonts w:ascii="Times New Roman" w:hAnsi="Times New Roman" w:cs="Times New Roman"/>
          <w:sz w:val="24"/>
          <w:szCs w:val="24"/>
        </w:rPr>
        <w:t>sequencing data</w:t>
      </w:r>
      <w:r w:rsidR="00DF6DF3">
        <w:rPr>
          <w:rFonts w:ascii="Times New Roman" w:hAnsi="Times New Roman" w:cs="Times New Roman"/>
          <w:sz w:val="24"/>
          <w:szCs w:val="24"/>
        </w:rPr>
        <w:t xml:space="preserve">, we can </w:t>
      </w:r>
      <w:r w:rsidR="0022335E">
        <w:rPr>
          <w:rFonts w:ascii="Times New Roman" w:hAnsi="Times New Roman" w:cs="Times New Roman"/>
          <w:sz w:val="24"/>
          <w:szCs w:val="24"/>
        </w:rPr>
        <w:t xml:space="preserve">directly map </w:t>
      </w:r>
      <w:r w:rsidR="003C54C5">
        <w:rPr>
          <w:rFonts w:ascii="Times New Roman" w:hAnsi="Times New Roman" w:cs="Times New Roman"/>
          <w:sz w:val="24"/>
          <w:szCs w:val="24"/>
        </w:rPr>
        <w:t>genomic variants (</w:t>
      </w:r>
      <w:r w:rsidR="00DF6DF3">
        <w:rPr>
          <w:rFonts w:ascii="Times New Roman" w:hAnsi="Times New Roman" w:cs="Times New Roman"/>
          <w:sz w:val="24"/>
          <w:szCs w:val="24"/>
        </w:rPr>
        <w:t xml:space="preserve">black </w:t>
      </w:r>
      <w:r w:rsidR="003C54C5">
        <w:rPr>
          <w:rFonts w:ascii="Times New Roman" w:hAnsi="Times New Roman" w:cs="Times New Roman"/>
          <w:sz w:val="24"/>
          <w:szCs w:val="24"/>
        </w:rPr>
        <w:t xml:space="preserve">diamonds) </w:t>
      </w:r>
      <w:r w:rsidR="0022335E">
        <w:rPr>
          <w:rFonts w:ascii="Times New Roman" w:hAnsi="Times New Roman" w:cs="Times New Roman"/>
          <w:sz w:val="24"/>
          <w:szCs w:val="24"/>
        </w:rPr>
        <w:t xml:space="preserve">onto the coordinates of </w:t>
      </w:r>
      <w:r w:rsidR="00C0133C">
        <w:rPr>
          <w:rFonts w:ascii="Times New Roman" w:hAnsi="Times New Roman" w:cs="Times New Roman"/>
          <w:sz w:val="24"/>
          <w:szCs w:val="24"/>
        </w:rPr>
        <w:t xml:space="preserve">TPR </w:t>
      </w:r>
      <w:r w:rsidR="00DF6DF3">
        <w:rPr>
          <w:rFonts w:ascii="Times New Roman" w:hAnsi="Times New Roman" w:cs="Times New Roman"/>
          <w:sz w:val="24"/>
          <w:szCs w:val="24"/>
        </w:rPr>
        <w:t>motifs</w:t>
      </w:r>
      <w:r w:rsidR="00C0133C">
        <w:rPr>
          <w:rFonts w:ascii="Times New Roman" w:hAnsi="Times New Roman" w:cs="Times New Roman"/>
          <w:sz w:val="24"/>
          <w:szCs w:val="24"/>
        </w:rPr>
        <w:t xml:space="preserve"> in protein-coding genes. </w:t>
      </w:r>
      <w:r w:rsidR="00007C1E">
        <w:rPr>
          <w:rFonts w:ascii="Times New Roman" w:hAnsi="Times New Roman" w:cs="Times New Roman"/>
          <w:sz w:val="24"/>
          <w:szCs w:val="24"/>
        </w:rPr>
        <w:t>We can use species-MSA to align orthologous sequences across multiple species, as in (a). However, because we are focusing on proteins and sequencing data in humans, the number of variants at each amino acid position or codon in a species-MSA profile will never exceed a maximum of three. On the contrary,</w:t>
      </w:r>
      <w:r w:rsidR="00C0133C">
        <w:rPr>
          <w:rFonts w:ascii="Times New Roman" w:hAnsi="Times New Roman" w:cs="Times New Roman"/>
          <w:sz w:val="24"/>
          <w:szCs w:val="24"/>
        </w:rPr>
        <w:t xml:space="preserve"> </w:t>
      </w:r>
      <w:r w:rsidR="00007C1E">
        <w:rPr>
          <w:rFonts w:ascii="Times New Roman" w:hAnsi="Times New Roman" w:cs="Times New Roman"/>
          <w:sz w:val="24"/>
          <w:szCs w:val="24"/>
        </w:rPr>
        <w:t xml:space="preserve">a motif-MSA profile is able to aggregate variants across all motifs within the human genome, thereby amplifying variant information </w:t>
      </w:r>
      <w:r w:rsidR="00FE2B44">
        <w:rPr>
          <w:rFonts w:ascii="Times New Roman" w:hAnsi="Times New Roman" w:cs="Times New Roman"/>
          <w:sz w:val="24"/>
          <w:szCs w:val="24"/>
        </w:rPr>
        <w:t xml:space="preserve">sufficiently </w:t>
      </w:r>
      <w:r w:rsidR="00433B4F">
        <w:rPr>
          <w:rFonts w:ascii="Times New Roman" w:hAnsi="Times New Roman" w:cs="Times New Roman"/>
          <w:sz w:val="24"/>
          <w:szCs w:val="24"/>
        </w:rPr>
        <w:t>for further downstream analyses.</w:t>
      </w:r>
    </w:p>
    <w:p w:rsidR="00B550FA" w:rsidRDefault="00B550FA" w:rsidP="002820B9">
      <w:pPr>
        <w:spacing w:after="0" w:line="240" w:lineRule="auto"/>
        <w:rPr>
          <w:rFonts w:ascii="Times New Roman" w:hAnsi="Times New Roman" w:cs="Times New Roman"/>
          <w:sz w:val="24"/>
          <w:szCs w:val="24"/>
        </w:rPr>
      </w:pPr>
    </w:p>
    <w:p w:rsidR="00B550FA" w:rsidRDefault="00B550FA" w:rsidP="002820B9">
      <w:pPr>
        <w:spacing w:after="0" w:line="240" w:lineRule="auto"/>
        <w:rPr>
          <w:rFonts w:ascii="Times New Roman" w:hAnsi="Times New Roman" w:cs="Times New Roman"/>
          <w:sz w:val="24"/>
          <w:szCs w:val="24"/>
        </w:rPr>
      </w:pPr>
      <w:r>
        <w:rPr>
          <w:rFonts w:ascii="Times New Roman" w:hAnsi="Times New Roman" w:cs="Times New Roman"/>
          <w:b/>
          <w:sz w:val="24"/>
          <w:szCs w:val="24"/>
        </w:rPr>
        <w:t>Figure 3.</w:t>
      </w:r>
      <w:r w:rsidRPr="00B550FA">
        <w:rPr>
          <w:rFonts w:ascii="Times New Roman" w:hAnsi="Times New Roman" w:cs="Times New Roman"/>
          <w:b/>
          <w:sz w:val="24"/>
          <w:szCs w:val="24"/>
        </w:rPr>
        <w:t xml:space="preserve"> </w:t>
      </w:r>
      <w:r>
        <w:rPr>
          <w:rFonts w:ascii="Times New Roman" w:hAnsi="Times New Roman" w:cs="Times New Roman"/>
          <w:b/>
          <w:sz w:val="24"/>
          <w:szCs w:val="24"/>
        </w:rPr>
        <w:t xml:space="preserve">Using genomic variant information </w:t>
      </w:r>
      <w:r w:rsidRPr="00B550FA">
        <w:rPr>
          <w:rFonts w:ascii="Times New Roman" w:hAnsi="Times New Roman" w:cs="Times New Roman"/>
          <w:b/>
          <w:sz w:val="24"/>
          <w:szCs w:val="24"/>
        </w:rPr>
        <w:t xml:space="preserve">in the motif-MSA </w:t>
      </w:r>
      <w:r>
        <w:rPr>
          <w:rFonts w:ascii="Times New Roman" w:hAnsi="Times New Roman" w:cs="Times New Roman"/>
          <w:b/>
          <w:sz w:val="24"/>
          <w:szCs w:val="24"/>
        </w:rPr>
        <w:t xml:space="preserve">profile </w:t>
      </w:r>
      <w:r w:rsidRPr="00B550FA">
        <w:rPr>
          <w:rFonts w:ascii="Times New Roman" w:hAnsi="Times New Roman" w:cs="Times New Roman"/>
          <w:b/>
          <w:sz w:val="24"/>
          <w:szCs w:val="24"/>
        </w:rPr>
        <w:t>to investigate selective constraints</w:t>
      </w:r>
      <w:r>
        <w:rPr>
          <w:rFonts w:ascii="Times New Roman" w:hAnsi="Times New Roman" w:cs="Times New Roman"/>
          <w:b/>
          <w:sz w:val="24"/>
          <w:szCs w:val="24"/>
        </w:rPr>
        <w:t xml:space="preserve"> in</w:t>
      </w:r>
      <w:r w:rsidR="00882674">
        <w:rPr>
          <w:rFonts w:ascii="Times New Roman" w:hAnsi="Times New Roman" w:cs="Times New Roman"/>
          <w:b/>
          <w:sz w:val="24"/>
          <w:szCs w:val="24"/>
        </w:rPr>
        <w:t xml:space="preserve"> PPI motifs</w:t>
      </w:r>
      <w:r w:rsidRPr="00B550FA">
        <w:rPr>
          <w:rFonts w:ascii="Times New Roman" w:hAnsi="Times New Roman" w:cs="Times New Roman"/>
          <w:b/>
          <w:sz w:val="24"/>
          <w:szCs w:val="24"/>
        </w:rPr>
        <w:t>.</w:t>
      </w:r>
      <w:r w:rsidR="00657B88">
        <w:rPr>
          <w:rFonts w:ascii="Times New Roman" w:hAnsi="Times New Roman" w:cs="Times New Roman"/>
          <w:b/>
          <w:sz w:val="24"/>
          <w:szCs w:val="24"/>
        </w:rPr>
        <w:t xml:space="preserve"> </w:t>
      </w:r>
      <w:r w:rsidR="00F713E4">
        <w:rPr>
          <w:rFonts w:ascii="Times New Roman" w:hAnsi="Times New Roman" w:cs="Times New Roman"/>
          <w:sz w:val="24"/>
          <w:szCs w:val="24"/>
        </w:rPr>
        <w:t>Using SNVs from the ExAC dataset, w</w:t>
      </w:r>
      <w:r w:rsidR="00675CA5">
        <w:rPr>
          <w:rFonts w:ascii="Times New Roman" w:hAnsi="Times New Roman" w:cs="Times New Roman"/>
          <w:sz w:val="24"/>
          <w:szCs w:val="24"/>
        </w:rPr>
        <w:t xml:space="preserve">e use various SNV properties to </w:t>
      </w:r>
      <w:r w:rsidR="00657B88">
        <w:rPr>
          <w:rFonts w:ascii="Times New Roman" w:hAnsi="Times New Roman" w:cs="Times New Roman"/>
          <w:sz w:val="24"/>
          <w:szCs w:val="24"/>
        </w:rPr>
        <w:t xml:space="preserve">investigate </w:t>
      </w:r>
      <w:r w:rsidR="00675CA5">
        <w:rPr>
          <w:rFonts w:ascii="Times New Roman" w:hAnsi="Times New Roman" w:cs="Times New Roman"/>
          <w:sz w:val="24"/>
          <w:szCs w:val="24"/>
        </w:rPr>
        <w:t>the extent of selective constraints</w:t>
      </w:r>
      <w:r w:rsidR="00657B88">
        <w:rPr>
          <w:rFonts w:ascii="Times New Roman" w:hAnsi="Times New Roman" w:cs="Times New Roman"/>
          <w:sz w:val="24"/>
          <w:szCs w:val="24"/>
        </w:rPr>
        <w:t xml:space="preserve"> a</w:t>
      </w:r>
      <w:r w:rsidR="00657B88">
        <w:rPr>
          <w:rFonts w:ascii="Times New Roman" w:hAnsi="Times New Roman" w:cs="Times New Roman"/>
          <w:sz w:val="24"/>
          <w:szCs w:val="24"/>
        </w:rPr>
        <w:t>t each position in the motif-MSA profile</w:t>
      </w:r>
      <w:r w:rsidR="00675CA5">
        <w:rPr>
          <w:rFonts w:ascii="Times New Roman" w:hAnsi="Times New Roman" w:cs="Times New Roman"/>
          <w:sz w:val="24"/>
          <w:szCs w:val="24"/>
        </w:rPr>
        <w:t xml:space="preserve">. (a) For each non-synonymous SNV, a score can be computed from the SIFT </w:t>
      </w:r>
      <w:r w:rsidR="006D0890">
        <w:rPr>
          <w:rFonts w:ascii="Times New Roman" w:hAnsi="Times New Roman" w:cs="Times New Roman"/>
          <w:sz w:val="24"/>
          <w:szCs w:val="24"/>
        </w:rPr>
        <w:t xml:space="preserve">tool </w:t>
      </w:r>
      <w:r w:rsidR="00675CA5">
        <w:rPr>
          <w:rFonts w:ascii="Times New Roman" w:hAnsi="Times New Roman" w:cs="Times New Roman"/>
          <w:sz w:val="24"/>
          <w:szCs w:val="24"/>
        </w:rPr>
        <w:t xml:space="preserve">to approximate its deleteriousness </w:t>
      </w:r>
      <w:r w:rsidR="00657B88">
        <w:rPr>
          <w:rFonts w:ascii="Times New Roman" w:hAnsi="Times New Roman" w:cs="Times New Roman"/>
          <w:sz w:val="24"/>
          <w:szCs w:val="24"/>
        </w:rPr>
        <w:t xml:space="preserve">phylogenetically, </w:t>
      </w:r>
      <w:r w:rsidR="00675CA5">
        <w:rPr>
          <w:rFonts w:ascii="Times New Roman" w:hAnsi="Times New Roman" w:cs="Times New Roman"/>
          <w:sz w:val="24"/>
          <w:szCs w:val="24"/>
        </w:rPr>
        <w:t>based on sequence conservation over</w:t>
      </w:r>
      <w:r w:rsidR="00657B88">
        <w:rPr>
          <w:rFonts w:ascii="Times New Roman" w:hAnsi="Times New Roman" w:cs="Times New Roman"/>
          <w:sz w:val="24"/>
          <w:szCs w:val="24"/>
        </w:rPr>
        <w:t xml:space="preserve"> multiple species</w:t>
      </w:r>
      <w:r w:rsidR="00F713E4">
        <w:rPr>
          <w:rFonts w:ascii="Times New Roman" w:hAnsi="Times New Roman" w:cs="Times New Roman"/>
          <w:sz w:val="24"/>
          <w:szCs w:val="24"/>
        </w:rPr>
        <w:t xml:space="preserve">, where a </w:t>
      </w:r>
      <w:r w:rsidR="00F713E4">
        <w:rPr>
          <w:rFonts w:ascii="Times New Roman" w:hAnsi="Times New Roman" w:cs="Times New Roman"/>
          <w:sz w:val="24"/>
          <w:szCs w:val="24"/>
        </w:rPr>
        <w:t xml:space="preserve">lower </w:t>
      </w:r>
      <w:r w:rsidR="00F713E4">
        <w:rPr>
          <w:rFonts w:ascii="Times New Roman" w:hAnsi="Times New Roman" w:cs="Times New Roman"/>
          <w:sz w:val="24"/>
          <w:szCs w:val="24"/>
        </w:rPr>
        <w:t>SIFT score means more deleterious</w:t>
      </w:r>
      <w:r w:rsidR="00675CA5">
        <w:rPr>
          <w:rFonts w:ascii="Times New Roman" w:hAnsi="Times New Roman" w:cs="Times New Roman"/>
          <w:sz w:val="24"/>
          <w:szCs w:val="24"/>
        </w:rPr>
        <w:t xml:space="preserve">. </w:t>
      </w:r>
      <w:r w:rsidR="00F713E4">
        <w:rPr>
          <w:rFonts w:ascii="Times New Roman" w:hAnsi="Times New Roman" w:cs="Times New Roman"/>
          <w:sz w:val="24"/>
          <w:szCs w:val="24"/>
        </w:rPr>
        <w:t>Each blue violin plot represents t</w:t>
      </w:r>
      <w:r w:rsidR="00675CA5">
        <w:rPr>
          <w:rFonts w:ascii="Times New Roman" w:hAnsi="Times New Roman" w:cs="Times New Roman"/>
          <w:sz w:val="24"/>
          <w:szCs w:val="24"/>
        </w:rPr>
        <w:t>he distribution of SIFT scores at each position in the TPR motif</w:t>
      </w:r>
      <w:r w:rsidR="00F713E4">
        <w:rPr>
          <w:rFonts w:ascii="Times New Roman" w:hAnsi="Times New Roman" w:cs="Times New Roman"/>
          <w:sz w:val="24"/>
          <w:szCs w:val="24"/>
        </w:rPr>
        <w:t>,</w:t>
      </w:r>
      <w:r w:rsidR="00675CA5">
        <w:rPr>
          <w:rFonts w:ascii="Times New Roman" w:hAnsi="Times New Roman" w:cs="Times New Roman"/>
          <w:sz w:val="24"/>
          <w:szCs w:val="24"/>
        </w:rPr>
        <w:t xml:space="preserve"> </w:t>
      </w:r>
      <w:r w:rsidR="00F713E4">
        <w:rPr>
          <w:rFonts w:ascii="Times New Roman" w:hAnsi="Times New Roman" w:cs="Times New Roman"/>
          <w:sz w:val="24"/>
          <w:szCs w:val="24"/>
        </w:rPr>
        <w:t xml:space="preserve">with the width of the plot approximating frequency density and the black dot denoting the median SIFT score. The distribution provides </w:t>
      </w:r>
      <w:r w:rsidR="005779F6">
        <w:rPr>
          <w:rFonts w:ascii="Times New Roman" w:hAnsi="Times New Roman" w:cs="Times New Roman"/>
          <w:sz w:val="24"/>
          <w:szCs w:val="24"/>
        </w:rPr>
        <w:t xml:space="preserve">an estimation of the selective constraints based on intra-species comparison. </w:t>
      </w:r>
      <w:r w:rsidR="00F713E4">
        <w:rPr>
          <w:rFonts w:ascii="Times New Roman" w:hAnsi="Times New Roman" w:cs="Times New Roman"/>
          <w:sz w:val="24"/>
          <w:szCs w:val="24"/>
        </w:rPr>
        <w:t xml:space="preserve">(b) For each SNV, the </w:t>
      </w:r>
      <w:r w:rsidR="00A65459">
        <w:rPr>
          <w:rFonts w:ascii="Times New Roman" w:hAnsi="Times New Roman" w:cs="Times New Roman"/>
          <w:sz w:val="24"/>
          <w:szCs w:val="24"/>
        </w:rPr>
        <w:t xml:space="preserve">minor </w:t>
      </w:r>
      <w:r w:rsidR="00F713E4">
        <w:rPr>
          <w:rFonts w:ascii="Times New Roman" w:hAnsi="Times New Roman" w:cs="Times New Roman"/>
          <w:sz w:val="24"/>
          <w:szCs w:val="24"/>
        </w:rPr>
        <w:t xml:space="preserve">allele frequency </w:t>
      </w:r>
      <w:r w:rsidR="00A65459">
        <w:rPr>
          <w:rFonts w:ascii="Times New Roman" w:hAnsi="Times New Roman" w:cs="Times New Roman"/>
          <w:sz w:val="24"/>
          <w:szCs w:val="24"/>
        </w:rPr>
        <w:t xml:space="preserve">(MAF) </w:t>
      </w:r>
      <w:r w:rsidR="00F713E4">
        <w:rPr>
          <w:rFonts w:ascii="Times New Roman" w:hAnsi="Times New Roman" w:cs="Times New Roman"/>
          <w:sz w:val="24"/>
          <w:szCs w:val="24"/>
        </w:rPr>
        <w:t xml:space="preserve">in the human population can determine </w:t>
      </w:r>
      <w:r w:rsidR="00A65459">
        <w:rPr>
          <w:rFonts w:ascii="Times New Roman" w:hAnsi="Times New Roman" w:cs="Times New Roman"/>
          <w:sz w:val="24"/>
          <w:szCs w:val="24"/>
        </w:rPr>
        <w:t>whether an SNV is rare (MAF ≤ 0.005) or otherwise, common.</w:t>
      </w:r>
      <w:r w:rsidR="00FE6ADD">
        <w:rPr>
          <w:rFonts w:ascii="Times New Roman" w:hAnsi="Times New Roman" w:cs="Times New Roman"/>
          <w:sz w:val="24"/>
          <w:szCs w:val="24"/>
        </w:rPr>
        <w:t xml:space="preserve"> The log ratio of the number of rare versus common variants (log R/C) represents the enrichment of rare variants, which has been used as a metric for estimating selective constraints based on intra-species comparison.</w:t>
      </w:r>
      <w:r w:rsidR="00A65459">
        <w:rPr>
          <w:rFonts w:ascii="Times New Roman" w:hAnsi="Times New Roman" w:cs="Times New Roman"/>
          <w:sz w:val="24"/>
          <w:szCs w:val="24"/>
        </w:rPr>
        <w:t xml:space="preserve"> </w:t>
      </w:r>
      <w:r w:rsidR="00FE6ADD">
        <w:rPr>
          <w:rFonts w:ascii="Times New Roman" w:hAnsi="Times New Roman" w:cs="Times New Roman"/>
          <w:sz w:val="24"/>
          <w:szCs w:val="24"/>
        </w:rPr>
        <w:t>All positions have an enrichment of rare variants, with position 25 having no common variants (log ratio with a zero denominator is undefined). (c) We can also calculate the log ratio of non-syn</w:t>
      </w:r>
      <w:r w:rsidR="00920B9A">
        <w:rPr>
          <w:rFonts w:ascii="Times New Roman" w:hAnsi="Times New Roman" w:cs="Times New Roman"/>
          <w:sz w:val="24"/>
          <w:szCs w:val="24"/>
        </w:rPr>
        <w:t xml:space="preserve">onymous (NS) versus synonymous (S) SNVs. A depletion of NS variants with respect to the background of S SNVs suggests a position might be functionally significant. </w:t>
      </w:r>
      <w:r w:rsidR="00F713E4">
        <w:rPr>
          <w:rFonts w:ascii="Times New Roman" w:hAnsi="Times New Roman" w:cs="Times New Roman"/>
          <w:sz w:val="24"/>
          <w:szCs w:val="24"/>
        </w:rPr>
        <w:t>(d) The five positions with the least median SIFT scores are numbered in blue according to their rank (there are four positions tied at rank 2).</w:t>
      </w:r>
      <w:r w:rsidR="00920B9A">
        <w:rPr>
          <w:rFonts w:ascii="Times New Roman" w:hAnsi="Times New Roman" w:cs="Times New Roman"/>
          <w:sz w:val="24"/>
          <w:szCs w:val="24"/>
        </w:rPr>
        <w:t xml:space="preserve"> The five positions with the lowest log (NS/S) are ranked in red. The top five most conserved positions in the TPR motif are highlighted in yellow.</w:t>
      </w:r>
      <w:r w:rsidR="00C760B3">
        <w:rPr>
          <w:rFonts w:ascii="Times New Roman" w:hAnsi="Times New Roman" w:cs="Times New Roman"/>
          <w:sz w:val="24"/>
          <w:szCs w:val="24"/>
        </w:rPr>
        <w:t xml:space="preserve"> There are seven candidate positions which fulfil at least one of the above criteria of the lowest SIFT median scores, log(NS/S) and motif-MSA sequence conservation, with four positions satisfying at least two.</w:t>
      </w:r>
    </w:p>
    <w:p w:rsidR="00C760B3" w:rsidRDefault="00C760B3" w:rsidP="002820B9">
      <w:pPr>
        <w:spacing w:after="0" w:line="240" w:lineRule="auto"/>
        <w:rPr>
          <w:rFonts w:ascii="Times New Roman" w:hAnsi="Times New Roman" w:cs="Times New Roman"/>
          <w:sz w:val="24"/>
          <w:szCs w:val="24"/>
        </w:rPr>
      </w:pPr>
    </w:p>
    <w:p w:rsidR="00C760B3" w:rsidRPr="00C760B3" w:rsidRDefault="00C760B3" w:rsidP="00C760B3">
      <w:pPr>
        <w:rPr>
          <w:rFonts w:ascii="Times New Roman" w:hAnsi="Times New Roman" w:cs="Times New Roman"/>
          <w:bCs/>
          <w:sz w:val="24"/>
          <w:szCs w:val="24"/>
        </w:rPr>
      </w:pPr>
      <w:r w:rsidRPr="00C760B3">
        <w:rPr>
          <w:rFonts w:ascii="Times New Roman" w:hAnsi="Times New Roman" w:cs="Times New Roman"/>
          <w:b/>
          <w:bCs/>
          <w:sz w:val="24"/>
          <w:szCs w:val="24"/>
        </w:rPr>
        <w:lastRenderedPageBreak/>
        <w:t>Figure 4. Mapping genomic information onto protein structures and disease-related mutation data.</w:t>
      </w:r>
      <w:r>
        <w:rPr>
          <w:rFonts w:ascii="Times New Roman" w:hAnsi="Times New Roman" w:cs="Times New Roman"/>
          <w:b/>
          <w:bCs/>
          <w:sz w:val="24"/>
          <w:szCs w:val="24"/>
        </w:rPr>
        <w:t xml:space="preserve"> </w:t>
      </w:r>
      <w:r>
        <w:rPr>
          <w:rFonts w:ascii="Times New Roman" w:hAnsi="Times New Roman" w:cs="Times New Roman"/>
          <w:bCs/>
          <w:sz w:val="24"/>
          <w:szCs w:val="24"/>
        </w:rPr>
        <w:t xml:space="preserve">(a) </w:t>
      </w:r>
      <w:r w:rsidRPr="00C760B3">
        <w:rPr>
          <w:rFonts w:ascii="Times New Roman" w:hAnsi="Times New Roman" w:cs="Times New Roman"/>
          <w:bCs/>
          <w:sz w:val="24"/>
          <w:szCs w:val="24"/>
        </w:rPr>
        <w:t xml:space="preserve">We choose the TPR domain, TPR1, found on the </w:t>
      </w:r>
      <w:proofErr w:type="spellStart"/>
      <w:r w:rsidRPr="00C760B3">
        <w:rPr>
          <w:rFonts w:ascii="Times New Roman" w:hAnsi="Times New Roman" w:cs="Times New Roman"/>
          <w:bCs/>
          <w:sz w:val="24"/>
          <w:szCs w:val="24"/>
        </w:rPr>
        <w:t>Hsp</w:t>
      </w:r>
      <w:proofErr w:type="spellEnd"/>
      <w:r w:rsidRPr="00C760B3">
        <w:rPr>
          <w:rFonts w:ascii="Times New Roman" w:hAnsi="Times New Roman" w:cs="Times New Roman"/>
          <w:bCs/>
          <w:sz w:val="24"/>
          <w:szCs w:val="24"/>
        </w:rPr>
        <w:t>-organizing protein (HOP; PDB ID: 1EL</w:t>
      </w:r>
      <w:r>
        <w:rPr>
          <w:rFonts w:ascii="Times New Roman" w:hAnsi="Times New Roman" w:cs="Times New Roman"/>
          <w:bCs/>
          <w:sz w:val="24"/>
          <w:szCs w:val="24"/>
        </w:rPr>
        <w:t>W), as a basis of mapping candidate positions.</w:t>
      </w:r>
      <w:r w:rsidRPr="00C760B3">
        <w:rPr>
          <w:rFonts w:ascii="Times New Roman" w:hAnsi="Times New Roman" w:cs="Times New Roman"/>
          <w:bCs/>
          <w:sz w:val="24"/>
          <w:szCs w:val="24"/>
        </w:rPr>
        <w:t xml:space="preserve"> TPR1 contains three 34-amino-acid TPR motifs</w:t>
      </w:r>
      <w:r>
        <w:rPr>
          <w:rFonts w:ascii="Times New Roman" w:hAnsi="Times New Roman" w:cs="Times New Roman"/>
          <w:bCs/>
          <w:sz w:val="24"/>
          <w:szCs w:val="24"/>
        </w:rPr>
        <w:t xml:space="preserve"> (e.g. there are three position 20s)</w:t>
      </w:r>
      <w:r w:rsidRPr="00C760B3">
        <w:rPr>
          <w:rFonts w:ascii="Times New Roman" w:hAnsi="Times New Roman" w:cs="Times New Roman"/>
          <w:bCs/>
          <w:sz w:val="24"/>
          <w:szCs w:val="24"/>
        </w:rPr>
        <w:t>. We find that all positions with high selective constraints are found buried within the PPI domains</w:t>
      </w:r>
      <w:r w:rsidR="008E205E">
        <w:rPr>
          <w:rFonts w:ascii="Times New Roman" w:hAnsi="Times New Roman" w:cs="Times New Roman"/>
          <w:bCs/>
          <w:sz w:val="24"/>
          <w:szCs w:val="24"/>
        </w:rPr>
        <w:t xml:space="preserve"> </w:t>
      </w:r>
      <w:r w:rsidR="008E205E" w:rsidRPr="00C760B3">
        <w:rPr>
          <w:rFonts w:ascii="Times New Roman" w:hAnsi="Times New Roman" w:cs="Times New Roman"/>
          <w:bCs/>
          <w:sz w:val="24"/>
          <w:szCs w:val="24"/>
        </w:rPr>
        <w:t>(red residues on protein structure)</w:t>
      </w:r>
      <w:r w:rsidRPr="00C760B3">
        <w:rPr>
          <w:rFonts w:ascii="Times New Roman" w:hAnsi="Times New Roman" w:cs="Times New Roman"/>
          <w:bCs/>
          <w:sz w:val="24"/>
          <w:szCs w:val="24"/>
        </w:rPr>
        <w:t>, except for position 17 on each of the TPR motifs. The colors are overlaid in order: positions with lowest median SIFT scores (light blue</w:t>
      </w:r>
      <w:r w:rsidR="00DF1E51">
        <w:rPr>
          <w:rFonts w:ascii="Times New Roman" w:hAnsi="Times New Roman" w:cs="Times New Roman"/>
          <w:bCs/>
          <w:sz w:val="24"/>
          <w:szCs w:val="24"/>
        </w:rPr>
        <w:t xml:space="preserve"> numbers</w:t>
      </w:r>
      <w:r w:rsidRPr="00C760B3">
        <w:rPr>
          <w:rFonts w:ascii="Times New Roman" w:hAnsi="Times New Roman" w:cs="Times New Roman"/>
          <w:bCs/>
          <w:sz w:val="24"/>
          <w:szCs w:val="24"/>
        </w:rPr>
        <w:t xml:space="preserve"> and residues in structure), with lowest </w:t>
      </w:r>
      <w:proofErr w:type="gramStart"/>
      <w:r w:rsidRPr="00C760B3">
        <w:rPr>
          <w:rFonts w:ascii="Times New Roman" w:hAnsi="Times New Roman" w:cs="Times New Roman"/>
          <w:bCs/>
          <w:sz w:val="24"/>
          <w:szCs w:val="24"/>
        </w:rPr>
        <w:t>log(</w:t>
      </w:r>
      <w:proofErr w:type="gramEnd"/>
      <w:r w:rsidRPr="00C760B3">
        <w:rPr>
          <w:rFonts w:ascii="Times New Roman" w:hAnsi="Times New Roman" w:cs="Times New Roman"/>
          <w:bCs/>
          <w:sz w:val="24"/>
          <w:szCs w:val="24"/>
        </w:rPr>
        <w:t xml:space="preserve">NS/S) (red </w:t>
      </w:r>
      <w:r w:rsidR="00DF1E51">
        <w:rPr>
          <w:rFonts w:ascii="Times New Roman" w:hAnsi="Times New Roman" w:cs="Times New Roman"/>
          <w:bCs/>
          <w:sz w:val="24"/>
          <w:szCs w:val="24"/>
        </w:rPr>
        <w:t xml:space="preserve">numbers </w:t>
      </w:r>
      <w:r w:rsidRPr="00C760B3">
        <w:rPr>
          <w:rFonts w:ascii="Times New Roman" w:hAnsi="Times New Roman" w:cs="Times New Roman"/>
          <w:bCs/>
          <w:sz w:val="24"/>
          <w:szCs w:val="24"/>
        </w:rPr>
        <w:t>and residues in structure), then finally positions with highest sequence conservation in the motif-MSA profile (</w:t>
      </w:r>
      <w:r w:rsidR="00DF1E51">
        <w:rPr>
          <w:rFonts w:ascii="Times New Roman" w:hAnsi="Times New Roman" w:cs="Times New Roman"/>
          <w:bCs/>
          <w:sz w:val="24"/>
          <w:szCs w:val="24"/>
        </w:rPr>
        <w:t xml:space="preserve">orange </w:t>
      </w:r>
      <w:r w:rsidRPr="00C760B3">
        <w:rPr>
          <w:rFonts w:ascii="Times New Roman" w:hAnsi="Times New Roman" w:cs="Times New Roman"/>
          <w:bCs/>
          <w:sz w:val="24"/>
          <w:szCs w:val="24"/>
        </w:rPr>
        <w:t xml:space="preserve">highlights </w:t>
      </w:r>
      <w:r>
        <w:rPr>
          <w:rFonts w:ascii="Times New Roman" w:hAnsi="Times New Roman" w:cs="Times New Roman"/>
          <w:bCs/>
          <w:sz w:val="24"/>
          <w:szCs w:val="24"/>
        </w:rPr>
        <w:t xml:space="preserve">in motif sequence </w:t>
      </w:r>
      <w:r w:rsidRPr="00C760B3">
        <w:rPr>
          <w:rFonts w:ascii="Times New Roman" w:hAnsi="Times New Roman" w:cs="Times New Roman"/>
          <w:bCs/>
          <w:sz w:val="24"/>
          <w:szCs w:val="24"/>
        </w:rPr>
        <w:t>and residues in structure). The ligand-binding convex profile of the TPR1 domain (the cognate ligand is represented by the green stick sticks) is rotated 180</w:t>
      </w:r>
      <w:r w:rsidRPr="008E205E">
        <w:rPr>
          <w:rFonts w:ascii="Times New Roman" w:hAnsi="Times New Roman" w:cs="Times New Roman"/>
          <w:bCs/>
          <w:sz w:val="24"/>
          <w:szCs w:val="24"/>
          <w:vertAlign w:val="superscript"/>
        </w:rPr>
        <w:t>o</w:t>
      </w:r>
      <w:r w:rsidRPr="00C760B3">
        <w:rPr>
          <w:rFonts w:ascii="Times New Roman" w:hAnsi="Times New Roman" w:cs="Times New Roman"/>
          <w:bCs/>
          <w:sz w:val="24"/>
          <w:szCs w:val="24"/>
        </w:rPr>
        <w:t xml:space="preserve"> to reveal the concave profile of the same TPR1 domain.</w:t>
      </w:r>
      <w:r w:rsidR="00DF1E51">
        <w:rPr>
          <w:rFonts w:ascii="Times New Roman" w:hAnsi="Times New Roman" w:cs="Times New Roman"/>
          <w:bCs/>
          <w:sz w:val="24"/>
          <w:szCs w:val="24"/>
        </w:rPr>
        <w:t xml:space="preserve"> (b) We also use two databases, </w:t>
      </w:r>
      <w:proofErr w:type="spellStart"/>
      <w:r w:rsidR="00DF1E51">
        <w:rPr>
          <w:rFonts w:ascii="Times New Roman" w:hAnsi="Times New Roman" w:cs="Times New Roman"/>
          <w:bCs/>
          <w:sz w:val="24"/>
          <w:szCs w:val="24"/>
        </w:rPr>
        <w:t>ClinVar</w:t>
      </w:r>
      <w:proofErr w:type="spellEnd"/>
      <w:r w:rsidR="00DF1E51">
        <w:rPr>
          <w:rFonts w:ascii="Times New Roman" w:hAnsi="Times New Roman" w:cs="Times New Roman"/>
          <w:bCs/>
          <w:sz w:val="24"/>
          <w:szCs w:val="24"/>
        </w:rPr>
        <w:t xml:space="preserve"> and HGMD, to demonstrate which TPR motif positions accumulates more clinically-relevant and disease-related SNVs.</w:t>
      </w:r>
    </w:p>
    <w:p w:rsidR="00C760B3" w:rsidRDefault="00C760B3" w:rsidP="002820B9">
      <w:pPr>
        <w:spacing w:after="0" w:line="240" w:lineRule="auto"/>
        <w:rPr>
          <w:rFonts w:ascii="Times New Roman" w:hAnsi="Times New Roman" w:cs="Times New Roman"/>
          <w:sz w:val="24"/>
          <w:szCs w:val="24"/>
        </w:rPr>
      </w:pPr>
    </w:p>
    <w:p w:rsidR="005779F6" w:rsidRDefault="0038137D" w:rsidP="002820B9">
      <w:pPr>
        <w:spacing w:after="0" w:line="240" w:lineRule="auto"/>
        <w:rPr>
          <w:rFonts w:ascii="Times New Roman" w:hAnsi="Times New Roman" w:cs="Times New Roman"/>
          <w:sz w:val="24"/>
          <w:szCs w:val="24"/>
        </w:rPr>
      </w:pPr>
      <w:r w:rsidRPr="0038137D">
        <w:rPr>
          <w:rFonts w:ascii="Times New Roman" w:hAnsi="Times New Roman" w:cs="Times New Roman"/>
          <w:b/>
          <w:sz w:val="24"/>
          <w:szCs w:val="24"/>
        </w:rPr>
        <w:t>Supplementary Figure 1</w:t>
      </w:r>
      <w:r w:rsidR="00DF1E51" w:rsidRPr="0038137D">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The most frequent size of the TPR motif is 34 amino acids.</w:t>
      </w:r>
    </w:p>
    <w:p w:rsidR="0038137D" w:rsidRDefault="0038137D" w:rsidP="002820B9">
      <w:pPr>
        <w:spacing w:after="0" w:line="240" w:lineRule="auto"/>
        <w:rPr>
          <w:rFonts w:ascii="Times New Roman" w:hAnsi="Times New Roman" w:cs="Times New Roman"/>
          <w:sz w:val="24"/>
          <w:szCs w:val="24"/>
        </w:rPr>
      </w:pPr>
    </w:p>
    <w:p w:rsidR="0038137D" w:rsidRDefault="0065782D" w:rsidP="002820B9">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Supplementary Figure 2. </w:t>
      </w:r>
      <w:r>
        <w:rPr>
          <w:rFonts w:ascii="Times New Roman" w:hAnsi="Times New Roman" w:cs="Times New Roman"/>
          <w:sz w:val="24"/>
          <w:szCs w:val="24"/>
        </w:rPr>
        <w:t>We compare</w:t>
      </w:r>
      <w:r w:rsidR="0038137D">
        <w:rPr>
          <w:rFonts w:ascii="Times New Roman" w:hAnsi="Times New Roman" w:cs="Times New Roman"/>
          <w:sz w:val="24"/>
          <w:szCs w:val="24"/>
        </w:rPr>
        <w:t xml:space="preserve"> the utility among three variant sets, namely from 1000 Genomes Project Phase 1 (1000GP</w:t>
      </w:r>
      <w:r>
        <w:rPr>
          <w:rFonts w:ascii="Times New Roman" w:hAnsi="Times New Roman" w:cs="Times New Roman"/>
          <w:sz w:val="24"/>
          <w:szCs w:val="24"/>
        </w:rPr>
        <w:t>; green bars</w:t>
      </w:r>
      <w:r w:rsidR="0038137D">
        <w:rPr>
          <w:rFonts w:ascii="Times New Roman" w:hAnsi="Times New Roman" w:cs="Times New Roman"/>
          <w:sz w:val="24"/>
          <w:szCs w:val="24"/>
        </w:rPr>
        <w:t>), the combined set of 1000GP and the Exome Sequencing Project (</w:t>
      </w:r>
      <w:r>
        <w:rPr>
          <w:rFonts w:ascii="Times New Roman" w:hAnsi="Times New Roman" w:cs="Times New Roman"/>
          <w:sz w:val="24"/>
          <w:szCs w:val="24"/>
        </w:rPr>
        <w:t>1000GP+</w:t>
      </w:r>
      <w:r w:rsidR="0038137D">
        <w:rPr>
          <w:rFonts w:ascii="Times New Roman" w:hAnsi="Times New Roman" w:cs="Times New Roman"/>
          <w:sz w:val="24"/>
          <w:szCs w:val="24"/>
        </w:rPr>
        <w:t>ESP6500</w:t>
      </w:r>
      <w:r>
        <w:rPr>
          <w:rFonts w:ascii="Times New Roman" w:hAnsi="Times New Roman" w:cs="Times New Roman"/>
          <w:sz w:val="24"/>
          <w:szCs w:val="24"/>
        </w:rPr>
        <w:t>; blue bars</w:t>
      </w:r>
      <w:r w:rsidR="0038137D">
        <w:rPr>
          <w:rFonts w:ascii="Times New Roman" w:hAnsi="Times New Roman" w:cs="Times New Roman"/>
          <w:sz w:val="24"/>
          <w:szCs w:val="24"/>
        </w:rPr>
        <w:t xml:space="preserve">) and </w:t>
      </w:r>
      <w:r>
        <w:rPr>
          <w:rFonts w:ascii="Times New Roman" w:hAnsi="Times New Roman" w:cs="Times New Roman"/>
          <w:sz w:val="24"/>
          <w:szCs w:val="24"/>
        </w:rPr>
        <w:t xml:space="preserve">the ExAC dataset. We can see that there are subtle differences in </w:t>
      </w:r>
      <w:proofErr w:type="gramStart"/>
      <w:r>
        <w:rPr>
          <w:rFonts w:ascii="Times New Roman" w:hAnsi="Times New Roman" w:cs="Times New Roman"/>
          <w:sz w:val="24"/>
          <w:szCs w:val="24"/>
        </w:rPr>
        <w:t>log(</w:t>
      </w:r>
      <w:proofErr w:type="gramEnd"/>
      <w:r>
        <w:rPr>
          <w:rFonts w:ascii="Times New Roman" w:hAnsi="Times New Roman" w:cs="Times New Roman"/>
          <w:sz w:val="24"/>
          <w:szCs w:val="24"/>
        </w:rPr>
        <w:t>NS/S) for each position along the TPR motif, when using variant datasets from 1000GP to 1000GP+ESP6500. We were able to make meaningful interpretations only when we use variant data from ExAC (grey bars).</w:t>
      </w:r>
    </w:p>
    <w:p w:rsidR="0065782D" w:rsidRDefault="0065782D" w:rsidP="002820B9">
      <w:pPr>
        <w:spacing w:after="0" w:line="240" w:lineRule="auto"/>
        <w:rPr>
          <w:rFonts w:ascii="Times New Roman" w:hAnsi="Times New Roman" w:cs="Times New Roman"/>
          <w:sz w:val="24"/>
          <w:szCs w:val="24"/>
        </w:rPr>
      </w:pPr>
    </w:p>
    <w:p w:rsidR="0065782D" w:rsidRDefault="0065782D" w:rsidP="002820B9">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Supplementary Table 1. </w:t>
      </w:r>
      <w:r w:rsidR="00255C5C" w:rsidRPr="00255C5C">
        <w:rPr>
          <w:rFonts w:ascii="Times New Roman" w:hAnsi="Times New Roman" w:cs="Times New Roman"/>
          <w:sz w:val="24"/>
          <w:szCs w:val="24"/>
        </w:rPr>
        <w:t>The 1000 Genomes Project (1000GP) provides the least number of autosomal SNVs, followed by an approximate 6-fold increase in number of exomes in the combined set of 1000GP and Exome Sequencing Project (ESP6500); this is a corresponding ~3-fold increase in the number of autosomal SNVs. Our study uses the dataset from ExAC, with 60,706 individuals, an almost 8-fold increase from the combined set of 1000GP+ESP6500; this is a corresponding ~5-fold increase in the number of autosomal SNVs.</w:t>
      </w:r>
    </w:p>
    <w:p w:rsidR="00255C5C" w:rsidRDefault="00255C5C" w:rsidP="002820B9">
      <w:pPr>
        <w:spacing w:after="0" w:line="240" w:lineRule="auto"/>
        <w:rPr>
          <w:rFonts w:ascii="Times New Roman" w:hAnsi="Times New Roman" w:cs="Times New Roman"/>
          <w:sz w:val="24"/>
          <w:szCs w:val="24"/>
        </w:rPr>
      </w:pPr>
    </w:p>
    <w:p w:rsidR="00255C5C" w:rsidRPr="00255C5C" w:rsidRDefault="00255C5C" w:rsidP="002820B9">
      <w:pPr>
        <w:spacing w:after="0" w:line="240" w:lineRule="auto"/>
        <w:rPr>
          <w:rFonts w:ascii="Times New Roman" w:hAnsi="Times New Roman" w:cs="Times New Roman"/>
          <w:sz w:val="24"/>
          <w:szCs w:val="24"/>
        </w:rPr>
      </w:pPr>
      <w:r w:rsidRPr="00CF2CEA">
        <w:rPr>
          <w:rFonts w:ascii="Times New Roman" w:hAnsi="Times New Roman" w:cs="Times New Roman"/>
          <w:b/>
          <w:sz w:val="24"/>
          <w:szCs w:val="24"/>
        </w:rPr>
        <w:t>Supplementary Table 2.</w:t>
      </w:r>
      <w:r>
        <w:rPr>
          <w:rFonts w:ascii="Times New Roman" w:hAnsi="Times New Roman" w:cs="Times New Roman"/>
          <w:sz w:val="24"/>
          <w:szCs w:val="24"/>
        </w:rPr>
        <w:t xml:space="preserve"> The lists of repeat and non-repeat domains that we performed the motif-MSA approach and are included in the </w:t>
      </w:r>
      <w:proofErr w:type="spellStart"/>
      <w:r>
        <w:rPr>
          <w:rFonts w:ascii="Times New Roman" w:hAnsi="Times New Roman" w:cs="Times New Roman"/>
          <w:i/>
          <w:sz w:val="24"/>
          <w:szCs w:val="24"/>
        </w:rPr>
        <w:t>MotifVar</w:t>
      </w:r>
      <w:proofErr w:type="spellEnd"/>
      <w:r>
        <w:rPr>
          <w:rFonts w:ascii="Times New Roman" w:hAnsi="Times New Roman" w:cs="Times New Roman"/>
          <w:sz w:val="24"/>
          <w:szCs w:val="24"/>
        </w:rPr>
        <w:t xml:space="preserve"> repository.</w:t>
      </w:r>
    </w:p>
    <w:sectPr w:rsidR="00255C5C" w:rsidRPr="00255C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54F"/>
    <w:rsid w:val="00006816"/>
    <w:rsid w:val="00007C1E"/>
    <w:rsid w:val="0001287D"/>
    <w:rsid w:val="00012E43"/>
    <w:rsid w:val="0001337C"/>
    <w:rsid w:val="00014EF9"/>
    <w:rsid w:val="000156B2"/>
    <w:rsid w:val="00022C13"/>
    <w:rsid w:val="00030949"/>
    <w:rsid w:val="000331E4"/>
    <w:rsid w:val="00040816"/>
    <w:rsid w:val="0004319A"/>
    <w:rsid w:val="000524E8"/>
    <w:rsid w:val="000668E3"/>
    <w:rsid w:val="000720E8"/>
    <w:rsid w:val="00074A57"/>
    <w:rsid w:val="00075193"/>
    <w:rsid w:val="00076ACB"/>
    <w:rsid w:val="00080ABF"/>
    <w:rsid w:val="00080F60"/>
    <w:rsid w:val="00082EFE"/>
    <w:rsid w:val="000B089E"/>
    <w:rsid w:val="000B5702"/>
    <w:rsid w:val="000B6370"/>
    <w:rsid w:val="000C666C"/>
    <w:rsid w:val="000C6A83"/>
    <w:rsid w:val="000C7189"/>
    <w:rsid w:val="000D273F"/>
    <w:rsid w:val="000E16DC"/>
    <w:rsid w:val="000F14A5"/>
    <w:rsid w:val="0010721F"/>
    <w:rsid w:val="00110617"/>
    <w:rsid w:val="00112CDB"/>
    <w:rsid w:val="00115F50"/>
    <w:rsid w:val="00116518"/>
    <w:rsid w:val="00121AE8"/>
    <w:rsid w:val="00126CD2"/>
    <w:rsid w:val="00132CB1"/>
    <w:rsid w:val="00134900"/>
    <w:rsid w:val="00135C8D"/>
    <w:rsid w:val="00136CD8"/>
    <w:rsid w:val="001473A9"/>
    <w:rsid w:val="001506AC"/>
    <w:rsid w:val="00151B1D"/>
    <w:rsid w:val="00154CB0"/>
    <w:rsid w:val="00154CD7"/>
    <w:rsid w:val="00161408"/>
    <w:rsid w:val="00162F29"/>
    <w:rsid w:val="00162F84"/>
    <w:rsid w:val="001677F1"/>
    <w:rsid w:val="0017353E"/>
    <w:rsid w:val="00174D4F"/>
    <w:rsid w:val="001775B2"/>
    <w:rsid w:val="001814C5"/>
    <w:rsid w:val="00181EC3"/>
    <w:rsid w:val="00185739"/>
    <w:rsid w:val="0018689C"/>
    <w:rsid w:val="0019578F"/>
    <w:rsid w:val="0019742F"/>
    <w:rsid w:val="001A5A61"/>
    <w:rsid w:val="001C40D8"/>
    <w:rsid w:val="001D2366"/>
    <w:rsid w:val="001F13D1"/>
    <w:rsid w:val="0020288A"/>
    <w:rsid w:val="002034B0"/>
    <w:rsid w:val="00203F96"/>
    <w:rsid w:val="00204DA7"/>
    <w:rsid w:val="00210046"/>
    <w:rsid w:val="00210D49"/>
    <w:rsid w:val="0021124C"/>
    <w:rsid w:val="00215926"/>
    <w:rsid w:val="002171BC"/>
    <w:rsid w:val="00217E6D"/>
    <w:rsid w:val="00222C9A"/>
    <w:rsid w:val="0022335E"/>
    <w:rsid w:val="00230D61"/>
    <w:rsid w:val="00242525"/>
    <w:rsid w:val="002437B7"/>
    <w:rsid w:val="00251E79"/>
    <w:rsid w:val="00255A55"/>
    <w:rsid w:val="00255C5C"/>
    <w:rsid w:val="00265BFD"/>
    <w:rsid w:val="00266C46"/>
    <w:rsid w:val="002711B9"/>
    <w:rsid w:val="00271AF6"/>
    <w:rsid w:val="0027363A"/>
    <w:rsid w:val="002800E3"/>
    <w:rsid w:val="002820B9"/>
    <w:rsid w:val="0028564C"/>
    <w:rsid w:val="00293B76"/>
    <w:rsid w:val="002A1634"/>
    <w:rsid w:val="002A1FD7"/>
    <w:rsid w:val="002B369A"/>
    <w:rsid w:val="002B6BE3"/>
    <w:rsid w:val="002C33F8"/>
    <w:rsid w:val="002D7CD7"/>
    <w:rsid w:val="002E0B94"/>
    <w:rsid w:val="002E281D"/>
    <w:rsid w:val="002E3D03"/>
    <w:rsid w:val="002F0AA0"/>
    <w:rsid w:val="002F3476"/>
    <w:rsid w:val="002F3488"/>
    <w:rsid w:val="002F379E"/>
    <w:rsid w:val="002F6574"/>
    <w:rsid w:val="003047C0"/>
    <w:rsid w:val="00304BA3"/>
    <w:rsid w:val="00312C04"/>
    <w:rsid w:val="00316A04"/>
    <w:rsid w:val="00316B59"/>
    <w:rsid w:val="0031719D"/>
    <w:rsid w:val="003245E5"/>
    <w:rsid w:val="00335D76"/>
    <w:rsid w:val="0034707C"/>
    <w:rsid w:val="00347CAF"/>
    <w:rsid w:val="00353D5D"/>
    <w:rsid w:val="00354FDF"/>
    <w:rsid w:val="003556C8"/>
    <w:rsid w:val="00356777"/>
    <w:rsid w:val="00360904"/>
    <w:rsid w:val="0036454F"/>
    <w:rsid w:val="00374C1A"/>
    <w:rsid w:val="00377094"/>
    <w:rsid w:val="0038137D"/>
    <w:rsid w:val="00382757"/>
    <w:rsid w:val="0038325D"/>
    <w:rsid w:val="00386356"/>
    <w:rsid w:val="00397115"/>
    <w:rsid w:val="003B091B"/>
    <w:rsid w:val="003C54C5"/>
    <w:rsid w:val="003C6526"/>
    <w:rsid w:val="003D6128"/>
    <w:rsid w:val="003D6E57"/>
    <w:rsid w:val="003E2F3E"/>
    <w:rsid w:val="003E62AB"/>
    <w:rsid w:val="003F48FE"/>
    <w:rsid w:val="003F61D2"/>
    <w:rsid w:val="00411BE7"/>
    <w:rsid w:val="004120E3"/>
    <w:rsid w:val="00421165"/>
    <w:rsid w:val="0042136E"/>
    <w:rsid w:val="00426C05"/>
    <w:rsid w:val="00433B4F"/>
    <w:rsid w:val="00441AAE"/>
    <w:rsid w:val="00447334"/>
    <w:rsid w:val="00454C86"/>
    <w:rsid w:val="00457F21"/>
    <w:rsid w:val="00461AB6"/>
    <w:rsid w:val="0047721C"/>
    <w:rsid w:val="0049256B"/>
    <w:rsid w:val="004B6ADA"/>
    <w:rsid w:val="004C08F7"/>
    <w:rsid w:val="004C2619"/>
    <w:rsid w:val="004D23B8"/>
    <w:rsid w:val="004D2789"/>
    <w:rsid w:val="004E3E62"/>
    <w:rsid w:val="004E6BB1"/>
    <w:rsid w:val="00500253"/>
    <w:rsid w:val="005003AB"/>
    <w:rsid w:val="005048CC"/>
    <w:rsid w:val="0052140F"/>
    <w:rsid w:val="00531539"/>
    <w:rsid w:val="00536CF7"/>
    <w:rsid w:val="00546984"/>
    <w:rsid w:val="00546A7E"/>
    <w:rsid w:val="0056190B"/>
    <w:rsid w:val="00570023"/>
    <w:rsid w:val="005779F6"/>
    <w:rsid w:val="0058020A"/>
    <w:rsid w:val="005829C1"/>
    <w:rsid w:val="00585E05"/>
    <w:rsid w:val="005909FA"/>
    <w:rsid w:val="005964D9"/>
    <w:rsid w:val="005978D6"/>
    <w:rsid w:val="005A5E97"/>
    <w:rsid w:val="005B1663"/>
    <w:rsid w:val="005C0C7E"/>
    <w:rsid w:val="005C16A7"/>
    <w:rsid w:val="005D15CD"/>
    <w:rsid w:val="005E0B3D"/>
    <w:rsid w:val="005E104E"/>
    <w:rsid w:val="005F5691"/>
    <w:rsid w:val="006144A1"/>
    <w:rsid w:val="006144EA"/>
    <w:rsid w:val="00616EA2"/>
    <w:rsid w:val="00616FD1"/>
    <w:rsid w:val="00635D98"/>
    <w:rsid w:val="006374A8"/>
    <w:rsid w:val="00637C90"/>
    <w:rsid w:val="00641B27"/>
    <w:rsid w:val="00654D33"/>
    <w:rsid w:val="0065782D"/>
    <w:rsid w:val="00657B88"/>
    <w:rsid w:val="00671783"/>
    <w:rsid w:val="00675CA5"/>
    <w:rsid w:val="006773C8"/>
    <w:rsid w:val="00681863"/>
    <w:rsid w:val="0068524B"/>
    <w:rsid w:val="00687341"/>
    <w:rsid w:val="0069002A"/>
    <w:rsid w:val="006938C5"/>
    <w:rsid w:val="006A1568"/>
    <w:rsid w:val="006A1EB1"/>
    <w:rsid w:val="006B0F24"/>
    <w:rsid w:val="006B3477"/>
    <w:rsid w:val="006B37B8"/>
    <w:rsid w:val="006C5C7D"/>
    <w:rsid w:val="006D0890"/>
    <w:rsid w:val="006D09B2"/>
    <w:rsid w:val="006D7A1F"/>
    <w:rsid w:val="006E3530"/>
    <w:rsid w:val="006E5449"/>
    <w:rsid w:val="006E6705"/>
    <w:rsid w:val="006E75D8"/>
    <w:rsid w:val="006E76FA"/>
    <w:rsid w:val="007021B7"/>
    <w:rsid w:val="00713124"/>
    <w:rsid w:val="00715308"/>
    <w:rsid w:val="00722502"/>
    <w:rsid w:val="0073173B"/>
    <w:rsid w:val="00732FF7"/>
    <w:rsid w:val="00740061"/>
    <w:rsid w:val="007443C4"/>
    <w:rsid w:val="00751EF2"/>
    <w:rsid w:val="007658BF"/>
    <w:rsid w:val="007671FE"/>
    <w:rsid w:val="00771F7A"/>
    <w:rsid w:val="00774FCD"/>
    <w:rsid w:val="007827AE"/>
    <w:rsid w:val="00785438"/>
    <w:rsid w:val="0079217C"/>
    <w:rsid w:val="007B2CC1"/>
    <w:rsid w:val="007B6085"/>
    <w:rsid w:val="007B73A9"/>
    <w:rsid w:val="007C0487"/>
    <w:rsid w:val="007D1F64"/>
    <w:rsid w:val="007D56B9"/>
    <w:rsid w:val="007D645E"/>
    <w:rsid w:val="007E08DC"/>
    <w:rsid w:val="007E59B6"/>
    <w:rsid w:val="007E7215"/>
    <w:rsid w:val="007F2908"/>
    <w:rsid w:val="007F3472"/>
    <w:rsid w:val="007F79CC"/>
    <w:rsid w:val="0080214E"/>
    <w:rsid w:val="008063AD"/>
    <w:rsid w:val="00811085"/>
    <w:rsid w:val="00811820"/>
    <w:rsid w:val="00815414"/>
    <w:rsid w:val="00816459"/>
    <w:rsid w:val="00820617"/>
    <w:rsid w:val="008225B8"/>
    <w:rsid w:val="00822708"/>
    <w:rsid w:val="00833E71"/>
    <w:rsid w:val="008432A5"/>
    <w:rsid w:val="0084578D"/>
    <w:rsid w:val="00846109"/>
    <w:rsid w:val="008475B8"/>
    <w:rsid w:val="00851583"/>
    <w:rsid w:val="008639B0"/>
    <w:rsid w:val="00864363"/>
    <w:rsid w:val="00864492"/>
    <w:rsid w:val="00876685"/>
    <w:rsid w:val="0087799E"/>
    <w:rsid w:val="00882674"/>
    <w:rsid w:val="00883219"/>
    <w:rsid w:val="008915A5"/>
    <w:rsid w:val="008B47BE"/>
    <w:rsid w:val="008B4E1A"/>
    <w:rsid w:val="008C5C6A"/>
    <w:rsid w:val="008D5333"/>
    <w:rsid w:val="008E16BE"/>
    <w:rsid w:val="008E205E"/>
    <w:rsid w:val="008E2E13"/>
    <w:rsid w:val="008E3504"/>
    <w:rsid w:val="008E542C"/>
    <w:rsid w:val="008F2345"/>
    <w:rsid w:val="00902926"/>
    <w:rsid w:val="0090446B"/>
    <w:rsid w:val="009138A0"/>
    <w:rsid w:val="00914B27"/>
    <w:rsid w:val="00920B9A"/>
    <w:rsid w:val="00921D02"/>
    <w:rsid w:val="0092226B"/>
    <w:rsid w:val="00922333"/>
    <w:rsid w:val="00930756"/>
    <w:rsid w:val="00931A83"/>
    <w:rsid w:val="0093497F"/>
    <w:rsid w:val="00936A8C"/>
    <w:rsid w:val="009407FF"/>
    <w:rsid w:val="00943180"/>
    <w:rsid w:val="00944C11"/>
    <w:rsid w:val="009454C8"/>
    <w:rsid w:val="009519E7"/>
    <w:rsid w:val="00955106"/>
    <w:rsid w:val="00963722"/>
    <w:rsid w:val="00973ACC"/>
    <w:rsid w:val="00975255"/>
    <w:rsid w:val="00976EB3"/>
    <w:rsid w:val="009809EA"/>
    <w:rsid w:val="0098301E"/>
    <w:rsid w:val="00983093"/>
    <w:rsid w:val="00985AEF"/>
    <w:rsid w:val="00986D35"/>
    <w:rsid w:val="00996ABA"/>
    <w:rsid w:val="009A314F"/>
    <w:rsid w:val="009A5317"/>
    <w:rsid w:val="009A6735"/>
    <w:rsid w:val="009B3577"/>
    <w:rsid w:val="009B4ADF"/>
    <w:rsid w:val="009B7C54"/>
    <w:rsid w:val="009D2C2A"/>
    <w:rsid w:val="009F152D"/>
    <w:rsid w:val="00A04CC9"/>
    <w:rsid w:val="00A06DC9"/>
    <w:rsid w:val="00A14779"/>
    <w:rsid w:val="00A17325"/>
    <w:rsid w:val="00A2200D"/>
    <w:rsid w:val="00A44630"/>
    <w:rsid w:val="00A570ED"/>
    <w:rsid w:val="00A60BCD"/>
    <w:rsid w:val="00A65459"/>
    <w:rsid w:val="00A66156"/>
    <w:rsid w:val="00A769C4"/>
    <w:rsid w:val="00A8393D"/>
    <w:rsid w:val="00A87830"/>
    <w:rsid w:val="00A92147"/>
    <w:rsid w:val="00A9568C"/>
    <w:rsid w:val="00A95ADA"/>
    <w:rsid w:val="00AB66FA"/>
    <w:rsid w:val="00AC37F3"/>
    <w:rsid w:val="00AC4A1E"/>
    <w:rsid w:val="00AC598A"/>
    <w:rsid w:val="00AC741E"/>
    <w:rsid w:val="00AD3FCB"/>
    <w:rsid w:val="00AE492E"/>
    <w:rsid w:val="00AE7AEE"/>
    <w:rsid w:val="00AF01D3"/>
    <w:rsid w:val="00B01C24"/>
    <w:rsid w:val="00B07F12"/>
    <w:rsid w:val="00B120F8"/>
    <w:rsid w:val="00B26830"/>
    <w:rsid w:val="00B2712A"/>
    <w:rsid w:val="00B4343E"/>
    <w:rsid w:val="00B44FC5"/>
    <w:rsid w:val="00B4533E"/>
    <w:rsid w:val="00B469B4"/>
    <w:rsid w:val="00B550FA"/>
    <w:rsid w:val="00B645DC"/>
    <w:rsid w:val="00B81221"/>
    <w:rsid w:val="00B855AC"/>
    <w:rsid w:val="00B86DEE"/>
    <w:rsid w:val="00B90A5F"/>
    <w:rsid w:val="00B95893"/>
    <w:rsid w:val="00BA1AFF"/>
    <w:rsid w:val="00BB7583"/>
    <w:rsid w:val="00BD179C"/>
    <w:rsid w:val="00BE3C13"/>
    <w:rsid w:val="00BE729A"/>
    <w:rsid w:val="00C0133C"/>
    <w:rsid w:val="00C1312B"/>
    <w:rsid w:val="00C161F2"/>
    <w:rsid w:val="00C425FE"/>
    <w:rsid w:val="00C50CD4"/>
    <w:rsid w:val="00C51756"/>
    <w:rsid w:val="00C52E8A"/>
    <w:rsid w:val="00C5539F"/>
    <w:rsid w:val="00C70BAF"/>
    <w:rsid w:val="00C760B3"/>
    <w:rsid w:val="00C912C1"/>
    <w:rsid w:val="00C96CA4"/>
    <w:rsid w:val="00CA53BB"/>
    <w:rsid w:val="00CD5825"/>
    <w:rsid w:val="00CD7E23"/>
    <w:rsid w:val="00CE2BE7"/>
    <w:rsid w:val="00CE31DC"/>
    <w:rsid w:val="00CE5846"/>
    <w:rsid w:val="00CE6110"/>
    <w:rsid w:val="00CF2CEA"/>
    <w:rsid w:val="00CF7308"/>
    <w:rsid w:val="00CF76D1"/>
    <w:rsid w:val="00D019E9"/>
    <w:rsid w:val="00D132A7"/>
    <w:rsid w:val="00D1463B"/>
    <w:rsid w:val="00D14A0B"/>
    <w:rsid w:val="00D24791"/>
    <w:rsid w:val="00D37051"/>
    <w:rsid w:val="00D546C2"/>
    <w:rsid w:val="00D60F7F"/>
    <w:rsid w:val="00D6653A"/>
    <w:rsid w:val="00D66C30"/>
    <w:rsid w:val="00D835D9"/>
    <w:rsid w:val="00D96E3A"/>
    <w:rsid w:val="00D97CDA"/>
    <w:rsid w:val="00D97D60"/>
    <w:rsid w:val="00D97E51"/>
    <w:rsid w:val="00DA38AF"/>
    <w:rsid w:val="00DB01FC"/>
    <w:rsid w:val="00DB105A"/>
    <w:rsid w:val="00DB1D1D"/>
    <w:rsid w:val="00DB1DB9"/>
    <w:rsid w:val="00DC5F09"/>
    <w:rsid w:val="00DD0BF4"/>
    <w:rsid w:val="00DD2700"/>
    <w:rsid w:val="00DD4C99"/>
    <w:rsid w:val="00DD5A3D"/>
    <w:rsid w:val="00DD5C35"/>
    <w:rsid w:val="00DF1B65"/>
    <w:rsid w:val="00DF1E51"/>
    <w:rsid w:val="00DF2FA9"/>
    <w:rsid w:val="00DF35E3"/>
    <w:rsid w:val="00DF6DF3"/>
    <w:rsid w:val="00E07D1B"/>
    <w:rsid w:val="00E12A59"/>
    <w:rsid w:val="00E14036"/>
    <w:rsid w:val="00E16DCF"/>
    <w:rsid w:val="00E17591"/>
    <w:rsid w:val="00E30180"/>
    <w:rsid w:val="00E44585"/>
    <w:rsid w:val="00E44AD0"/>
    <w:rsid w:val="00E65BE9"/>
    <w:rsid w:val="00E65D48"/>
    <w:rsid w:val="00E81261"/>
    <w:rsid w:val="00E812AB"/>
    <w:rsid w:val="00E85D46"/>
    <w:rsid w:val="00E8655C"/>
    <w:rsid w:val="00E97621"/>
    <w:rsid w:val="00EA1356"/>
    <w:rsid w:val="00EA2E40"/>
    <w:rsid w:val="00EA562F"/>
    <w:rsid w:val="00EA6673"/>
    <w:rsid w:val="00EC6A01"/>
    <w:rsid w:val="00EE0851"/>
    <w:rsid w:val="00EE736E"/>
    <w:rsid w:val="00EF3D36"/>
    <w:rsid w:val="00F02C4F"/>
    <w:rsid w:val="00F24CC2"/>
    <w:rsid w:val="00F305AB"/>
    <w:rsid w:val="00F47545"/>
    <w:rsid w:val="00F54902"/>
    <w:rsid w:val="00F568AD"/>
    <w:rsid w:val="00F57260"/>
    <w:rsid w:val="00F62492"/>
    <w:rsid w:val="00F713E4"/>
    <w:rsid w:val="00F85D33"/>
    <w:rsid w:val="00F91807"/>
    <w:rsid w:val="00F953E5"/>
    <w:rsid w:val="00FA05FA"/>
    <w:rsid w:val="00FA28AB"/>
    <w:rsid w:val="00FA3BFE"/>
    <w:rsid w:val="00FA651F"/>
    <w:rsid w:val="00FA7E2F"/>
    <w:rsid w:val="00FB4F3E"/>
    <w:rsid w:val="00FB5636"/>
    <w:rsid w:val="00FB619A"/>
    <w:rsid w:val="00FD2DA4"/>
    <w:rsid w:val="00FE0BED"/>
    <w:rsid w:val="00FE2B44"/>
    <w:rsid w:val="00FE6A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777D4D-7845-4B27-8D9A-A5CB71B0B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title">
    <w:name w:val="mytitle"/>
    <w:basedOn w:val="Normal"/>
    <w:link w:val="mytitleChar"/>
    <w:autoRedefine/>
    <w:qFormat/>
    <w:rsid w:val="00D97E51"/>
    <w:pPr>
      <w:spacing w:after="0" w:line="480" w:lineRule="auto"/>
    </w:pPr>
    <w:rPr>
      <w:rFonts w:ascii="Times New Roman" w:hAnsi="Times New Roman" w:cs="Times New Roman"/>
      <w:b/>
      <w:sz w:val="40"/>
      <w:szCs w:val="24"/>
    </w:rPr>
  </w:style>
  <w:style w:type="character" w:customStyle="1" w:styleId="mytitleChar">
    <w:name w:val="mytitle Char"/>
    <w:basedOn w:val="DefaultParagraphFont"/>
    <w:link w:val="mytitle"/>
    <w:rsid w:val="00D97E51"/>
    <w:rPr>
      <w:rFonts w:ascii="Times New Roman" w:hAnsi="Times New Roman" w:cs="Times New Roman"/>
      <w:b/>
      <w:sz w:val="40"/>
      <w:szCs w:val="24"/>
    </w:rPr>
  </w:style>
  <w:style w:type="character" w:styleId="Hyperlink">
    <w:name w:val="Hyperlink"/>
    <w:basedOn w:val="DefaultParagraphFont"/>
    <w:uiPriority w:val="99"/>
    <w:unhideWhenUsed/>
    <w:rsid w:val="000720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2495574">
      <w:bodyDiv w:val="1"/>
      <w:marLeft w:val="0"/>
      <w:marRight w:val="0"/>
      <w:marTop w:val="0"/>
      <w:marBottom w:val="0"/>
      <w:divBdr>
        <w:top w:val="none" w:sz="0" w:space="0" w:color="auto"/>
        <w:left w:val="none" w:sz="0" w:space="0" w:color="auto"/>
        <w:bottom w:val="none" w:sz="0" w:space="0" w:color="auto"/>
        <w:right w:val="none" w:sz="0" w:space="0" w:color="auto"/>
      </w:divBdr>
    </w:div>
    <w:div w:id="212318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urldefense.proofpoint.com/v2/url?u=http-3A__alleledb.gersteinlab.org&amp;d=AwMFaQ&amp;c=-dg2m7zWuuDZ0MUcV7Sdqw&amp;r=e3g5MXVeiXZuf60bhhzWoOI0FMwKqm-QmSMQiL1sQ-U&amp;m=cCtRd4QS_KmvEhARtfN9HPsXBfJmmdTAhyRrUbIC6uU&amp;s=YFsaJ9s4E49AYxkpMQpIf_iB0kag_q6KNVYfwdf-iO4&amp;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52EA040-E2CF-4CC7-9C74-9470B49945C9}">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07651-0D6F-42B4-9C7F-9D50F0EE2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2824</TotalTime>
  <Pages>1</Pages>
  <Words>32999</Words>
  <Characters>188095</Characters>
  <Application>Microsoft Office Word</Application>
  <DocSecurity>0</DocSecurity>
  <Lines>1567</Lines>
  <Paragraphs>441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Jieming Chen</dc:creator>
  <cp:keywords/>
  <dc:description/>
  <cp:lastModifiedBy>Jieming Chen</cp:lastModifiedBy>
  <cp:revision>76</cp:revision>
  <dcterms:created xsi:type="dcterms:W3CDTF">2016-03-27T23:14:00Z</dcterms:created>
  <dcterms:modified xsi:type="dcterms:W3CDTF">2016-03-30T05:38:00Z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cjieming@hotmail.com@www.mendeley.com</vt:lpwstr>
  </property>
  <property fmtid="{D5CDD505-2E9C-101B-9397-08002B2CF9AE}" pid="4" name="Mendeley Citation Style_1">
    <vt:lpwstr>http://www.zotero.org/styles/nature</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16th edition (author-date)</vt:lpwstr>
  </property>
  <property fmtid="{D5CDD505-2E9C-101B-9397-08002B2CF9AE}" pid="11" name="Mendeley Recent Style Id 3_1">
    <vt:lpwstr>http://csl.mendeley.com/styles/3376531/cold-spring-harbor-laboratory-press-2</vt:lpwstr>
  </property>
  <property fmtid="{D5CDD505-2E9C-101B-9397-08002B2CF9AE}" pid="12" name="Mendeley Recent Style Name 3_1">
    <vt:lpwstr>Cold Spring Harbor Laboratory Press - Jieming Chen</vt:lpwstr>
  </property>
  <property fmtid="{D5CDD505-2E9C-101B-9397-08002B2CF9AE}" pid="13" name="Mendeley Recent Style Id 4_1">
    <vt:lpwstr>http://www.zotero.org/styles/genome-research</vt:lpwstr>
  </property>
  <property fmtid="{D5CDD505-2E9C-101B-9397-08002B2CF9AE}" pid="14" name="Mendeley Recent Style Name 4_1">
    <vt:lpwstr>Genome Research</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