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rtl w:val="0"/>
        </w:rPr>
        <w:t xml:space="preserve">For references, please use: {FirstAuthor, Year, #PMID}</w:t>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color w:val="999999"/>
          <w:sz w:val="22"/>
          <w:szCs w:val="22"/>
          <w:rtl w:val="0"/>
        </w:rPr>
        <w:t xml:space="preserve">Old text from the DAC3 proposal are in grey.</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hyperlink r:id="rId6">
        <w:r w:rsidDel="00000000" w:rsidR="00000000" w:rsidRPr="00000000">
          <w:rPr>
            <w:rFonts w:ascii="Arial" w:cs="Arial" w:eastAsia="Arial" w:hAnsi="Arial"/>
            <w:b w:val="1"/>
            <w:color w:val="1155cc"/>
            <w:sz w:val="22"/>
            <w:szCs w:val="22"/>
            <w:u w:val="single"/>
            <w:rtl w:val="0"/>
          </w:rPr>
          <w:t xml:space="preserve">RFA</w:t>
        </w:r>
      </w:hyperlink>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rtl w:val="0"/>
        </w:rPr>
        <w:t xml:space="preserve">Writing Assignments:</w:t>
      </w:r>
    </w:p>
    <w:p w:rsidR="00000000" w:rsidDel="00000000" w:rsidP="00000000" w:rsidRDefault="00000000" w:rsidRPr="00000000">
      <w:pPr>
        <w:spacing w:line="240" w:lineRule="auto"/>
        <w:contextualSpacing w:val="0"/>
      </w:pPr>
      <w:hyperlink r:id="rId7">
        <w:r w:rsidDel="00000000" w:rsidR="00000000" w:rsidRPr="00000000">
          <w:rPr>
            <w:rFonts w:ascii="Arial" w:cs="Arial" w:eastAsia="Arial" w:hAnsi="Arial"/>
            <w:b w:val="1"/>
            <w:color w:val="1155cc"/>
            <w:sz w:val="22"/>
            <w:szCs w:val="22"/>
            <w:u w:val="single"/>
            <w:rtl w:val="0"/>
          </w:rPr>
          <w:t xml:space="preserve">Mark</w:t>
        </w:r>
      </w:hyperlink>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Organize enhancer prediction challenge - 2pg, 1 figure (Aim3, response to AWG)</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Detection of enhancers - 1pg, 1 figure (Aim 2, Encyclopedia)</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Enhancer-gene linkages - 2pg, 1 figure (Aim 2, Encyclopedia, moved the network portion to Aim 1)</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Personal genome - 2pg, 1 figure (need more connection to ENTEx, Aim 1), </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ENCODE and Cancer (Disease) AWG subgroup - 1pg (Aim 3, AWG subgroup)</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Integrating encode w/ other consortia - gtex,ihec, roadmap, 1000G [1pg]: </w:t>
      </w:r>
      <w:hyperlink r:id="rId8">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(Aim 1.6)</w:t>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Consortium Authorship Network Analysis - 1/2 pg, 1 figure (Aim 3 Consortium paper writing)</w:t>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commentRangeStart w:id="0"/>
      <w:r w:rsidDel="00000000" w:rsidR="00000000" w:rsidRPr="00000000">
        <w:rPr>
          <w:rFonts w:ascii="Arial" w:cs="Arial" w:eastAsia="Arial" w:hAnsi="Arial"/>
          <w:sz w:val="22"/>
          <w:szCs w:val="22"/>
          <w:highlight w:val="white"/>
          <w:rtl w:val="0"/>
        </w:rPr>
        <w:t xml:space="preserve">Consortium paper writing: update this </w:t>
      </w:r>
      <w:hyperlink r:id="rId9">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(Aim 3, consortium paper writing)</w:t>
      </w:r>
      <w:commentRangeEnd w:id="0"/>
      <w:r w:rsidDel="00000000" w:rsidR="00000000" w:rsidRPr="00000000">
        <w:commentReference w:id="0"/>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Get support letter from </w:t>
      </w:r>
      <w:hyperlink r:id="rId10">
        <w:r w:rsidDel="00000000" w:rsidR="00000000" w:rsidRPr="00000000">
          <w:rPr>
            <w:rFonts w:ascii="Arial" w:cs="Arial" w:eastAsia="Arial" w:hAnsi="Arial"/>
            <w:color w:val="1155cc"/>
            <w:sz w:val="22"/>
            <w:szCs w:val="22"/>
            <w:u w:val="single"/>
            <w:rtl w:val="0"/>
          </w:rPr>
          <w:t xml:space="preserve">Mike Snyder</w:t>
        </w:r>
      </w:hyperlink>
      <w:r w:rsidDel="00000000" w:rsidR="00000000" w:rsidRPr="00000000">
        <w:rPr>
          <w:rFonts w:ascii="Arial" w:cs="Arial" w:eastAsia="Arial" w:hAnsi="Arial"/>
          <w:sz w:val="22"/>
          <w:szCs w:val="22"/>
          <w:rtl w:val="0"/>
        </w:rPr>
        <w:t xml:space="preserve">, Brent Graveley (both DONE)</w:t>
      </w:r>
      <w:r w:rsidDel="00000000" w:rsidR="00000000" w:rsidRPr="00000000">
        <w:rPr>
          <w:rtl w:val="0"/>
        </w:rPr>
      </w:r>
    </w:p>
    <w:p w:rsidR="00000000" w:rsidDel="00000000" w:rsidP="00000000" w:rsidRDefault="00000000" w:rsidRPr="00000000">
      <w:pPr>
        <w:numPr>
          <w:ilvl w:val="0"/>
          <w:numId w:val="9"/>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Editing help from native English speaker</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highlight w:val="white"/>
          <w:rtl w:val="0"/>
        </w:rPr>
        <w:t xml:space="preserve">Zhiping:</w:t>
      </w:r>
    </w:p>
    <w:p w:rsidR="00000000" w:rsidDel="00000000" w:rsidP="00000000" w:rsidRDefault="00000000" w:rsidRPr="00000000">
      <w:pPr>
        <w:numPr>
          <w:ilvl w:val="0"/>
          <w:numId w:val="2"/>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Include RBP pipelines in the next DAC 1/2 pages (Aim 3, pipelines)</w:t>
      </w:r>
    </w:p>
    <w:p w:rsidR="00000000" w:rsidDel="00000000" w:rsidP="00000000" w:rsidRDefault="00000000" w:rsidRPr="00000000">
      <w:pPr>
        <w:numPr>
          <w:ilvl w:val="0"/>
          <w:numId w:val="2"/>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DNAme pipeline and QC (Aim 3, pipelines)</w:t>
      </w:r>
    </w:p>
    <w:p w:rsidR="00000000" w:rsidDel="00000000" w:rsidP="00000000" w:rsidRDefault="00000000" w:rsidRPr="00000000">
      <w:pPr>
        <w:numPr>
          <w:ilvl w:val="0"/>
          <w:numId w:val="2"/>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Encyclopedia (Aim 2)</w:t>
      </w:r>
    </w:p>
    <w:p w:rsidR="00000000" w:rsidDel="00000000" w:rsidP="00000000" w:rsidRDefault="00000000" w:rsidRPr="00000000">
      <w:pPr>
        <w:numPr>
          <w:ilvl w:val="0"/>
          <w:numId w:val="2"/>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rtl w:val="0"/>
        </w:rPr>
        <w:t xml:space="preserve">Letters from Bing Ren (DONE), Mike Cherry</w:t>
      </w:r>
      <w:r w:rsidDel="00000000" w:rsidR="00000000" w:rsidRPr="00000000">
        <w:rPr>
          <w:rFonts w:ascii="Arial" w:cs="Arial" w:eastAsia="Arial" w:hAnsi="Arial"/>
          <w:sz w:val="22"/>
          <w:szCs w:val="22"/>
          <w:highlight w:val="white"/>
          <w:rtl w:val="0"/>
        </w:rPr>
        <w:t xml:space="preserve">, </w:t>
      </w:r>
      <w:hyperlink r:id="rId11">
        <w:r w:rsidDel="00000000" w:rsidR="00000000" w:rsidRPr="00000000">
          <w:rPr>
            <w:rFonts w:ascii="Arial" w:cs="Arial" w:eastAsia="Arial" w:hAnsi="Arial"/>
            <w:color w:val="1155cc"/>
            <w:sz w:val="22"/>
            <w:szCs w:val="22"/>
            <w:u w:val="single"/>
            <w:rtl w:val="0"/>
          </w:rPr>
          <w:t xml:space="preserve">Rick Myers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highlight w:val="white"/>
          <w:rtl w:val="0"/>
        </w:rPr>
        <w:t xml:space="preserve">Manolis:</w:t>
      </w:r>
    </w:p>
    <w:p w:rsidR="00000000" w:rsidDel="00000000" w:rsidP="00000000" w:rsidRDefault="00000000" w:rsidRPr="00000000">
      <w:pPr>
        <w:numPr>
          <w:ilvl w:val="0"/>
          <w:numId w:val="5"/>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Applying ChromHMM to ENCODE3 data, 1 pages, 1 figure. Any future development on ChromHMM? (Aim 2, part of Encyclopedia)</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Write 1/2 page on co-chairing the AWG GWAS sub-group. This is the most active AWG subgroup. Can you also summarize the main results of this subgroup? (</w:t>
      </w:r>
      <w:commentRangeStart w:id="1"/>
      <w:r w:rsidDel="00000000" w:rsidR="00000000" w:rsidRPr="00000000">
        <w:rPr>
          <w:rFonts w:ascii="Arial" w:cs="Arial" w:eastAsia="Arial" w:hAnsi="Arial"/>
          <w:sz w:val="22"/>
          <w:szCs w:val="22"/>
          <w:highlight w:val="white"/>
          <w:rtl w:val="0"/>
        </w:rPr>
        <w:t xml:space="preserve">Aim 3, AWG subgroup</w:t>
      </w:r>
      <w:commentRangeEnd w:id="1"/>
      <w:r w:rsidDel="00000000" w:rsidR="00000000" w:rsidRPr="00000000">
        <w:commentReference w:id="1"/>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QC and utility. Aim 4. 4 pages, 2 figures.</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ChromImpute: Aim 1=main (insert into Section 1.1.1). Aim4=application. </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Support letter from </w:t>
      </w:r>
      <w:hyperlink r:id="rId12">
        <w:r w:rsidDel="00000000" w:rsidR="00000000" w:rsidRPr="00000000">
          <w:rPr>
            <w:rFonts w:ascii="Arial" w:cs="Arial" w:eastAsia="Arial" w:hAnsi="Arial"/>
            <w:color w:val="1155cc"/>
            <w:sz w:val="22"/>
            <w:szCs w:val="22"/>
            <w:u w:val="single"/>
            <w:rtl w:val="0"/>
          </w:rPr>
          <w:t xml:space="preserve">Brad Bernstein</w:t>
        </w:r>
      </w:hyperlink>
      <w:r w:rsidDel="00000000" w:rsidR="00000000" w:rsidRPr="00000000">
        <w:rPr>
          <w:rFonts w:ascii="Arial" w:cs="Arial" w:eastAsia="Arial" w:hAnsi="Arial"/>
          <w:sz w:val="22"/>
          <w:szCs w:val="22"/>
          <w:rtl w:val="0"/>
        </w:rPr>
        <w:t xml:space="preserve">, John Stam?</w:t>
      </w:r>
    </w:p>
    <w:p w:rsidR="00000000" w:rsidDel="00000000" w:rsidP="00000000" w:rsidRDefault="00000000" w:rsidRPr="00000000">
      <w:pPr>
        <w:numPr>
          <w:ilvl w:val="0"/>
          <w:numId w:val="5"/>
        </w:numPr>
        <w:spacing w:after="100" w:line="240" w:lineRule="auto"/>
        <w:ind w:left="720" w:hanging="360"/>
        <w:contextualSpacing w:val="1"/>
        <w:rPr>
          <w:rFonts w:ascii="Arial" w:cs="Arial" w:eastAsia="Arial" w:hAnsi="Arial"/>
          <w:sz w:val="22"/>
          <w:szCs w:val="22"/>
        </w:rPr>
      </w:pPr>
      <w:r w:rsidDel="00000000" w:rsidR="00000000" w:rsidRPr="00000000">
        <w:rPr>
          <w:rFonts w:ascii="Arial" w:cs="Arial" w:eastAsia="Arial" w:hAnsi="Arial"/>
          <w:sz w:val="22"/>
          <w:szCs w:val="22"/>
          <w:rtl w:val="0"/>
        </w:rPr>
        <w:t xml:space="preserve">Skip: </w:t>
      </w:r>
      <w:r w:rsidDel="00000000" w:rsidR="00000000" w:rsidRPr="00000000">
        <w:rPr>
          <w:rFonts w:ascii="Arial" w:cs="Arial" w:eastAsia="Arial" w:hAnsi="Arial"/>
          <w:sz w:val="22"/>
          <w:szCs w:val="22"/>
          <w:highlight w:val="white"/>
          <w:rtl w:val="0"/>
        </w:rPr>
        <w:t xml:space="preserve">HaploReg and its future developments. 1 page, 1 figure. GWAS specifically excluded. </w:t>
      </w:r>
    </w:p>
    <w:p w:rsidR="00000000" w:rsidDel="00000000" w:rsidP="00000000" w:rsidRDefault="00000000" w:rsidRPr="00000000">
      <w:pPr>
        <w:numPr>
          <w:ilvl w:val="0"/>
          <w:numId w:val="5"/>
        </w:numPr>
        <w:spacing w:after="10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Skip: Please update this </w:t>
      </w:r>
      <w:hyperlink r:id="rId13">
        <w:r w:rsidDel="00000000" w:rsidR="00000000" w:rsidRPr="00000000">
          <w:rPr>
            <w:rFonts w:ascii="Arial" w:cs="Arial" w:eastAsia="Arial" w:hAnsi="Arial"/>
            <w:color w:val="1155cc"/>
            <w:sz w:val="22"/>
            <w:szCs w:val="22"/>
            <w:highlight w:val="white"/>
            <w:u w:val="single"/>
            <w:rtl w:val="0"/>
          </w:rPr>
          <w:t xml:space="preserve">old text</w:t>
        </w:r>
      </w:hyperlink>
      <w:r w:rsidDel="00000000" w:rsidR="00000000" w:rsidRPr="00000000">
        <w:rPr>
          <w:rFonts w:ascii="Arial" w:cs="Arial" w:eastAsia="Arial" w:hAnsi="Arial"/>
          <w:sz w:val="22"/>
          <w:szCs w:val="22"/>
          <w:highlight w:val="white"/>
          <w:rtl w:val="0"/>
        </w:rPr>
        <w:t xml:space="preserve"> on increasing the utility of ENCODE data for the GWAS community. (Aim 3, AWG subgroup)</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Anshul</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Add a paragraph to describe your expertise (In Innovation section, currently page 12)</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ATAC-seq pipeline 1/2 - 1 page, 1 figure (please insert into Aim 3, pipelines)</w:t>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ChIP-seq pipeline (TF and histone mark), 2 pages, 1 figure. Please include summary of existing pipelines and plan for future developments. (Aim 3, pipelines)</w:t>
      </w:r>
      <w:r w:rsidDel="00000000" w:rsidR="00000000" w:rsidRPr="00000000">
        <w:rPr>
          <w:rtl w:val="0"/>
        </w:rPr>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 believe that you co-chair the Regulations AWG sub-group. If so, can you write 1 paragraph about your effort of co-chairing and products of the sub-group. (Aim 3, AWG subgroup)</w:t>
      </w:r>
      <w:r w:rsidDel="00000000" w:rsidR="00000000" w:rsidRPr="00000000">
        <w:rPr>
          <w:rtl w:val="0"/>
        </w:rPr>
      </w:r>
    </w:p>
    <w:p w:rsidR="00000000" w:rsidDel="00000000" w:rsidP="00000000" w:rsidRDefault="00000000" w:rsidRPr="00000000">
      <w:pPr>
        <w:numPr>
          <w:ilvl w:val="0"/>
          <w:numId w:val="11"/>
        </w:numPr>
        <w:spacing w:line="240" w:lineRule="auto"/>
        <w:ind w:left="720" w:hanging="360"/>
        <w:contextualSpacing w:val="1"/>
        <w:rPr>
          <w:rFonts w:ascii="Arial" w:cs="Arial" w:eastAsia="Arial" w:hAnsi="Arial"/>
          <w:strike w:val="1"/>
          <w:sz w:val="22"/>
          <w:szCs w:val="22"/>
          <w:highlight w:val="white"/>
        </w:rPr>
      </w:pPr>
      <w:r w:rsidDel="00000000" w:rsidR="00000000" w:rsidRPr="00000000">
        <w:rPr>
          <w:rFonts w:ascii="Arial" w:cs="Arial" w:eastAsia="Arial" w:hAnsi="Arial"/>
          <w:strike w:val="1"/>
          <w:sz w:val="22"/>
          <w:szCs w:val="22"/>
          <w:highlight w:val="white"/>
          <w:rtl w:val="0"/>
        </w:rPr>
        <w:t xml:space="preserve">2 pages plus 1-2 figures on the cool stuff we discussed on the phone, how to visualize encyclopedia on-demand, and deep learning to quantize the fine-scale of regulatory sites. (Aim 2, Encyclopedia)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4">
        <w:r w:rsidDel="00000000" w:rsidR="00000000" w:rsidRPr="00000000">
          <w:rPr>
            <w:rFonts w:ascii="Arial" w:cs="Arial" w:eastAsia="Arial" w:hAnsi="Arial"/>
            <w:b w:val="1"/>
            <w:color w:val="1155cc"/>
            <w:sz w:val="22"/>
            <w:szCs w:val="22"/>
            <w:highlight w:val="white"/>
            <w:u w:val="single"/>
            <w:rtl w:val="0"/>
          </w:rPr>
          <w:t xml:space="preserve">Roderic</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ZW comment: </w:t>
      </w:r>
      <w:r w:rsidDel="00000000" w:rsidR="00000000" w:rsidRPr="00000000">
        <w:rPr>
          <w:rFonts w:ascii="Arial" w:cs="Arial" w:eastAsia="Arial" w:hAnsi="Arial"/>
          <w:sz w:val="22"/>
          <w:szCs w:val="22"/>
          <w:highlight w:val="white"/>
          <w:rtl w:val="0"/>
        </w:rPr>
        <w:t xml:space="preserve">tighten on what we have done (in particular the RNA-seq pipeline) and expand on what we plan to do. Novel RNA-seq data-types, such as long-read RNA-seq, single cell RNA-seq, ribosomal profiling, Gro-seq. We should say that we are ready to analyze a large variety of RNA-seq related data types should they be produced in ENCODE4. We should include some general approaches on analyzing these new datatypes so that the reviewers would believe that we have the expertise. Please edit directly in this document. Preferably done (at least the drafty version) by </w:t>
      </w:r>
      <w:r w:rsidDel="00000000" w:rsidR="00000000" w:rsidRPr="00000000">
        <w:rPr>
          <w:rFonts w:ascii="Arial" w:cs="Arial" w:eastAsia="Arial" w:hAnsi="Arial"/>
          <w:b w:val="1"/>
          <w:sz w:val="22"/>
          <w:szCs w:val="22"/>
          <w:highlight w:val="white"/>
          <w:rtl w:val="0"/>
        </w:rPr>
        <w:t xml:space="preserve">Saturday 1pm EST</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Let us Skype on Tuesday 11am EDT, March 15.</w:t>
      </w:r>
      <w:r w:rsidDel="00000000" w:rsidR="00000000" w:rsidRPr="00000000">
        <w:rPr>
          <w:rtl w:val="0"/>
        </w:rPr>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RNA-seq pipeline. 2-3 pages, 1 figure. Please include summary of existing pipelines and plan for future developments. (Aim 3)</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Can you write 2 paragraphs on your contribution to the RNA-calls and working with the RNA group? (Aim 3)</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Do you want to include 1 page, 1 figure on chromatin vs. splicing? (Aim 1)</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Do you want to include 1 page, 1 figure on your splicing method, or other things that your group is working on and plan to work on? (Aim 1)</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rtl w:val="0"/>
        </w:rPr>
        <w:t xml:space="preserve">Get support letter from </w:t>
      </w:r>
      <w:hyperlink r:id="rId15">
        <w:r w:rsidDel="00000000" w:rsidR="00000000" w:rsidRPr="00000000">
          <w:rPr>
            <w:rFonts w:ascii="Arial" w:cs="Arial" w:eastAsia="Arial" w:hAnsi="Arial"/>
            <w:color w:val="1155cc"/>
            <w:sz w:val="22"/>
            <w:szCs w:val="22"/>
            <w:u w:val="single"/>
            <w:rtl w:val="0"/>
          </w:rPr>
          <w:t xml:space="preserve">Tom Gingeras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6">
        <w:r w:rsidDel="00000000" w:rsidR="00000000" w:rsidRPr="00000000">
          <w:rPr>
            <w:rFonts w:ascii="Arial" w:cs="Arial" w:eastAsia="Arial" w:hAnsi="Arial"/>
            <w:b w:val="1"/>
            <w:color w:val="1155cc"/>
            <w:sz w:val="22"/>
            <w:szCs w:val="22"/>
            <w:highlight w:val="white"/>
            <w:u w:val="single"/>
            <w:rtl w:val="0"/>
          </w:rPr>
          <w:t xml:space="preserve">Noble</w:t>
        </w:r>
      </w:hyperlink>
      <w:r w:rsidDel="00000000" w:rsidR="00000000" w:rsidRPr="00000000">
        <w:rPr>
          <w:rFonts w:ascii="Arial" w:cs="Arial" w:eastAsia="Arial" w:hAnsi="Arial"/>
          <w:b w:val="1"/>
          <w:sz w:val="22"/>
          <w:szCs w:val="22"/>
          <w:highlight w:val="white"/>
          <w:rtl w:val="0"/>
        </w:rPr>
        <w:t xml:space="preserve"> (link to </w:t>
      </w:r>
      <w:hyperlink r:id="rId17">
        <w:r w:rsidDel="00000000" w:rsidR="00000000" w:rsidRPr="00000000">
          <w:rPr>
            <w:rFonts w:ascii="Arial" w:cs="Arial" w:eastAsia="Arial" w:hAnsi="Arial"/>
            <w:b w:val="1"/>
            <w:color w:val="1155cc"/>
            <w:sz w:val="22"/>
            <w:szCs w:val="22"/>
            <w:highlight w:val="white"/>
            <w:u w:val="single"/>
            <w:rtl w:val="0"/>
          </w:rPr>
          <w:t xml:space="preserve">pdf</w:t>
        </w:r>
      </w:hyperlink>
      <w:r w:rsidDel="00000000" w:rsidR="00000000" w:rsidRPr="00000000">
        <w:rPr>
          <w:rFonts w:ascii="Arial" w:cs="Arial" w:eastAsia="Arial" w:hAnsi="Arial"/>
          <w:b w:val="1"/>
          <w:sz w:val="22"/>
          <w:szCs w:val="22"/>
          <w:highlight w:val="white"/>
          <w:rtl w:val="0"/>
        </w:rPr>
        <w:t xml:space="preserve">)</w:t>
      </w:r>
      <w:r w:rsidDel="00000000" w:rsidR="00000000" w:rsidRPr="00000000">
        <w:rPr>
          <w:rtl w:val="0"/>
        </w:rPr>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Hi-C pipeline, 1 page, 1 figure (Aim 3)</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Applying Segway to ENCODE3 data, 2 pages, 1 figure. Any future development on Segway? (Aim 2, part of Encyclopedia)</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Assay selection, 1 page, 1 figure. Please include future development. (Aim 4)</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Please write 2 paragraphs on your contribution to the 3D nucleome AWG sub group. Please describe the main products of the nucleome group. (Aim 3)</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Can you write 2 paragraphs on how we can integrate ENCODE data with data generated by the 4D nucleome consortium? The goal is to increase the utility of ENCODE data. (Aim 1, integration with other consortia)</w:t>
      </w:r>
    </w:p>
    <w:p w:rsidR="00000000" w:rsidDel="00000000" w:rsidP="00000000" w:rsidRDefault="00000000" w:rsidRPr="00000000">
      <w:pPr>
        <w:numPr>
          <w:ilvl w:val="0"/>
          <w:numId w:val="6"/>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2 paragraphs on co-chairing 4D nucleome with Bing Ren (Aim 3)</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8">
        <w:r w:rsidDel="00000000" w:rsidR="00000000" w:rsidRPr="00000000">
          <w:rPr>
            <w:rFonts w:ascii="Arial" w:cs="Arial" w:eastAsia="Arial" w:hAnsi="Arial"/>
            <w:b w:val="1"/>
            <w:color w:val="1155cc"/>
            <w:sz w:val="22"/>
            <w:szCs w:val="22"/>
            <w:highlight w:val="white"/>
            <w:u w:val="single"/>
            <w:rtl w:val="0"/>
          </w:rPr>
          <w:t xml:space="preserve">Shirley</w:t>
        </w:r>
      </w:hyperlink>
      <w:r w:rsidDel="00000000" w:rsidR="00000000" w:rsidRPr="00000000">
        <w:rPr>
          <w:rtl w:val="0"/>
        </w:rPr>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target genes of transcription factors 1 page, 1 figure (Aim 2, Encyclopedia)</w:t>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expand the coverage of ENCODE data annotation by taking advantage of public DNase and H3K27ac datasets. For example, we have determined that the combination of DNase and H3K27ac is the best approach for predicting enhancers. However there are many cell types that have only DNase but not H3K27ac, also vice versa. Can we use public data to supplement? Talk about the collection of DNase and H3K27ac data in Cistrome. Need to be able to match meta data. 1 page, 1 figure (Aim 2, Encyclopedia)</w:t>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Prediction of silencers? 1/2-1 page, figure? (Aim 2, Encyclopedia)</w:t>
      </w:r>
    </w:p>
    <w:p w:rsidR="00000000" w:rsidDel="00000000" w:rsidP="00000000" w:rsidRDefault="00000000" w:rsidRPr="00000000">
      <w:pPr>
        <w:numPr>
          <w:ilvl w:val="0"/>
          <w:numId w:val="4"/>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CRISPR DOI 10.1186/s13059-015-0843-6, which can help the Characterization centers, 1 page 1 figure (Aim 3)</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hyperlink r:id="rId19">
        <w:r w:rsidDel="00000000" w:rsidR="00000000" w:rsidRPr="00000000">
          <w:rPr>
            <w:rFonts w:ascii="Arial" w:cs="Arial" w:eastAsia="Arial" w:hAnsi="Arial"/>
            <w:b w:val="1"/>
            <w:color w:val="1155cc"/>
            <w:sz w:val="22"/>
            <w:szCs w:val="22"/>
            <w:highlight w:val="white"/>
            <w:u w:val="single"/>
            <w:rtl w:val="0"/>
          </w:rPr>
          <w:t xml:space="preserve">Rafa</w:t>
        </w:r>
      </w:hyperlink>
      <w:r w:rsidDel="00000000" w:rsidR="00000000" w:rsidRPr="00000000">
        <w:rPr>
          <w:rtl w:val="0"/>
        </w:rPr>
      </w:r>
    </w:p>
    <w:p w:rsidR="00000000" w:rsidDel="00000000" w:rsidP="00000000" w:rsidRDefault="00000000" w:rsidRPr="00000000">
      <w:pPr>
        <w:numPr>
          <w:ilvl w:val="0"/>
          <w:numId w:val="7"/>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QC for RNA-seq, DNase, histone makrs, etc..., 1 pg, 1 figure (Aim 3 or Aim 4, pipelines and QC)</w:t>
      </w:r>
    </w:p>
    <w:p w:rsidR="00000000" w:rsidDel="00000000" w:rsidP="00000000" w:rsidRDefault="00000000" w:rsidRPr="00000000">
      <w:pPr>
        <w:numPr>
          <w:ilvl w:val="0"/>
          <w:numId w:val="7"/>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Identification of DMRs, 1 page 1 figure (Aim 2, Encyclopedia)</w:t>
      </w:r>
    </w:p>
    <w:p w:rsidR="00000000" w:rsidDel="00000000" w:rsidP="00000000" w:rsidRDefault="00000000" w:rsidRPr="00000000">
      <w:pPr>
        <w:numPr>
          <w:ilvl w:val="0"/>
          <w:numId w:val="7"/>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Normalization of gene expression matrix, DNase signal matrix, histone mark level matrix etc. across the entire panel of ENCODE cell types. 1-2 pages, 1 figure. (Aim 2 or Aim 4?)</w:t>
      </w:r>
    </w:p>
    <w:p w:rsidR="00000000" w:rsidDel="00000000" w:rsidP="00000000" w:rsidRDefault="00000000" w:rsidRPr="00000000">
      <w:pPr>
        <w:numPr>
          <w:ilvl w:val="0"/>
          <w:numId w:val="7"/>
        </w:numPr>
        <w:spacing w:line="240" w:lineRule="auto"/>
        <w:ind w:left="720" w:hanging="360"/>
        <w:contextualSpacing w:val="1"/>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How do we guard the Consortium against batch effects? 1 page, 1 figure (Aim 1 or Aim 4?)</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Support letters</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spacing w:line="240" w:lineRule="auto"/>
        <w:contextualSpacing w:val="0"/>
      </w:pPr>
      <w:hyperlink r:id="rId20">
        <w:r w:rsidDel="00000000" w:rsidR="00000000" w:rsidRPr="00000000">
          <w:rPr>
            <w:rFonts w:ascii="Arial" w:cs="Arial" w:eastAsia="Arial" w:hAnsi="Arial"/>
            <w:color w:val="1155cc"/>
            <w:sz w:val="22"/>
            <w:szCs w:val="22"/>
            <w:highlight w:val="white"/>
            <w:u w:val="single"/>
            <w:rtl w:val="0"/>
          </w:rPr>
          <w:t xml:space="preserve">Cover letter that precedes all the support letters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Mark: </w:t>
      </w:r>
      <w:hyperlink r:id="rId21">
        <w:r w:rsidDel="00000000" w:rsidR="00000000" w:rsidRPr="00000000">
          <w:rPr>
            <w:rFonts w:ascii="Arial" w:cs="Arial" w:eastAsia="Arial" w:hAnsi="Arial"/>
            <w:color w:val="1155cc"/>
            <w:sz w:val="22"/>
            <w:szCs w:val="22"/>
            <w:u w:val="single"/>
            <w:rtl w:val="0"/>
          </w:rPr>
          <w:t xml:space="preserve">Mike Snyder</w:t>
        </w:r>
      </w:hyperlink>
      <w:r w:rsidDel="00000000" w:rsidR="00000000" w:rsidRPr="00000000">
        <w:rPr>
          <w:rFonts w:ascii="Arial" w:cs="Arial" w:eastAsia="Arial" w:hAnsi="Arial"/>
          <w:sz w:val="22"/>
          <w:szCs w:val="22"/>
          <w:rtl w:val="0"/>
        </w:rPr>
        <w:t xml:space="preserve">, </w:t>
      </w:r>
      <w:hyperlink r:id="rId22">
        <w:r w:rsidDel="00000000" w:rsidR="00000000" w:rsidRPr="00000000">
          <w:rPr>
            <w:rFonts w:ascii="Arial" w:cs="Arial" w:eastAsia="Arial" w:hAnsi="Arial"/>
            <w:color w:val="1155cc"/>
            <w:sz w:val="22"/>
            <w:szCs w:val="22"/>
            <w:u w:val="single"/>
            <w:rtl w:val="0"/>
          </w:rPr>
          <w:t xml:space="preserve">Brent Graveley</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Manolis: John Stam?</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Roderic: </w:t>
      </w:r>
      <w:hyperlink r:id="rId23">
        <w:r w:rsidDel="00000000" w:rsidR="00000000" w:rsidRPr="00000000">
          <w:rPr>
            <w:rFonts w:ascii="Arial" w:cs="Arial" w:eastAsia="Arial" w:hAnsi="Arial"/>
            <w:color w:val="1155cc"/>
            <w:sz w:val="22"/>
            <w:szCs w:val="22"/>
            <w:u w:val="single"/>
            <w:rtl w:val="0"/>
          </w:rPr>
          <w:t xml:space="preserve">Tom Gingeras</w:t>
        </w:r>
      </w:hyperlink>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Zhiping: </w:t>
      </w:r>
      <w:hyperlink r:id="rId24">
        <w:r w:rsidDel="00000000" w:rsidR="00000000" w:rsidRPr="00000000">
          <w:rPr>
            <w:rFonts w:ascii="Arial" w:cs="Arial" w:eastAsia="Arial" w:hAnsi="Arial"/>
            <w:color w:val="1155cc"/>
            <w:sz w:val="22"/>
            <w:szCs w:val="22"/>
            <w:u w:val="single"/>
            <w:rtl w:val="0"/>
          </w:rPr>
          <w:t xml:space="preserve">Bing Ren</w:t>
        </w:r>
      </w:hyperlink>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Rick Myers (emailed but did not respond)</w:t>
      </w:r>
      <w:r w:rsidDel="00000000" w:rsidR="00000000" w:rsidRPr="00000000">
        <w:rPr>
          <w:rFonts w:ascii="Arial" w:cs="Arial" w:eastAsia="Arial" w:hAnsi="Arial"/>
          <w:sz w:val="22"/>
          <w:szCs w:val="22"/>
          <w:u w:val="single"/>
          <w:rtl w:val="0"/>
        </w:rPr>
        <w:t xml:space="preserve">, </w:t>
      </w:r>
      <w:hyperlink r:id="rId25">
        <w:r w:rsidDel="00000000" w:rsidR="00000000" w:rsidRPr="00000000">
          <w:rPr>
            <w:rFonts w:ascii="Arial" w:cs="Arial" w:eastAsia="Arial" w:hAnsi="Arial"/>
            <w:color w:val="1155cc"/>
            <w:sz w:val="22"/>
            <w:szCs w:val="22"/>
            <w:u w:val="single"/>
            <w:rtl w:val="0"/>
          </w:rPr>
          <w:t xml:space="preserve">Brad Bernstein</w:t>
        </w:r>
      </w:hyperlink>
      <w:r w:rsidDel="00000000" w:rsidR="00000000" w:rsidRPr="00000000">
        <w:rPr>
          <w:rFonts w:ascii="Arial" w:cs="Arial" w:eastAsia="Arial" w:hAnsi="Arial"/>
          <w:sz w:val="22"/>
          <w:szCs w:val="22"/>
          <w:rtl w:val="0"/>
        </w:rPr>
        <w:t xml:space="preserve">, </w:t>
      </w:r>
      <w:hyperlink r:id="rId26">
        <w:r w:rsidDel="00000000" w:rsidR="00000000" w:rsidRPr="00000000">
          <w:rPr>
            <w:rFonts w:ascii="Arial" w:cs="Arial" w:eastAsia="Arial" w:hAnsi="Arial"/>
            <w:color w:val="1155cc"/>
            <w:sz w:val="22"/>
            <w:szCs w:val="22"/>
            <w:u w:val="single"/>
            <w:rtl w:val="0"/>
          </w:rPr>
          <w:t xml:space="preserve">Nadav Ahituv</w:t>
        </w:r>
      </w:hyperlink>
      <w:r w:rsidDel="00000000" w:rsidR="00000000" w:rsidRPr="00000000">
        <w:rPr>
          <w:rFonts w:ascii="Arial" w:cs="Arial" w:eastAsia="Arial" w:hAnsi="Arial"/>
          <w:sz w:val="22"/>
          <w:szCs w:val="22"/>
          <w:rtl w:val="0"/>
        </w:rPr>
        <w:t xml:space="preserve">, </w:t>
      </w:r>
      <w:hyperlink r:id="rId27">
        <w:r w:rsidDel="00000000" w:rsidR="00000000" w:rsidRPr="00000000">
          <w:rPr>
            <w:rFonts w:ascii="Arial" w:cs="Arial" w:eastAsia="Arial" w:hAnsi="Arial"/>
            <w:color w:val="1155cc"/>
            <w:sz w:val="22"/>
            <w:szCs w:val="22"/>
            <w:u w:val="single"/>
            <w:rtl w:val="0"/>
          </w:rPr>
          <w:t xml:space="preserve">Uwe Ohler</w:t>
        </w:r>
      </w:hyperlink>
      <w:r w:rsidDel="00000000" w:rsidR="00000000" w:rsidRPr="00000000">
        <w:rPr>
          <w:rFonts w:ascii="Arial" w:cs="Arial" w:eastAsia="Arial" w:hAnsi="Arial"/>
          <w:sz w:val="22"/>
          <w:szCs w:val="22"/>
          <w:rtl w:val="0"/>
        </w:rPr>
        <w:t xml:space="preserve">, </w:t>
      </w:r>
      <w:hyperlink r:id="rId28">
        <w:r w:rsidDel="00000000" w:rsidR="00000000" w:rsidRPr="00000000">
          <w:rPr>
            <w:rFonts w:ascii="Arial" w:cs="Arial" w:eastAsia="Arial" w:hAnsi="Arial"/>
            <w:color w:val="1155cc"/>
            <w:sz w:val="22"/>
            <w:szCs w:val="22"/>
            <w:u w:val="single"/>
            <w:rtl w:val="0"/>
          </w:rPr>
          <w:t xml:space="preserve">Job Dekker</w:t>
        </w:r>
      </w:hyperlink>
      <w:r w:rsidDel="00000000" w:rsidR="00000000" w:rsidRPr="00000000">
        <w:rPr>
          <w:rFonts w:ascii="Arial" w:cs="Arial" w:eastAsia="Arial" w:hAnsi="Arial"/>
          <w:sz w:val="22"/>
          <w:szCs w:val="22"/>
          <w:rtl w:val="0"/>
        </w:rPr>
        <w:t xml:space="preserve">, </w:t>
      </w:r>
      <w:hyperlink r:id="rId29">
        <w:r w:rsidDel="00000000" w:rsidR="00000000" w:rsidRPr="00000000">
          <w:rPr>
            <w:rFonts w:ascii="Arial" w:cs="Arial" w:eastAsia="Arial" w:hAnsi="Arial"/>
            <w:color w:val="1155cc"/>
            <w:sz w:val="22"/>
            <w:szCs w:val="22"/>
            <w:u w:val="single"/>
            <w:rtl w:val="0"/>
          </w:rPr>
          <w:t xml:space="preserve">Len Pennacchio</w:t>
        </w:r>
      </w:hyperlink>
      <w:r w:rsidDel="00000000" w:rsidR="00000000" w:rsidRPr="00000000">
        <w:rPr>
          <w:rFonts w:ascii="Arial" w:cs="Arial" w:eastAsia="Arial" w:hAnsi="Arial"/>
          <w:sz w:val="22"/>
          <w:szCs w:val="22"/>
          <w:rtl w:val="0"/>
        </w:rPr>
        <w:t xml:space="preserve">, </w:t>
      </w:r>
      <w:hyperlink r:id="rId30">
        <w:r w:rsidDel="00000000" w:rsidR="00000000" w:rsidRPr="00000000">
          <w:rPr>
            <w:rFonts w:ascii="Arial" w:cs="Arial" w:eastAsia="Arial" w:hAnsi="Arial"/>
            <w:color w:val="1155cc"/>
            <w:sz w:val="22"/>
            <w:szCs w:val="22"/>
            <w:u w:val="single"/>
            <w:rtl w:val="0"/>
          </w:rPr>
          <w:t xml:space="preserve">Ross Hardison</w:t>
        </w:r>
      </w:hyperlink>
      <w:r w:rsidDel="00000000" w:rsidR="00000000" w:rsidRPr="00000000">
        <w:rPr>
          <w:rFonts w:ascii="Arial" w:cs="Arial" w:eastAsia="Arial" w:hAnsi="Arial"/>
          <w:sz w:val="22"/>
          <w:szCs w:val="22"/>
          <w:rtl w:val="0"/>
        </w:rPr>
        <w:t xml:space="preserve">, Ben Brown and Peter Bickle, </w:t>
      </w:r>
      <w:hyperlink r:id="rId31">
        <w:r w:rsidDel="00000000" w:rsidR="00000000" w:rsidRPr="00000000">
          <w:rPr>
            <w:rFonts w:ascii="Arial" w:cs="Arial" w:eastAsia="Arial" w:hAnsi="Arial"/>
            <w:color w:val="1155cc"/>
            <w:sz w:val="22"/>
            <w:szCs w:val="22"/>
            <w:u w:val="single"/>
            <w:rtl w:val="0"/>
          </w:rPr>
          <w:t xml:space="preserve">Sunduz Keles</w:t>
        </w:r>
      </w:hyperlink>
      <w:r w:rsidDel="00000000" w:rsidR="00000000" w:rsidRPr="00000000">
        <w:rPr>
          <w:rFonts w:ascii="Arial" w:cs="Arial" w:eastAsia="Arial" w:hAnsi="Arial"/>
          <w:sz w:val="22"/>
          <w:szCs w:val="22"/>
          <w:rtl w:val="0"/>
        </w:rPr>
        <w:t xml:space="preserve">, </w:t>
      </w:r>
      <w:hyperlink r:id="rId32">
        <w:r w:rsidDel="00000000" w:rsidR="00000000" w:rsidRPr="00000000">
          <w:rPr>
            <w:rFonts w:ascii="Arial" w:cs="Arial" w:eastAsia="Arial" w:hAnsi="Arial"/>
            <w:color w:val="1155cc"/>
            <w:sz w:val="22"/>
            <w:szCs w:val="22"/>
            <w:u w:val="single"/>
            <w:rtl w:val="0"/>
          </w:rPr>
          <w:t xml:space="preserve">Mike Cherry</w:t>
        </w:r>
      </w:hyperlink>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contextualSpacing w:val="0"/>
      </w:pPr>
      <w:hyperlink r:id="rId33">
        <w:r w:rsidDel="00000000" w:rsidR="00000000" w:rsidRPr="00000000">
          <w:rPr>
            <w:rFonts w:ascii="Arial" w:cs="Arial" w:eastAsia="Arial" w:hAnsi="Arial"/>
            <w:color w:val="1155cc"/>
            <w:sz w:val="22"/>
            <w:szCs w:val="22"/>
            <w:highlight w:val="white"/>
            <w:u w:val="single"/>
            <w:rtl w:val="0"/>
          </w:rPr>
          <w:t xml:space="preserve">DAC3 old letters</w:t>
        </w:r>
      </w:hyperlink>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br w:type="textWrapping"/>
      </w:r>
      <w:hyperlink r:id="rId34">
        <w:r w:rsidDel="00000000" w:rsidR="00000000" w:rsidRPr="00000000">
          <w:rPr>
            <w:rFonts w:ascii="Arial" w:cs="Arial" w:eastAsia="Arial" w:hAnsi="Arial"/>
            <w:b w:val="1"/>
            <w:color w:val="1155cc"/>
            <w:sz w:val="22"/>
            <w:szCs w:val="22"/>
            <w:u w:val="single"/>
            <w:rtl w:val="0"/>
          </w:rPr>
          <w:t xml:space="preserve">Third DAC Annual Progress Report</w:t>
        </w:r>
      </w:hyperlink>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1:</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7K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we are aiming to cut it to at least 4.5K by Thu.</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2:</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9.4K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Zhiping's group to cut it to 6.5K</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3.1</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270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Leave as it is.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3.2</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8K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Zhiping's group to cut it to 4K</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3.3</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3.3K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we could cut it to 2.25K after Thursday. Unless we hear otherwise by Wed. at 7pm, we are going to commence on cuts on aim 3.3</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Aim 4</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Current: 5.3K words.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Propose cuts: Manolis's group to cut it to 3.5K. Please coordinate this with Manolis.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Note that even these cuts seem harsh, this plan is still 3 - 4K more words than the 20K targets. We are working on the specific aims to 1 page. We will also do the SWAT duty on Sat. and/or Sun., and Anurag will be the contacting person for that. We also assume your group will deal with the figures and references of the grant.</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hyperlink r:id="rId35">
        <w:r w:rsidDel="00000000" w:rsidR="00000000" w:rsidRPr="00000000">
          <w:rPr>
            <w:rFonts w:ascii="Arial" w:cs="Arial" w:eastAsia="Arial" w:hAnsi="Arial"/>
            <w:b w:val="1"/>
            <w:color w:val="1155cc"/>
            <w:sz w:val="20"/>
            <w:szCs w:val="20"/>
            <w:u w:val="single"/>
            <w:rtl w:val="0"/>
          </w:rPr>
          <w:t xml:space="preserve">Project Summary and Relevance</w:t>
        </w:r>
      </w:hyperlink>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commentRangeStart w:id="2"/>
      <w:commentRangeStart w:id="3"/>
      <w:r w:rsidDel="00000000" w:rsidR="00000000" w:rsidRPr="00000000">
        <w:rPr>
          <w:rFonts w:ascii="Arial" w:cs="Arial" w:eastAsia="Arial" w:hAnsi="Arial"/>
          <w:b w:val="1"/>
          <w:sz w:val="20"/>
          <w:szCs w:val="20"/>
          <w:rtl w:val="0"/>
        </w:rPr>
        <w:t xml:space="preserve">SPECIFIC AIMS</w:t>
      </w:r>
      <w:commentRangeEnd w:id="2"/>
      <w:r w:rsidDel="00000000" w:rsidR="00000000" w:rsidRPr="00000000">
        <w:commentReference w:id="2"/>
      </w:r>
      <w:commentRangeEnd w:id="3"/>
      <w:r w:rsidDel="00000000" w:rsidR="00000000" w:rsidRPr="00000000">
        <w:commentReference w:id="3"/>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SPECIFIC AIMS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This proposal aims to continue the Data Analysis Center (DAC) for the ENCODE project, towards completing the catalog of functional elements in the human genome using high-throughput experiments and computational methods. The proposed DAC will respond to the Analysis Working Group (AWG) and help process, integrate, analyze, and interpret data from all groups in the ENCODE Consortium. By leveraging expertise spanning multiple data types, the DAC aims to fully utilize data from ENCODE as well as from external consortia. The analyses we propose will substantially augment the value of ENCODE. The proposed DAC members (Z Weng, M Gerstein, M Kellis, R Guigo, R Irizarry, S Liu, A Kundaje, and W Noble) are leaders in their respective subfields of computational genomics. They have extensive experience working together, many having worked together since Pilot ENCODE (&gt;10 years ago). Our proposed activities are grouped into 4 aims: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1. Analyzing &amp; integrating data and metadata from a broad range of functional genomics projects.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The DAC will perform data integration of data generated by the Mapping and Characterization Centers and the computational groups of the ENCODE consortium, as well as other public data, with the goal of annotating different classes of functional elements. In particular, the DAC will carry out initial exploratory data analyses using state-of-the-art machine learning techniques in order to seek novel insights and correlations between classes of functional elements. These analyses will make use of various concepts in network analysis (eg hubs and motifs). To achieve the goal, the DAC will integrate data from large-scale genomic consortia (e.g. Roadmap, 1000 Genomes, GTex, TCGA, and iHEC), normalizing, calibrating and harmonizing these with the ENCODE annotations. As a key aspect of this integration, the DAC will use human variation data to construct personal genomes as platform for individual-specific annotation. Finally, the DAC will perform comparative analyses between human and mouse to understand the degree of conservation of regulatory mechanisms.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2. Creating high quality Encyclopedias of DNA elements in the human and mouse genomes.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Based on the integrative work in Aim 1, the DAC will generate catalogs of functional elements in a cell-type specific manner, collectively called the Encyclopedia. The Encyclopedia comprises several levels. The ground level includes genomic regions that are enriched in various biochemical signals such as DNase accessibility, histone modifications, transcription factor (TF) occupancy, DNA methylation, RNA transcription, RNA-binding protein (RBP) occupancy, and chromatin-driven topologically associating domains (TADs). By taking advantage of the work of the Characterization Centers, the ground-level catalog will be integrated to predict the locations of functional elements such as promoters, enhancers, insulators, and silencers, forming the second level the Encyclopedia. The third level of the catalog includes higher-order interactions among the predicted elements -- eg enhancer-target-interactions and system-wide regulatory networks in a specific cell type. To make the Encyclopedia accessible to a broad range of biomedical researchers, we will develop and implement approaches to present it in an intuitive and detail-on-demand manner.</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3. Serving as an informatics resource by supporting the activities of the ENCODE AWG.</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The DAC will work with the AWG to prioritize analyses, administering AWG conference calls to receive requests for analysis and report on progress. The DAC will help define shared computational guidelines and infrastructure for data processing, common analysis tasks, and data exchange. In particular, the DAC will coordinate with the ENCODE Data Collection Center (DCC) to establish robust uniform analysis pipelines. Building on the pipelines developed by the current DAC in collaboration with other ENCODE members, the DAC aims to refine these and complete the development of uniform analysis for all major ENCODE data types. The DAC has currently built pipelines for ChIP-seq, RNA-seq, and methylation, which will be refined. We plan to further implement pipelines for Hi-C and RBPs. For analyses that require more extensive interaction, the DAC will bring together data producers and analysis experts in focused groups, subgroups of the overall AWG, and develop specific, context-focused annotation (eg to best integrate with GWAS data). As novel biological insights emerge from these analyses, the DAC will facilitate writing manuscripts in coordination with the AWG.</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Aim 4. Assessing quality &amp; utility of the ENCODE data &amp; providing feedback to the Consortium.</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The DAC will develop computational methods to assess the quality and utility of ENCODE data in a systematic and unbiased way. We will work with the consortium to standardize data-type specific metrics of dataset quality. We will further develop measures for assessing experiment quality based on systematic signal imputation. We will develop metrics and methods for evaluating the progress and completeness of the entire ENCODE corpus, towards the goal of covering all active functional elements in all cellular states. We will develop and apply methods for evaluating the per-nucleotide information content of each data type based on genomic coverage, resolution and reproducibility. We will evaluate the utility of an assay (or cell type) based on its ability to predict another assay (or cell type). We will then combine utility scores to rank datasets and prioritize the experiments that will be of greatest overall utility. Specifically in the context of disease, we will provide a ranking based on predictive ability for disease-associated genetic variants (eg from GWAS).</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sz w:val="22"/>
          <w:szCs w:val="22"/>
          <w:rtl w:val="0"/>
        </w:rPr>
        <w:t xml:space="preserve">Team expertise of the DAC</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We have organized the DAC such that Weng, Gerstein, and Kellis are multiple-PIs and </w:t>
      </w:r>
      <w:r w:rsidDel="00000000" w:rsidR="00000000" w:rsidRPr="00000000">
        <w:rPr>
          <w:rFonts w:ascii="Arial" w:cs="Arial" w:eastAsia="Arial" w:hAnsi="Arial"/>
          <w:sz w:val="22"/>
          <w:szCs w:val="22"/>
          <w:rtl w:val="0"/>
        </w:rPr>
        <w:t xml:space="preserve">Guigo, Irizarry, Liu, Kundaje, and Noble</w:t>
      </w:r>
      <w:r w:rsidDel="00000000" w:rsidR="00000000" w:rsidRPr="00000000">
        <w:rPr>
          <w:rFonts w:ascii="Arial" w:cs="Arial" w:eastAsia="Arial" w:hAnsi="Arial"/>
          <w:sz w:val="22"/>
          <w:szCs w:val="22"/>
          <w:rtl w:val="0"/>
        </w:rPr>
        <w:t xml:space="preserve"> are co-investigators. All eight of us have collaborated effectively, in particular as members of the current ENCODE DAC, and have highly complementary expertise. Each of us will participate in all four Aims of the project, in response to the types and volumes of data as well as analysis needs. Nevertheless, due to the complexity of the Consortium, we have devised a management plan to maximize the effectiveness and responsiveness of the DAC.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commentRangeStart w:id="4"/>
      <w:r w:rsidDel="00000000" w:rsidR="00000000" w:rsidRPr="00000000">
        <w:rPr>
          <w:rFonts w:ascii="Arial" w:cs="Arial" w:eastAsia="Arial" w:hAnsi="Arial"/>
          <w:sz w:val="22"/>
          <w:szCs w:val="22"/>
          <w:rtl w:val="0"/>
        </w:rPr>
        <w:t xml:space="preserve">Weng, Gerstein, and Kellis will jointly make decisions on all matters related to the DAC. They will jointly coordinate the integration of diverse data sources and oversee the running of the pipelines (Aim 1  &amp; 3.2). Weng currently leads the development of the Encyclopedia and will continues to lead this effort (Aim 2). Gerstein has made important contributions to all aspects of the current DAC and he will oversee the DAC activities in support of the AWG (Aim 3, except for the part 3.2). Kellis has perform extensive analysis on the quality and utility of ENCODE data and will continue to lead this effort (Aim 4). </w:t>
      </w:r>
      <w:commentRangeEnd w:id="4"/>
      <w:r w:rsidDel="00000000" w:rsidR="00000000" w:rsidRPr="00000000">
        <w:commentReference w:id="4"/>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rtl w:val="0"/>
        </w:rPr>
        <w:t xml:space="preserve">Guigo has extensive expertise on analyzing RNA transcription data and will participate in all the DAC activities that involve RNA. Irizarry is a bio-statistician highly recognized for his work on identifying and minimizing batch effects. He will participate in the analysis whenever we compare datasets of the same type but generated by different labs. Kundaje has been instrumental for establishing the existing uniform analysis pipelines and quality assessment metrics for TF and histone mark ChIP-seq data, and will continue to update these and related analysis pipelines and data standards. Noble has built a number of algorithms for analyzing chromatin conformation data, and will play a key role in generating the third level catalogs of the Encyclopedia. Liu has built many methods and databases for integrating DNase-seq and ChIP-seq data (both TF and histone marks), and will work on expanding the coverage of the Encyclopedia by incorporating these and other relevant data from the public domain. For example, there are close to 1000 H3K27ac ChIP-seq datasets in the GEO and integrating these with ENCODE data can significantly increase the cell types for which we can make reliable enhancer predictions.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SIGNIFICANCE</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ENCODE Project is one of a number of ambitious projects building on the foundation of the Human Genome Project. The goal of ENCODE is to apply high-throughput, cost-efficient approaches to generate a comprehensive catalog of functional elements in the human genome, including transcribed regions, chromatin features, transcriptional control regions, and post-transcriptional control regions. The impact of this project is large, broadly affecting biomedical research and personalized medicine, because functional genomic elements are the basis of all biological processes. As a coordinated effort, ENCODE members strathhhegize common biological samples, enforce quality standards, and implement rapid data release policies. The value of ENCODE data is greatly enhanced by efforts to increase the breadth, depth, quality, and utility of the data. Although the individual datasets produced by the ENCODE project are highly effective in the study of any individual region, their true potential is achieved by integrative genome-wide analyses</w:t>
      </w:r>
      <w:r w:rsidDel="00000000" w:rsidR="00000000" w:rsidRPr="00000000">
        <w:rPr>
          <w:rFonts w:ascii="Arial" w:cs="Arial" w:eastAsia="Arial" w:hAnsi="Arial"/>
          <w:b w:val="0"/>
          <w:color w:val="000000"/>
          <w:sz w:val="22"/>
          <w:szCs w:val="22"/>
          <w:vertAlign w:val="superscript"/>
          <w:rtl w:val="0"/>
        </w:rPr>
        <w:t xml:space="preserve">1-3</w:t>
      </w:r>
      <w:r w:rsidDel="00000000" w:rsidR="00000000" w:rsidRPr="00000000">
        <w:rPr>
          <w:rFonts w:ascii="Arial" w:cs="Arial" w:eastAsia="Arial" w:hAnsi="Arial"/>
          <w:b w:val="0"/>
          <w:color w:val="000000"/>
          <w:sz w:val="22"/>
          <w:szCs w:val="22"/>
          <w:vertAlign w:val="baseline"/>
          <w:rtl w:val="0"/>
        </w:rPr>
        <w:t xml:space="preserve">.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propose an </w:t>
      </w:r>
      <w:r w:rsidDel="00000000" w:rsidR="00000000" w:rsidRPr="00000000">
        <w:rPr>
          <w:rFonts w:ascii="Arial" w:cs="Arial" w:eastAsia="Arial" w:hAnsi="Arial"/>
          <w:b w:val="0"/>
          <w:color w:val="000000"/>
          <w:sz w:val="22"/>
          <w:szCs w:val="22"/>
          <w:u w:val="single"/>
          <w:vertAlign w:val="baseline"/>
          <w:rtl w:val="0"/>
        </w:rPr>
        <w:t xml:space="preserve">ENCODE Data Analysis Center</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0"/>
          <w:color w:val="000000"/>
          <w:sz w:val="22"/>
          <w:szCs w:val="22"/>
          <w:u w:val="single"/>
          <w:vertAlign w:val="baseline"/>
          <w:rtl w:val="0"/>
        </w:rPr>
        <w:t xml:space="preserve">EDAC,</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0"/>
          <w:color w:val="000000"/>
          <w:sz w:val="22"/>
          <w:szCs w:val="22"/>
          <w:u w:val="single"/>
          <w:vertAlign w:val="baseline"/>
          <w:rtl w:val="0"/>
        </w:rPr>
        <w:t xml:space="preserve">DAC</w:t>
      </w:r>
      <w:r w:rsidDel="00000000" w:rsidR="00000000" w:rsidRPr="00000000">
        <w:rPr>
          <w:rFonts w:ascii="Arial" w:cs="Arial" w:eastAsia="Arial" w:hAnsi="Arial"/>
          <w:b w:val="0"/>
          <w:color w:val="000000"/>
          <w:sz w:val="22"/>
          <w:szCs w:val="22"/>
          <w:vertAlign w:val="baseline"/>
          <w:rtl w:val="0"/>
        </w:rPr>
        <w:t xml:space="preserve"> in short) to support, facilitate, and enhance integrative analyses of the ENCODE Consortium data on human and </w:t>
      </w:r>
      <w:r w:rsidDel="00000000" w:rsidR="00000000" w:rsidRPr="00000000">
        <w:rPr>
          <w:rFonts w:ascii="Arial" w:cs="Arial" w:eastAsia="Arial" w:hAnsi="Arial"/>
          <w:sz w:val="22"/>
          <w:szCs w:val="22"/>
          <w:rtl w:val="0"/>
        </w:rPr>
        <w:t xml:space="preserve">mouse</w:t>
      </w:r>
      <w:r w:rsidDel="00000000" w:rsidR="00000000" w:rsidRPr="00000000">
        <w:rPr>
          <w:rFonts w:ascii="Arial" w:cs="Arial" w:eastAsia="Arial" w:hAnsi="Arial"/>
          <w:b w:val="0"/>
          <w:color w:val="000000"/>
          <w:sz w:val="22"/>
          <w:szCs w:val="22"/>
          <w:vertAlign w:val="baseline"/>
          <w:rtl w:val="0"/>
        </w:rPr>
        <w:t xml:space="preserve">. We will work closely with Consortium members to identify and prioritize integrative analyses that should be carried out, identify the best groups and methods to accomplish them, coordinate all necessary data transformations, and undertake these analyses with the other Consortium members. Our ultimate goal is to ensure a successful final product of high-quality annotation in human</w:t>
      </w:r>
      <w:r w:rsidDel="00000000" w:rsidR="00000000" w:rsidRPr="00000000">
        <w:rPr>
          <w:rFonts w:ascii="Arial" w:cs="Arial" w:eastAsia="Arial" w:hAnsi="Arial"/>
          <w:sz w:val="22"/>
          <w:szCs w:val="22"/>
          <w:rtl w:val="0"/>
        </w:rPr>
        <w:t xml:space="preserve"> and</w:t>
      </w:r>
      <w:r w:rsidDel="00000000" w:rsidR="00000000" w:rsidRPr="00000000">
        <w:rPr>
          <w:rFonts w:ascii="Arial" w:cs="Arial" w:eastAsia="Arial" w:hAnsi="Arial"/>
          <w:b w:val="0"/>
          <w:color w:val="000000"/>
          <w:sz w:val="22"/>
          <w:szCs w:val="22"/>
          <w:vertAlign w:val="baseline"/>
          <w:rtl w:val="0"/>
        </w:rPr>
        <w:t xml:space="preserve"> mouse, called t</w:t>
      </w:r>
      <w:r w:rsidDel="00000000" w:rsidR="00000000" w:rsidRPr="00000000">
        <w:rPr>
          <w:rFonts w:ascii="Arial" w:cs="Arial" w:eastAsia="Arial" w:hAnsi="Arial"/>
          <w:sz w:val="22"/>
          <w:szCs w:val="22"/>
          <w:rtl w:val="0"/>
        </w:rPr>
        <w:t xml:space="preserve">he </w:t>
      </w:r>
      <w:r w:rsidDel="00000000" w:rsidR="00000000" w:rsidRPr="00000000">
        <w:rPr>
          <w:rFonts w:ascii="Arial" w:cs="Arial" w:eastAsia="Arial" w:hAnsi="Arial"/>
          <w:sz w:val="22"/>
          <w:szCs w:val="22"/>
          <w:u w:val="single"/>
          <w:rtl w:val="0"/>
        </w:rPr>
        <w:t xml:space="preserve">ENCODE Encyclopedia</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b w:val="0"/>
          <w:color w:val="000000"/>
          <w:sz w:val="22"/>
          <w:szCs w:val="22"/>
          <w:vertAlign w:val="baseline"/>
          <w:rtl w:val="0"/>
        </w:rPr>
        <w:t xml:space="preserve"> and gain new insights into the biology and gene regulation of animal genomes.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envision </w:t>
      </w:r>
      <w:r w:rsidDel="00000000" w:rsidR="00000000" w:rsidRPr="00000000">
        <w:rPr>
          <w:rFonts w:ascii="Arial" w:cs="Arial" w:eastAsia="Arial" w:hAnsi="Arial"/>
          <w:sz w:val="22"/>
          <w:szCs w:val="22"/>
          <w:rtl w:val="0"/>
        </w:rPr>
        <w:t xml:space="preserve">that </w:t>
      </w:r>
      <w:r w:rsidDel="00000000" w:rsidR="00000000" w:rsidRPr="00000000">
        <w:rPr>
          <w:rFonts w:ascii="Arial" w:cs="Arial" w:eastAsia="Arial" w:hAnsi="Arial"/>
          <w:b w:val="0"/>
          <w:color w:val="000000"/>
          <w:sz w:val="22"/>
          <w:szCs w:val="22"/>
          <w:vertAlign w:val="baseline"/>
          <w:rtl w:val="0"/>
        </w:rPr>
        <w:t xml:space="preserve">the DAC will minimally perform the following roles, </w:t>
      </w:r>
      <w:r w:rsidDel="00000000" w:rsidR="00000000" w:rsidRPr="00000000">
        <w:rPr>
          <w:rFonts w:ascii="Arial" w:cs="Arial" w:eastAsia="Arial" w:hAnsi="Arial"/>
          <w:sz w:val="22"/>
          <w:szCs w:val="22"/>
          <w:rtl w:val="0"/>
        </w:rPr>
        <w:t xml:space="preserve">organized</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into</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of the proposal in direct response to the RFA: </w:t>
      </w:r>
      <w:r w:rsidDel="00000000" w:rsidR="00000000" w:rsidRPr="00000000">
        <w:rPr>
          <w:rFonts w:ascii="Arial" w:cs="Arial" w:eastAsia="Arial" w:hAnsi="Arial"/>
          <w:sz w:val="22"/>
          <w:szCs w:val="22"/>
          <w:rtl w:val="0"/>
        </w:rPr>
        <w:t xml:space="preserve">to facilitate and carry out integrative analyses to identify diverse classes of functional elements and to carry out exploratory data analyses across different data types to discover potentially novel correlations and insights relating diverse classes of elements (</w:t>
      </w:r>
      <w:r w:rsidDel="00000000" w:rsidR="00000000" w:rsidRPr="00000000">
        <w:rPr>
          <w:rFonts w:ascii="Arial" w:cs="Arial" w:eastAsia="Arial" w:hAnsi="Arial"/>
          <w:b w:val="1"/>
          <w:sz w:val="22"/>
          <w:szCs w:val="22"/>
          <w:rtl w:val="0"/>
        </w:rPr>
        <w:t xml:space="preserve">Aim 1</w:t>
      </w:r>
      <w:r w:rsidDel="00000000" w:rsidR="00000000" w:rsidRPr="00000000">
        <w:rPr>
          <w:rFonts w:ascii="Arial" w:cs="Arial" w:eastAsia="Arial" w:hAnsi="Arial"/>
          <w:sz w:val="22"/>
          <w:szCs w:val="22"/>
          <w:rtl w:val="0"/>
        </w:rPr>
        <w:t xml:space="preserve">); to to carry out comparative analyses between human and mouse (</w:t>
      </w:r>
      <w:r w:rsidDel="00000000" w:rsidR="00000000" w:rsidRPr="00000000">
        <w:rPr>
          <w:rFonts w:ascii="Arial" w:cs="Arial" w:eastAsia="Arial" w:hAnsi="Arial"/>
          <w:b w:val="1"/>
          <w:sz w:val="22"/>
          <w:szCs w:val="22"/>
          <w:rtl w:val="0"/>
        </w:rPr>
        <w:t xml:space="preserve">Aim 1</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to create high-quality </w:t>
      </w:r>
      <w:r w:rsidDel="00000000" w:rsidR="00000000" w:rsidRPr="00000000">
        <w:rPr>
          <w:rFonts w:ascii="Arial" w:cs="Arial" w:eastAsia="Arial" w:hAnsi="Arial"/>
          <w:sz w:val="22"/>
          <w:szCs w:val="22"/>
          <w:rtl w:val="0"/>
        </w:rPr>
        <w:t xml:space="preserve">encyclopedias in </w:t>
      </w:r>
      <w:r w:rsidDel="00000000" w:rsidR="00000000" w:rsidRPr="00000000">
        <w:rPr>
          <w:rFonts w:ascii="Arial" w:cs="Arial" w:eastAsia="Arial" w:hAnsi="Arial"/>
          <w:b w:val="0"/>
          <w:color w:val="000000"/>
          <w:sz w:val="22"/>
          <w:szCs w:val="22"/>
          <w:vertAlign w:val="baseline"/>
          <w:rtl w:val="0"/>
        </w:rPr>
        <w:t xml:space="preserve">human and mouse </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b w:val="1"/>
          <w:sz w:val="22"/>
          <w:szCs w:val="22"/>
          <w:rtl w:val="0"/>
        </w:rPr>
        <w:t xml:space="preserve">Aim 2</w:t>
      </w:r>
      <w:r w:rsidDel="00000000" w:rsidR="00000000" w:rsidRPr="00000000">
        <w:rPr>
          <w:rFonts w:ascii="Arial" w:cs="Arial" w:eastAsia="Arial" w:hAnsi="Arial"/>
          <w:sz w:val="22"/>
          <w:szCs w:val="22"/>
          <w:rtl w:val="0"/>
        </w:rPr>
        <w:t xml:space="preserve">); to define and prioritize additional integrative analysis activities in support of the </w:t>
      </w:r>
      <w:r w:rsidDel="00000000" w:rsidR="00000000" w:rsidRPr="00000000">
        <w:rPr>
          <w:rFonts w:ascii="Arial" w:cs="Arial" w:eastAsia="Arial" w:hAnsi="Arial"/>
          <w:sz w:val="22"/>
          <w:szCs w:val="22"/>
          <w:u w:val="single"/>
          <w:rtl w:val="0"/>
        </w:rPr>
        <w:t xml:space="preserve">Analysis Working Group (AWG)</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sz w:val="22"/>
          <w:szCs w:val="22"/>
          <w:rtl w:val="0"/>
        </w:rPr>
        <w:t xml:space="preserve">Aim 3</w:t>
      </w:r>
      <w:r w:rsidDel="00000000" w:rsidR="00000000" w:rsidRPr="00000000">
        <w:rPr>
          <w:rFonts w:ascii="Arial" w:cs="Arial" w:eastAsia="Arial" w:hAnsi="Arial"/>
          <w:sz w:val="22"/>
          <w:szCs w:val="22"/>
          <w:rtl w:val="0"/>
        </w:rPr>
        <w:t xml:space="preserve">); to </w:t>
      </w:r>
      <w:r w:rsidDel="00000000" w:rsidR="00000000" w:rsidRPr="00000000">
        <w:rPr>
          <w:rFonts w:ascii="Arial" w:cs="Arial" w:eastAsia="Arial" w:hAnsi="Arial"/>
          <w:b w:val="0"/>
          <w:color w:val="000000"/>
          <w:sz w:val="22"/>
          <w:szCs w:val="22"/>
          <w:vertAlign w:val="baseline"/>
          <w:rtl w:val="0"/>
        </w:rPr>
        <w:t xml:space="preserve">provide common computational guidelines and a common infrastructure for data processing in su</w:t>
      </w:r>
      <w:r w:rsidDel="00000000" w:rsidR="00000000" w:rsidRPr="00000000">
        <w:rPr>
          <w:rFonts w:ascii="Arial" w:cs="Arial" w:eastAsia="Arial" w:hAnsi="Arial"/>
          <w:sz w:val="22"/>
          <w:szCs w:val="22"/>
          <w:rtl w:val="0"/>
        </w:rPr>
        <w:t xml:space="preserve">pport of the AWG and the Encyclopedia</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1"/>
          <w:color w:val="000000"/>
          <w:sz w:val="22"/>
          <w:szCs w:val="22"/>
          <w:vertAlign w:val="baseline"/>
          <w:rtl w:val="0"/>
        </w:rPr>
        <w:t xml:space="preserve">Aim </w:t>
      </w:r>
      <w:r w:rsidDel="00000000" w:rsidR="00000000" w:rsidRPr="00000000">
        <w:rPr>
          <w:rFonts w:ascii="Arial" w:cs="Arial" w:eastAsia="Arial" w:hAnsi="Arial"/>
          <w:b w:val="1"/>
          <w:sz w:val="22"/>
          <w:szCs w:val="22"/>
          <w:rtl w:val="0"/>
        </w:rPr>
        <w:t xml:space="preserve">3</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to summarize results of our integrative analysis in support of writing Consortium papers (</w:t>
      </w:r>
      <w:r w:rsidDel="00000000" w:rsidR="00000000" w:rsidRPr="00000000">
        <w:rPr>
          <w:rFonts w:ascii="Arial" w:cs="Arial" w:eastAsia="Arial" w:hAnsi="Arial"/>
          <w:b w:val="1"/>
          <w:sz w:val="22"/>
          <w:szCs w:val="22"/>
          <w:rtl w:val="0"/>
        </w:rPr>
        <w:t xml:space="preserve">Aim 3</w:t>
      </w: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b w:val="0"/>
          <w:color w:val="000000"/>
          <w:sz w:val="22"/>
          <w:szCs w:val="22"/>
          <w:vertAlign w:val="baseline"/>
          <w:rtl w:val="0"/>
        </w:rPr>
        <w:t xml:space="preserve"> and to </w:t>
      </w:r>
      <w:r w:rsidDel="00000000" w:rsidR="00000000" w:rsidRPr="00000000">
        <w:rPr>
          <w:rFonts w:ascii="Arial" w:cs="Arial" w:eastAsia="Arial" w:hAnsi="Arial"/>
          <w:sz w:val="22"/>
          <w:szCs w:val="22"/>
          <w:rtl w:val="0"/>
        </w:rPr>
        <w:t xml:space="preserve">critically assess ENCODE data for their quality and utility and to report these assessments to the NHGRI and the Consortium</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b w:val="1"/>
          <w:color w:val="000000"/>
          <w:sz w:val="22"/>
          <w:szCs w:val="22"/>
          <w:vertAlign w:val="baseline"/>
          <w:rtl w:val="0"/>
        </w:rPr>
        <w:t xml:space="preserve">Aim </w:t>
      </w:r>
      <w:r w:rsidDel="00000000" w:rsidR="00000000" w:rsidRPr="00000000">
        <w:rPr>
          <w:rFonts w:ascii="Arial" w:cs="Arial" w:eastAsia="Arial" w:hAnsi="Arial"/>
          <w:b w:val="1"/>
          <w:sz w:val="22"/>
          <w:szCs w:val="22"/>
          <w:rtl w:val="0"/>
        </w:rPr>
        <w:t xml:space="preserve">4</w:t>
      </w:r>
      <w:r w:rsidDel="00000000" w:rsidR="00000000" w:rsidRPr="00000000">
        <w:rPr>
          <w:rFonts w:ascii="Arial" w:cs="Arial" w:eastAsia="Arial" w:hAnsi="Arial"/>
          <w:b w:val="0"/>
          <w:color w:val="000000"/>
          <w:sz w:val="22"/>
          <w:szCs w:val="22"/>
          <w:vertAlign w:val="baseline"/>
          <w:rtl w:val="0"/>
        </w:rPr>
        <w:t xml:space="preserve">).</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To achieve these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the proposed DAC will work closely with members of the Consortium, and in particular two entities within it, the </w:t>
      </w:r>
      <w:r w:rsidDel="00000000" w:rsidR="00000000" w:rsidRPr="00000000">
        <w:rPr>
          <w:rFonts w:ascii="Arial" w:cs="Arial" w:eastAsia="Arial" w:hAnsi="Arial"/>
          <w:sz w:val="22"/>
          <w:szCs w:val="22"/>
          <w:rtl w:val="0"/>
        </w:rPr>
        <w:t xml:space="preserve">AWG</w:t>
      </w:r>
      <w:r w:rsidDel="00000000" w:rsidR="00000000" w:rsidRPr="00000000">
        <w:rPr>
          <w:rFonts w:ascii="Arial" w:cs="Arial" w:eastAsia="Arial" w:hAnsi="Arial"/>
          <w:b w:val="0"/>
          <w:color w:val="000000"/>
          <w:sz w:val="22"/>
          <w:szCs w:val="22"/>
          <w:vertAlign w:val="baseline"/>
          <w:rtl w:val="0"/>
        </w:rPr>
        <w:t xml:space="preserve">, consisting of all Principal Investigators (PIs) of the production </w:t>
      </w:r>
      <w:r w:rsidDel="00000000" w:rsidR="00000000" w:rsidRPr="00000000">
        <w:rPr>
          <w:rFonts w:ascii="Arial" w:cs="Arial" w:eastAsia="Arial" w:hAnsi="Arial"/>
          <w:sz w:val="22"/>
          <w:szCs w:val="22"/>
          <w:rtl w:val="0"/>
        </w:rPr>
        <w:t xml:space="preserve">centers, PIs of functional characterization centers</w:t>
      </w:r>
      <w:r w:rsidDel="00000000" w:rsidR="00000000" w:rsidRPr="00000000">
        <w:rPr>
          <w:rFonts w:ascii="Arial" w:cs="Arial" w:eastAsia="Arial" w:hAnsi="Arial"/>
          <w:b w:val="0"/>
          <w:color w:val="000000"/>
          <w:sz w:val="22"/>
          <w:szCs w:val="22"/>
          <w:vertAlign w:val="baseline"/>
          <w:rtl w:val="0"/>
        </w:rPr>
        <w:t xml:space="preserve">, informatics PIs, and personnel from each of the groups; and the </w:t>
      </w:r>
      <w:r w:rsidDel="00000000" w:rsidR="00000000" w:rsidRPr="00000000">
        <w:rPr>
          <w:rFonts w:ascii="Arial" w:cs="Arial" w:eastAsia="Arial" w:hAnsi="Arial"/>
          <w:b w:val="0"/>
          <w:color w:val="000000"/>
          <w:sz w:val="22"/>
          <w:szCs w:val="22"/>
          <w:u w:val="single"/>
          <w:vertAlign w:val="baseline"/>
          <w:rtl w:val="0"/>
        </w:rPr>
        <w:t xml:space="preserve">Data Coordination Center (DCC)</w:t>
      </w:r>
      <w:r w:rsidDel="00000000" w:rsidR="00000000" w:rsidRPr="00000000">
        <w:rPr>
          <w:rFonts w:ascii="Arial" w:cs="Arial" w:eastAsia="Arial" w:hAnsi="Arial"/>
          <w:b w:val="0"/>
          <w:color w:val="000000"/>
          <w:sz w:val="22"/>
          <w:szCs w:val="22"/>
          <w:vertAlign w:val="baseline"/>
          <w:rtl w:val="0"/>
        </w:rPr>
        <w:t xml:space="preserve">, responsible for all data and metadata submission, </w:t>
      </w:r>
      <w:r w:rsidDel="00000000" w:rsidR="00000000" w:rsidRPr="00000000">
        <w:rPr>
          <w:rFonts w:ascii="Arial" w:cs="Arial" w:eastAsia="Arial" w:hAnsi="Arial"/>
          <w:sz w:val="22"/>
          <w:szCs w:val="22"/>
          <w:rtl w:val="0"/>
        </w:rPr>
        <w:t xml:space="preserve">data formatting and uniform processing, and </w:t>
      </w:r>
      <w:r w:rsidDel="00000000" w:rsidR="00000000" w:rsidRPr="00000000">
        <w:rPr>
          <w:rFonts w:ascii="Arial" w:cs="Arial" w:eastAsia="Arial" w:hAnsi="Arial"/>
          <w:b w:val="0"/>
          <w:color w:val="000000"/>
          <w:sz w:val="22"/>
          <w:szCs w:val="22"/>
          <w:vertAlign w:val="baseline"/>
          <w:rtl w:val="0"/>
        </w:rPr>
        <w:t xml:space="preserve">data sharing</w:t>
      </w:r>
      <w:r w:rsidDel="00000000" w:rsidR="00000000" w:rsidRPr="00000000">
        <w:rPr>
          <w:rFonts w:ascii="Arial" w:cs="Arial" w:eastAsia="Arial" w:hAnsi="Arial"/>
          <w:sz w:val="22"/>
          <w:szCs w:val="22"/>
          <w:rtl w:val="0"/>
        </w:rPr>
        <w:t xml:space="preserve"> with</w:t>
      </w:r>
      <w:r w:rsidDel="00000000" w:rsidR="00000000" w:rsidRPr="00000000">
        <w:rPr>
          <w:rFonts w:ascii="Arial" w:cs="Arial" w:eastAsia="Arial" w:hAnsi="Arial"/>
          <w:b w:val="0"/>
          <w:color w:val="000000"/>
          <w:sz w:val="22"/>
          <w:szCs w:val="22"/>
          <w:vertAlign w:val="baseline"/>
          <w:rtl w:val="0"/>
        </w:rPr>
        <w:t xml:space="preserve"> the larger scientific community. </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w:t>
      </w:r>
      <w:r w:rsidDel="00000000" w:rsidR="00000000" w:rsidRPr="00000000">
        <w:rPr>
          <w:rFonts w:ascii="Arial" w:cs="Arial" w:eastAsia="Arial" w:hAnsi="Arial"/>
          <w:sz w:val="22"/>
          <w:szCs w:val="22"/>
          <w:rtl w:val="0"/>
        </w:rPr>
        <w:t xml:space="preserve">four</w:t>
      </w:r>
      <w:r w:rsidDel="00000000" w:rsidR="00000000" w:rsidRPr="00000000">
        <w:rPr>
          <w:rFonts w:ascii="Arial" w:cs="Arial" w:eastAsia="Arial" w:hAnsi="Arial"/>
          <w:b w:val="0"/>
          <w:color w:val="000000"/>
          <w:sz w:val="22"/>
          <w:szCs w:val="22"/>
          <w:vertAlign w:val="baseline"/>
          <w:rtl w:val="0"/>
        </w:rPr>
        <w:t xml:space="preserve"> aims and the interactions needed to achieve them are greatly facilitated by the composition of the proposed DAC. The DAC members’ expertise spans human</w:t>
      </w:r>
      <w:r w:rsidDel="00000000" w:rsidR="00000000" w:rsidRPr="00000000">
        <w:rPr>
          <w:rFonts w:ascii="Arial" w:cs="Arial" w:eastAsia="Arial" w:hAnsi="Arial"/>
          <w:sz w:val="22"/>
          <w:szCs w:val="22"/>
          <w:rtl w:val="0"/>
        </w:rPr>
        <w:t xml:space="preserve"> and</w:t>
      </w:r>
      <w:r w:rsidDel="00000000" w:rsidR="00000000" w:rsidRPr="00000000">
        <w:rPr>
          <w:rFonts w:ascii="Arial" w:cs="Arial" w:eastAsia="Arial" w:hAnsi="Arial"/>
          <w:b w:val="0"/>
          <w:color w:val="000000"/>
          <w:sz w:val="22"/>
          <w:szCs w:val="22"/>
          <w:vertAlign w:val="baseline"/>
          <w:rtl w:val="0"/>
        </w:rPr>
        <w:t xml:space="preserve"> mouse, and includes element-specific expertise (promoters, enhancers, silencers, protein-coding and non-coding genes, micro-RNAs, se</w:t>
      </w:r>
      <w:r w:rsidDel="00000000" w:rsidR="00000000" w:rsidRPr="00000000">
        <w:rPr>
          <w:rFonts w:ascii="Arial" w:cs="Arial" w:eastAsia="Arial" w:hAnsi="Arial"/>
          <w:sz w:val="22"/>
          <w:szCs w:val="22"/>
          <w:rtl w:val="0"/>
        </w:rPr>
        <w:t xml:space="preserve">quence </w:t>
      </w:r>
      <w:r w:rsidDel="00000000" w:rsidR="00000000" w:rsidRPr="00000000">
        <w:rPr>
          <w:rFonts w:ascii="Arial" w:cs="Arial" w:eastAsia="Arial" w:hAnsi="Arial"/>
          <w:b w:val="0"/>
          <w:color w:val="000000"/>
          <w:sz w:val="22"/>
          <w:szCs w:val="22"/>
          <w:vertAlign w:val="baseline"/>
          <w:rtl w:val="0"/>
        </w:rPr>
        <w:t xml:space="preserve">motifs, splicing, R</w:t>
      </w:r>
      <w:r w:rsidDel="00000000" w:rsidR="00000000" w:rsidRPr="00000000">
        <w:rPr>
          <w:rFonts w:ascii="Arial" w:cs="Arial" w:eastAsia="Arial" w:hAnsi="Arial"/>
          <w:sz w:val="22"/>
          <w:szCs w:val="22"/>
          <w:rtl w:val="0"/>
        </w:rPr>
        <w:t xml:space="preserve">NA binding proteins, and </w:t>
      </w:r>
      <w:r w:rsidDel="00000000" w:rsidR="00000000" w:rsidRPr="00000000">
        <w:rPr>
          <w:rFonts w:ascii="Arial" w:cs="Arial" w:eastAsia="Arial" w:hAnsi="Arial"/>
          <w:b w:val="0"/>
          <w:color w:val="000000"/>
          <w:sz w:val="22"/>
          <w:szCs w:val="22"/>
          <w:vertAlign w:val="baseline"/>
          <w:rtl w:val="0"/>
        </w:rPr>
        <w:t xml:space="preserve">3</w:t>
      </w:r>
      <w:r w:rsidDel="00000000" w:rsidR="00000000" w:rsidRPr="00000000">
        <w:rPr>
          <w:rFonts w:ascii="Arial" w:cs="Arial" w:eastAsia="Arial" w:hAnsi="Arial"/>
          <w:sz w:val="22"/>
          <w:szCs w:val="22"/>
          <w:rtl w:val="0"/>
        </w:rPr>
        <w:t xml:space="preserve">´-untranslated region</w:t>
      </w:r>
      <w:r w:rsidDel="00000000" w:rsidR="00000000" w:rsidRPr="00000000">
        <w:rPr>
          <w:rFonts w:ascii="Arial" w:cs="Arial" w:eastAsia="Arial" w:hAnsi="Arial"/>
          <w:b w:val="0"/>
          <w:color w:val="000000"/>
          <w:sz w:val="22"/>
          <w:szCs w:val="22"/>
          <w:vertAlign w:val="baseline"/>
          <w:rtl w:val="0"/>
        </w:rPr>
        <w:t xml:space="preserve">s), as well as genome-wide analyses and dimensionality reduction techniques (</w:t>
      </w:r>
      <w:r w:rsidDel="00000000" w:rsidR="00000000" w:rsidRPr="00000000">
        <w:rPr>
          <w:rFonts w:ascii="Arial" w:cs="Arial" w:eastAsia="Arial" w:hAnsi="Arial"/>
          <w:sz w:val="22"/>
          <w:szCs w:val="22"/>
          <w:rtl w:val="0"/>
        </w:rPr>
        <w:t xml:space="preserve">principal component analysis, clustering, support vector machines, hidden Markov models</w:t>
      </w:r>
      <w:r w:rsidDel="00000000" w:rsidR="00000000" w:rsidRPr="00000000">
        <w:rPr>
          <w:rFonts w:ascii="Arial" w:cs="Arial" w:eastAsia="Arial" w:hAnsi="Arial"/>
          <w:b w:val="0"/>
          <w:color w:val="000000"/>
          <w:sz w:val="22"/>
          <w:szCs w:val="22"/>
          <w:vertAlign w:val="baseline"/>
          <w:rtl w:val="0"/>
        </w:rPr>
        <w:t xml:space="preserve">, dynamic Bayesian </w:t>
      </w:r>
      <w:r w:rsidDel="00000000" w:rsidR="00000000" w:rsidRPr="00000000">
        <w:rPr>
          <w:rFonts w:ascii="Arial" w:cs="Arial" w:eastAsia="Arial" w:hAnsi="Arial"/>
          <w:sz w:val="22"/>
          <w:szCs w:val="22"/>
          <w:rtl w:val="0"/>
        </w:rPr>
        <w:t xml:space="preserve">n</w:t>
      </w:r>
      <w:r w:rsidDel="00000000" w:rsidR="00000000" w:rsidRPr="00000000">
        <w:rPr>
          <w:rFonts w:ascii="Arial" w:cs="Arial" w:eastAsia="Arial" w:hAnsi="Arial"/>
          <w:b w:val="0"/>
          <w:color w:val="000000"/>
          <w:sz w:val="22"/>
          <w:szCs w:val="22"/>
          <w:vertAlign w:val="baseline"/>
          <w:rtl w:val="0"/>
        </w:rPr>
        <w:t xml:space="preserve">etworks, and deep learning). DAC members are collaborating directly with every production group in ENCODE, and thus will have intrinsic knowledge of each data type and the experimental intricacies involved in its generation. </w:t>
      </w:r>
      <w:r w:rsidDel="00000000" w:rsidR="00000000" w:rsidRPr="00000000">
        <w:rPr>
          <w:rFonts w:ascii="Arial" w:cs="Arial" w:eastAsia="Arial" w:hAnsi="Arial"/>
          <w:sz w:val="22"/>
          <w:szCs w:val="22"/>
          <w:rtl w:val="0"/>
        </w:rPr>
        <w:t xml:space="preserve">One DAC investigator </w:t>
      </w:r>
      <w:r w:rsidDel="00000000" w:rsidR="00000000" w:rsidRPr="00000000">
        <w:rPr>
          <w:rFonts w:ascii="Arial" w:cs="Arial" w:eastAsia="Arial" w:hAnsi="Arial"/>
          <w:b w:val="0"/>
          <w:color w:val="000000"/>
          <w:sz w:val="22"/>
          <w:szCs w:val="22"/>
          <w:vertAlign w:val="baseline"/>
          <w:rtl w:val="0"/>
        </w:rPr>
        <w:t xml:space="preserve">This will make for a uniquely flexible team able to take on any aspect of the integrative analysis, but also a highly integrated team, as all members have longstanding experience of working together in ENCODE and related consortia. In addition, we have established a strong leadership and organizational structure for the DAC, as described in the PI Leadership Plan. Weng will be the head of the DAC, and a three-person committee composed of Weng, Gerstein, and Kellis will jointly make decisions on all important matters. These three labs are located in physical proximity of each other (~2 hours drive), in the same time zone, and thus can collaborate extensively and respond quickly to any analysis needs, which is particularly important during the final pushes of putting together Consortium papers. See support letters from the PIs of several current production groups and the DCC of ENCODE: Drs. Mike Snyder, Rick Myers, Brad Bernstein, Brent Grave</w:t>
      </w:r>
      <w:r w:rsidDel="00000000" w:rsidR="00000000" w:rsidRPr="00000000">
        <w:rPr>
          <w:rFonts w:ascii="Arial" w:cs="Arial" w:eastAsia="Arial" w:hAnsi="Arial"/>
          <w:sz w:val="22"/>
          <w:szCs w:val="22"/>
          <w:rtl w:val="0"/>
        </w:rPr>
        <w:t xml:space="preserve">le</w:t>
      </w:r>
      <w:r w:rsidDel="00000000" w:rsidR="00000000" w:rsidRPr="00000000">
        <w:rPr>
          <w:rFonts w:ascii="Arial" w:cs="Arial" w:eastAsia="Arial" w:hAnsi="Arial"/>
          <w:b w:val="0"/>
          <w:color w:val="000000"/>
          <w:sz w:val="22"/>
          <w:szCs w:val="22"/>
          <w:vertAlign w:val="baseline"/>
          <w:rtl w:val="0"/>
        </w:rPr>
        <w:t xml:space="preserve">y</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Tom Gingeras, </w:t>
      </w:r>
      <w:r w:rsidDel="00000000" w:rsidR="00000000" w:rsidRPr="00000000">
        <w:rPr>
          <w:rFonts w:ascii="Arial" w:cs="Arial" w:eastAsia="Arial" w:hAnsi="Arial"/>
          <w:sz w:val="22"/>
          <w:szCs w:val="22"/>
          <w:rtl w:val="0"/>
        </w:rPr>
        <w:t xml:space="preserve">Bing Ren</w:t>
      </w:r>
      <w:r w:rsidDel="00000000" w:rsidR="00000000" w:rsidRPr="00000000">
        <w:rPr>
          <w:rFonts w:ascii="Arial" w:cs="Arial" w:eastAsia="Arial" w:hAnsi="Arial"/>
          <w:b w:val="0"/>
          <w:color w:val="000000"/>
          <w:sz w:val="22"/>
          <w:szCs w:val="22"/>
          <w:vertAlign w:val="baseline"/>
          <w:rtl w:val="0"/>
        </w:rPr>
        <w:t xml:space="preserve">, and </w:t>
      </w:r>
      <w:r w:rsidDel="00000000" w:rsidR="00000000" w:rsidRPr="00000000">
        <w:rPr>
          <w:rFonts w:ascii="Arial" w:cs="Arial" w:eastAsia="Arial" w:hAnsi="Arial"/>
          <w:sz w:val="22"/>
          <w:szCs w:val="22"/>
          <w:rtl w:val="0"/>
        </w:rPr>
        <w:t xml:space="preserve">Mike Cherry</w:t>
      </w:r>
      <w:r w:rsidDel="00000000" w:rsidR="00000000" w:rsidRPr="00000000">
        <w:rPr>
          <w:rFonts w:ascii="Arial" w:cs="Arial" w:eastAsia="Arial" w:hAnsi="Arial"/>
          <w:b w:val="0"/>
          <w:color w:val="000000"/>
          <w:sz w:val="22"/>
          <w:szCs w:val="22"/>
          <w:vertAlign w:val="baseline"/>
          <w:rtl w:val="0"/>
        </w:rPr>
        <w:t xml:space="preserve">.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INNOVATION</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This project requires a different type of innovation from traditional R01s. The RFA requires that we follow the directions set by the AWG, although we can contribute to setting the directions. Thus, we are fundamentally limited in being innovative in taking direction. Nonetheless, we are highly innovative in putting together a multifaceted team to meet the enormous challenge of facilitating and performing the integrative analysis activities in ENCODE, a large and complex consortium. At present, our team consists of </w:t>
      </w:r>
      <w:r w:rsidDel="00000000" w:rsidR="00000000" w:rsidRPr="00000000">
        <w:rPr>
          <w:rFonts w:ascii="Arial" w:cs="Arial" w:eastAsia="Arial" w:hAnsi="Arial"/>
          <w:sz w:val="22"/>
          <w:szCs w:val="22"/>
          <w:rtl w:val="0"/>
        </w:rPr>
        <w:t xml:space="preserve">eight</w:t>
      </w:r>
      <w:r w:rsidDel="00000000" w:rsidR="00000000" w:rsidRPr="00000000">
        <w:rPr>
          <w:rFonts w:ascii="Arial" w:cs="Arial" w:eastAsia="Arial" w:hAnsi="Arial"/>
          <w:b w:val="0"/>
          <w:color w:val="000000"/>
          <w:sz w:val="22"/>
          <w:szCs w:val="22"/>
          <w:vertAlign w:val="baseline"/>
          <w:rtl w:val="0"/>
        </w:rPr>
        <w:t xml:space="preserve"> highly talented investigators with expertise covering broad biological areas: transcriptional regulation (Weng, Kellis, Gerstein, Guigo, and Liu), epigenetics (Kellis, Weng, Gerstein, Kundaje, and Liu), evolution (Kellis), genomics and proteomics (Noble, Gerstein, Weng, and Guigo), regulatory RNA (Kellis and Weng), and biophysics (Gerstein and Weng). The team also has a variety of expertise in computational biology, e.g., machine learning (Noble</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Kellis, and Kundaje), statistical genetics (Liu and Irizarry), networks (Gerstein and Weng), and gene annotation (Roderic and Gerstein).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are confident that the assembled team can produce innovative science in a consortium framework. This is manifested by the many Consortium publications that the team members have led and participated in. In particular, the team members have been highly innovative in building and applying state-of-the-art methods, with examples described in </w:t>
      </w:r>
      <w:r w:rsidDel="00000000" w:rsidR="00000000" w:rsidRPr="00000000">
        <w:rPr>
          <w:rFonts w:ascii="Arial" w:cs="Arial" w:eastAsia="Arial" w:hAnsi="Arial"/>
          <w:b w:val="1"/>
          <w:color w:val="000000"/>
          <w:sz w:val="22"/>
          <w:szCs w:val="22"/>
          <w:vertAlign w:val="baseline"/>
          <w:rtl w:val="0"/>
        </w:rPr>
        <w:t xml:space="preserve">Aims </w:t>
      </w:r>
      <w:r w:rsidDel="00000000" w:rsidR="00000000" w:rsidRPr="00000000">
        <w:rPr>
          <w:rFonts w:ascii="Arial" w:cs="Arial" w:eastAsia="Arial" w:hAnsi="Arial"/>
          <w:b w:val="1"/>
          <w:sz w:val="22"/>
          <w:szCs w:val="22"/>
          <w:rtl w:val="0"/>
        </w:rPr>
        <w:t xml:space="preserve">1-4</w:t>
      </w:r>
      <w:r w:rsidDel="00000000" w:rsidR="00000000" w:rsidRPr="00000000">
        <w:rPr>
          <w:rFonts w:ascii="Arial" w:cs="Arial" w:eastAsia="Arial" w:hAnsi="Arial"/>
          <w:b w:val="0"/>
          <w:color w:val="000000"/>
          <w:sz w:val="22"/>
          <w:szCs w:val="22"/>
          <w:vertAlign w:val="baseline"/>
          <w:rtl w:val="0"/>
        </w:rPr>
        <w:t xml:space="preserve">, and a long history of producing computational tools that are widely used by the broader community. Importantly, most team members have a rich experience in various consortia: ENCODE (Weng, Gerstein, Kellis, Guigo, and Noble), modENCODE (Gerstein, Kellis, and Liu), the Epigenome Roadmap (Kellis), the 1000 Genomes Project (Gerstein), the Brainspan Project (Gerstein), DOE KBase (Gerstein), and the 29 Mammals Project and the 12 Flies Project (Kellis). In summary, we have assembled a team with the right expertise, that has worked in large collaborative consortia and has delivered in that environment. The details of the team members are provided as follows:</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Zhiping Weng (U. Mass. Medical School) Professor Zhiping Weng has an engineering background, and has worked for the last decade on biological problems ranging from genomic to </w:t>
      </w:r>
      <w:r w:rsidDel="00000000" w:rsidR="00000000" w:rsidRPr="00000000">
        <w:rPr>
          <w:rFonts w:ascii="Arial" w:cs="Arial" w:eastAsia="Arial" w:hAnsi="Arial"/>
          <w:sz w:val="22"/>
          <w:szCs w:val="22"/>
          <w:rtl w:val="0"/>
        </w:rPr>
        <w:t xml:space="preserve">protein-protein interaction</w:t>
      </w:r>
      <w:r w:rsidDel="00000000" w:rsidR="00000000" w:rsidRPr="00000000">
        <w:rPr>
          <w:rFonts w:ascii="Arial" w:cs="Arial" w:eastAsia="Arial" w:hAnsi="Arial"/>
          <w:b w:val="0"/>
          <w:color w:val="000000"/>
          <w:sz w:val="22"/>
          <w:szCs w:val="22"/>
          <w:vertAlign w:val="baseline"/>
          <w:rtl w:val="0"/>
        </w:rPr>
        <w:t xml:space="preserve"> analysis. She has participated in the ENCODE project since its inception in 2003, leading a technology development project in the pilot phase of ENCODE (2003-2007)</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0"/>
          <w:color w:val="000000"/>
          <w:sz w:val="22"/>
          <w:szCs w:val="22"/>
          <w:vertAlign w:val="baseline"/>
          <w:rtl w:val="0"/>
        </w:rPr>
        <w:t xml:space="preserve">a pilot project during the scale-up phase of ENCODE (2007-2011), and the DAC for ENCODE III. She has also participated in the integrative analysis in ENCODE since 2003, co-chaired the transcription regulation analysis group in the pilot phase of ENCODE,</w:t>
      </w:r>
      <w:r w:rsidDel="00000000" w:rsidR="00000000" w:rsidRPr="00000000">
        <w:rPr>
          <w:rFonts w:ascii="Arial" w:cs="Arial" w:eastAsia="Arial" w:hAnsi="Arial"/>
          <w:sz w:val="22"/>
          <w:szCs w:val="22"/>
          <w:rtl w:val="0"/>
        </w:rPr>
        <w:t xml:space="preserve"> and was</w:t>
      </w:r>
      <w:r w:rsidDel="00000000" w:rsidR="00000000" w:rsidRPr="00000000">
        <w:rPr>
          <w:rFonts w:ascii="Arial" w:cs="Arial" w:eastAsia="Arial" w:hAnsi="Arial"/>
          <w:b w:val="0"/>
          <w:color w:val="000000"/>
          <w:sz w:val="22"/>
          <w:szCs w:val="22"/>
          <w:vertAlign w:val="baseline"/>
          <w:rtl w:val="0"/>
        </w:rPr>
        <w:t xml:space="preserve"> a member of the DAC in ENC</w:t>
      </w:r>
      <w:r w:rsidDel="00000000" w:rsidR="00000000" w:rsidRPr="00000000">
        <w:rPr>
          <w:rFonts w:ascii="Arial" w:cs="Arial" w:eastAsia="Arial" w:hAnsi="Arial"/>
          <w:sz w:val="22"/>
          <w:szCs w:val="22"/>
          <w:rtl w:val="0"/>
        </w:rPr>
        <w:t xml:space="preserve">ODE II</w:t>
      </w:r>
      <w:r w:rsidDel="00000000" w:rsidR="00000000" w:rsidRPr="00000000">
        <w:rPr>
          <w:rFonts w:ascii="Arial" w:cs="Arial" w:eastAsia="Arial" w:hAnsi="Arial"/>
          <w:b w:val="0"/>
          <w:color w:val="000000"/>
          <w:sz w:val="22"/>
          <w:szCs w:val="22"/>
          <w:vertAlign w:val="baseline"/>
          <w:rtl w:val="0"/>
        </w:rPr>
        <w:t xml:space="preserve">. She currently heads the ENCODE DAC and co-chairs the </w:t>
      </w:r>
      <w:r w:rsidDel="00000000" w:rsidR="00000000" w:rsidRPr="00000000">
        <w:rPr>
          <w:rFonts w:ascii="Arial" w:cs="Arial" w:eastAsia="Arial" w:hAnsi="Arial"/>
          <w:sz w:val="22"/>
          <w:szCs w:val="22"/>
          <w:rtl w:val="0"/>
        </w:rPr>
        <w:t xml:space="preserve">AWG. </w:t>
      </w:r>
      <w:r w:rsidDel="00000000" w:rsidR="00000000" w:rsidRPr="00000000">
        <w:rPr>
          <w:rFonts w:ascii="Arial" w:cs="Arial" w:eastAsia="Arial" w:hAnsi="Arial"/>
          <w:b w:val="0"/>
          <w:color w:val="000000"/>
          <w:sz w:val="22"/>
          <w:szCs w:val="22"/>
          <w:vertAlign w:val="baseline"/>
          <w:rtl w:val="0"/>
        </w:rPr>
        <w:t xml:space="preserve">She </w:t>
      </w:r>
      <w:r w:rsidDel="00000000" w:rsidR="00000000" w:rsidRPr="00000000">
        <w:rPr>
          <w:rFonts w:ascii="Arial" w:cs="Arial" w:eastAsia="Arial" w:hAnsi="Arial"/>
          <w:sz w:val="22"/>
          <w:szCs w:val="22"/>
          <w:rtl w:val="0"/>
        </w:rPr>
        <w:t xml:space="preserve">has worked</w:t>
      </w:r>
      <w:r w:rsidDel="00000000" w:rsidR="00000000" w:rsidRPr="00000000">
        <w:rPr>
          <w:rFonts w:ascii="Arial" w:cs="Arial" w:eastAsia="Arial" w:hAnsi="Arial"/>
          <w:b w:val="0"/>
          <w:color w:val="000000"/>
          <w:sz w:val="22"/>
          <w:szCs w:val="22"/>
          <w:vertAlign w:val="baseline"/>
          <w:rtl w:val="0"/>
        </w:rPr>
        <w:t xml:space="preserve"> on transcription factor binding site detectio</w:t>
      </w:r>
      <w:r w:rsidDel="00000000" w:rsidR="00000000" w:rsidRPr="00000000">
        <w:rPr>
          <w:rFonts w:ascii="Arial" w:cs="Arial" w:eastAsia="Arial" w:hAnsi="Arial"/>
          <w:sz w:val="22"/>
          <w:szCs w:val="22"/>
          <w:rtl w:val="0"/>
        </w:rPr>
        <w:t xml:space="preserve">n, integrating histone modification signals to predict gene expression, and integrating chromatin features to predict enhancers and their target genes. </w:t>
      </w:r>
      <w:r w:rsidDel="00000000" w:rsidR="00000000" w:rsidRPr="00000000">
        <w:rPr>
          <w:rtl w:val="0"/>
        </w:rPr>
      </w:r>
    </w:p>
    <w:p w:rsidR="00000000" w:rsidDel="00000000" w:rsidP="00000000" w:rsidRDefault="00000000" w:rsidRPr="00000000">
      <w:pPr>
        <w:spacing w:after="100" w:before="0" w:line="240" w:lineRule="auto"/>
        <w:contextualSpacing w:val="0"/>
      </w:pPr>
      <w:commentRangeStart w:id="5"/>
      <w:r w:rsidDel="00000000" w:rsidR="00000000" w:rsidRPr="00000000">
        <w:rPr>
          <w:rFonts w:ascii="Arial" w:cs="Arial" w:eastAsia="Arial" w:hAnsi="Arial"/>
          <w:b w:val="0"/>
          <w:color w:val="000000"/>
          <w:sz w:val="22"/>
          <w:szCs w:val="22"/>
          <w:vertAlign w:val="baseline"/>
          <w:rtl w:val="0"/>
        </w:rPr>
        <w:t xml:space="preserve">Manolis Kellis</w:t>
      </w:r>
      <w:commentRangeEnd w:id="5"/>
      <w:r w:rsidDel="00000000" w:rsidR="00000000" w:rsidRPr="00000000">
        <w:commentReference w:id="5"/>
      </w:r>
      <w:r w:rsidDel="00000000" w:rsidR="00000000" w:rsidRPr="00000000">
        <w:rPr>
          <w:rFonts w:ascii="Arial" w:cs="Arial" w:eastAsia="Arial" w:hAnsi="Arial"/>
          <w:b w:val="0"/>
          <w:color w:val="000000"/>
          <w:sz w:val="22"/>
          <w:szCs w:val="22"/>
          <w:vertAlign w:val="baseline"/>
          <w:rtl w:val="0"/>
        </w:rPr>
        <w:t xml:space="preserve"> (MIT and the Broad Institute) Professor Manolis Kellis is a professor of Computer Science and has a background in machine learning, computer science, and computational biology with 10+ years experience in genomics. He has led or co-led a large number of large-scale genomic studies, including the comparative analysis of 29 mammals, the integrative analysis of ENCODE chromatin datasets, the fly modENCODE integrative analysis, the comparative analysis of 12 </w:t>
      </w:r>
      <w:r w:rsidDel="00000000" w:rsidR="00000000" w:rsidRPr="00000000">
        <w:rPr>
          <w:rFonts w:ascii="Arial" w:cs="Arial" w:eastAsia="Arial" w:hAnsi="Arial"/>
          <w:b w:val="0"/>
          <w:i w:val="1"/>
          <w:color w:val="000000"/>
          <w:sz w:val="22"/>
          <w:szCs w:val="22"/>
          <w:vertAlign w:val="baseline"/>
          <w:rtl w:val="0"/>
        </w:rPr>
        <w:t xml:space="preserve">Drosophila</w:t>
      </w:r>
      <w:r w:rsidDel="00000000" w:rsidR="00000000" w:rsidRPr="00000000">
        <w:rPr>
          <w:rFonts w:ascii="Arial" w:cs="Arial" w:eastAsia="Arial" w:hAnsi="Arial"/>
          <w:b w:val="0"/>
          <w:color w:val="000000"/>
          <w:sz w:val="22"/>
          <w:szCs w:val="22"/>
          <w:vertAlign w:val="baseline"/>
          <w:rtl w:val="0"/>
        </w:rPr>
        <w:t xml:space="preserve"> species, the comparative analysis of eight Candida genomes, and the first comparative studies of four yeast species. </w:t>
      </w:r>
      <w:r w:rsidDel="00000000" w:rsidR="00000000" w:rsidRPr="00000000">
        <w:rPr>
          <w:rtl w:val="0"/>
        </w:rPr>
      </w:r>
    </w:p>
    <w:p w:rsidR="00000000" w:rsidDel="00000000" w:rsidP="00000000" w:rsidRDefault="00000000" w:rsidRPr="00000000">
      <w:pPr>
        <w:spacing w:after="100" w:before="0" w:line="240" w:lineRule="auto"/>
        <w:contextualSpacing w:val="0"/>
      </w:pPr>
      <w:commentRangeStart w:id="6"/>
      <w:r w:rsidDel="00000000" w:rsidR="00000000" w:rsidRPr="00000000">
        <w:rPr>
          <w:rFonts w:ascii="Arial" w:cs="Arial" w:eastAsia="Arial" w:hAnsi="Arial"/>
          <w:b w:val="0"/>
          <w:color w:val="000000"/>
          <w:sz w:val="22"/>
          <w:szCs w:val="22"/>
          <w:vertAlign w:val="baseline"/>
          <w:rtl w:val="0"/>
        </w:rPr>
        <w:t xml:space="preserve">Mark Gerstein</w:t>
      </w:r>
      <w:commentRangeEnd w:id="6"/>
      <w:r w:rsidDel="00000000" w:rsidR="00000000" w:rsidRPr="00000000">
        <w:commentReference w:id="6"/>
      </w:r>
      <w:r w:rsidDel="00000000" w:rsidR="00000000" w:rsidRPr="00000000">
        <w:rPr>
          <w:rFonts w:ascii="Arial" w:cs="Arial" w:eastAsia="Arial" w:hAnsi="Arial"/>
          <w:b w:val="0"/>
          <w:color w:val="000000"/>
          <w:sz w:val="22"/>
          <w:szCs w:val="22"/>
          <w:vertAlign w:val="baseline"/>
          <w:rtl w:val="0"/>
        </w:rPr>
        <w:t xml:space="preserve"> (Yale U.) Professor Gerstein has been an integral part of the ENCODE Project since its inception, and within the project he has assumed a number of leadership roles. For instance, he co-directed the Networks/Elements Group, which resulted in his co-leading one of the ENCODE high-profile companions</w:t>
      </w:r>
      <w:r w:rsidDel="00000000" w:rsidR="00000000" w:rsidRPr="00000000">
        <w:rPr>
          <w:rFonts w:ascii="Arial" w:cs="Arial" w:eastAsia="Arial" w:hAnsi="Arial"/>
          <w:b w:val="0"/>
          <w:color w:val="000000"/>
          <w:sz w:val="22"/>
          <w:szCs w:val="22"/>
          <w:vertAlign w:val="superscript"/>
          <w:rtl w:val="0"/>
        </w:rPr>
        <w:t xml:space="preserve">8</w:t>
      </w:r>
      <w:r w:rsidDel="00000000" w:rsidR="00000000" w:rsidRPr="00000000">
        <w:rPr>
          <w:rFonts w:ascii="Arial" w:cs="Arial" w:eastAsia="Arial" w:hAnsi="Arial"/>
          <w:b w:val="0"/>
          <w:color w:val="000000"/>
          <w:sz w:val="22"/>
          <w:szCs w:val="22"/>
          <w:vertAlign w:val="baseline"/>
          <w:rtl w:val="0"/>
        </w:rPr>
        <w:t xml:space="preserve">. He was co-chair of the AWG in modENCODE and in this capacity led the worm integrative paper</w:t>
      </w:r>
      <w:r w:rsidDel="00000000" w:rsidR="00000000" w:rsidRPr="00000000">
        <w:rPr>
          <w:rFonts w:ascii="Arial" w:cs="Arial" w:eastAsia="Arial" w:hAnsi="Arial"/>
          <w:b w:val="0"/>
          <w:color w:val="000000"/>
          <w:sz w:val="22"/>
          <w:szCs w:val="22"/>
          <w:vertAlign w:val="superscript"/>
          <w:rtl w:val="0"/>
        </w:rPr>
        <w:t xml:space="preserve">9</w:t>
      </w:r>
      <w:r w:rsidDel="00000000" w:rsidR="00000000" w:rsidRPr="00000000">
        <w:rPr>
          <w:rFonts w:ascii="Arial" w:cs="Arial" w:eastAsia="Arial" w:hAnsi="Arial"/>
          <w:b w:val="0"/>
          <w:color w:val="000000"/>
          <w:sz w:val="22"/>
          <w:szCs w:val="22"/>
          <w:vertAlign w:val="baseline"/>
          <w:rtl w:val="0"/>
        </w:rPr>
        <w:t xml:space="preserve">. He also led and participated in a number of sub-analyses resulting in 10 companion papers in pilot ENCODE and modENCODE, particularly those focusing on pseudogenes, ncRNAs, and TF binding sites</w:t>
      </w:r>
      <w:r w:rsidDel="00000000" w:rsidR="00000000" w:rsidRPr="00000000">
        <w:rPr>
          <w:rFonts w:ascii="Arial" w:cs="Arial" w:eastAsia="Arial" w:hAnsi="Arial"/>
          <w:b w:val="0"/>
          <w:color w:val="000000"/>
          <w:sz w:val="22"/>
          <w:szCs w:val="22"/>
          <w:vertAlign w:val="superscript"/>
          <w:rtl w:val="0"/>
        </w:rPr>
        <w:t xml:space="preserve">10-19</w:t>
      </w:r>
      <w:r w:rsidDel="00000000" w:rsidR="00000000" w:rsidRPr="00000000">
        <w:rPr>
          <w:rFonts w:ascii="Arial" w:cs="Arial" w:eastAsia="Arial" w:hAnsi="Arial"/>
          <w:b w:val="0"/>
          <w:color w:val="000000"/>
          <w:sz w:val="22"/>
          <w:szCs w:val="22"/>
          <w:vertAlign w:val="baseline"/>
          <w:rtl w:val="0"/>
        </w:rPr>
        <w:t xml:space="preserve">. He is a member of a number of other genomics consortia, including the 1000 Genomes Project, Brainspan, and DOE Kbase and in these groups he has worked on connecting the ENCODE annotations with other datasets.</w:t>
      </w:r>
      <w:r w:rsidDel="00000000" w:rsidR="00000000" w:rsidRPr="00000000">
        <w:rPr>
          <w:rtl w:val="0"/>
        </w:rPr>
      </w:r>
    </w:p>
    <w:p w:rsidR="00000000" w:rsidDel="00000000" w:rsidP="00000000" w:rsidRDefault="00000000" w:rsidRPr="00000000">
      <w:pPr>
        <w:spacing w:after="100" w:before="0" w:line="240" w:lineRule="auto"/>
        <w:contextualSpacing w:val="0"/>
      </w:pPr>
      <w:commentRangeStart w:id="7"/>
      <w:r w:rsidDel="00000000" w:rsidR="00000000" w:rsidRPr="00000000">
        <w:rPr>
          <w:rFonts w:ascii="Arial" w:cs="Arial" w:eastAsia="Arial" w:hAnsi="Arial"/>
          <w:b w:val="0"/>
          <w:color w:val="000000"/>
          <w:sz w:val="22"/>
          <w:szCs w:val="22"/>
          <w:vertAlign w:val="baseline"/>
          <w:rtl w:val="0"/>
        </w:rPr>
        <w:t xml:space="preserve">Roderic Guigo</w:t>
      </w:r>
      <w:commentRangeEnd w:id="7"/>
      <w:r w:rsidDel="00000000" w:rsidR="00000000" w:rsidRPr="00000000">
        <w:commentReference w:id="7"/>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Center for Genomic Regulation and University Pompeu Fabra) </w:t>
      </w:r>
      <w:r w:rsidDel="00000000" w:rsidR="00000000" w:rsidRPr="00000000">
        <w:rPr>
          <w:rFonts w:ascii="Arial" w:cs="Arial" w:eastAsia="Arial" w:hAnsi="Arial"/>
          <w:b w:val="0"/>
          <w:color w:val="000000"/>
          <w:sz w:val="22"/>
          <w:szCs w:val="22"/>
          <w:vertAlign w:val="baseline"/>
          <w:rtl w:val="0"/>
        </w:rPr>
        <w:t xml:space="preserve"> Professor Guigo has been active in the field of Computational Genomics for more than 2</w:t>
      </w:r>
      <w:r w:rsidDel="00000000" w:rsidR="00000000" w:rsidRPr="00000000">
        <w:rPr>
          <w:rFonts w:ascii="Arial" w:cs="Arial" w:eastAsia="Arial" w:hAnsi="Arial"/>
          <w:sz w:val="22"/>
          <w:szCs w:val="22"/>
          <w:rtl w:val="0"/>
        </w:rPr>
        <w:t xml:space="preserve">5</w:t>
      </w:r>
      <w:r w:rsidDel="00000000" w:rsidR="00000000" w:rsidRPr="00000000">
        <w:rPr>
          <w:rFonts w:ascii="Arial" w:cs="Arial" w:eastAsia="Arial" w:hAnsi="Arial"/>
          <w:b w:val="0"/>
          <w:color w:val="000000"/>
          <w:sz w:val="22"/>
          <w:szCs w:val="22"/>
          <w:vertAlign w:val="baseline"/>
          <w:rtl w:val="0"/>
        </w:rPr>
        <w:t xml:space="preserve"> years. He has developed widely used tools for gene finding and annotation, such as </w:t>
      </w:r>
      <w:r w:rsidDel="00000000" w:rsidR="00000000" w:rsidRPr="00000000">
        <w:rPr>
          <w:rFonts w:ascii="Arial" w:cs="Arial" w:eastAsia="Arial" w:hAnsi="Arial"/>
          <w:sz w:val="22"/>
          <w:szCs w:val="22"/>
          <w:rtl w:val="0"/>
        </w:rPr>
        <w:t xml:space="preserve">GENEID </w:t>
      </w:r>
      <w:r w:rsidDel="00000000" w:rsidR="00000000" w:rsidRPr="00000000">
        <w:rPr>
          <w:rFonts w:ascii="Arial" w:cs="Arial" w:eastAsia="Arial" w:hAnsi="Arial"/>
          <w:b w:val="0"/>
          <w:color w:val="000000"/>
          <w:sz w:val="22"/>
          <w:szCs w:val="22"/>
          <w:vertAlign w:val="baseline"/>
          <w:rtl w:val="0"/>
        </w:rPr>
        <w:t xml:space="preserve">and </w:t>
      </w:r>
      <w:r w:rsidDel="00000000" w:rsidR="00000000" w:rsidRPr="00000000">
        <w:rPr>
          <w:rFonts w:ascii="Arial" w:cs="Arial" w:eastAsia="Arial" w:hAnsi="Arial"/>
          <w:sz w:val="22"/>
          <w:szCs w:val="22"/>
          <w:rtl w:val="0"/>
        </w:rPr>
        <w:t xml:space="preserve">SGP, as well as benchmark metrics and datasets to evaluate the accuracy of gene prediction methods. He has participated in many genome projects, often in leadership positions. He has been involved in the ENCODE Project since the pilot phase, in which he lead the GENCODE efforts to delineate the gene and transcript reference annotation of the human genome. The bulk of his current research currently focuses on the mechanisms underlying RNA production (transcription) and post-processing (splicing), and, in addition to ENCODE, he participates in other large scale functional genomics projects such as GTEx and BluePrint.</w:t>
      </w:r>
    </w:p>
    <w:p w:rsidR="00000000" w:rsidDel="00000000" w:rsidP="00000000" w:rsidRDefault="00000000" w:rsidRPr="00000000">
      <w:pPr>
        <w:spacing w:after="100" w:before="0" w:line="240" w:lineRule="auto"/>
        <w:contextualSpacing w:val="0"/>
      </w:pPr>
      <w:commentRangeStart w:id="8"/>
      <w:r w:rsidDel="00000000" w:rsidR="00000000" w:rsidRPr="00000000">
        <w:rPr>
          <w:rFonts w:ascii="Arial" w:cs="Arial" w:eastAsia="Arial" w:hAnsi="Arial"/>
          <w:b w:val="0"/>
          <w:color w:val="000000"/>
          <w:sz w:val="22"/>
          <w:szCs w:val="22"/>
          <w:vertAlign w:val="baseline"/>
          <w:rtl w:val="0"/>
        </w:rPr>
        <w:t xml:space="preserve">Rafael Irizarry</w:t>
      </w:r>
      <w:commentRangeEnd w:id="8"/>
      <w:r w:rsidDel="00000000" w:rsidR="00000000" w:rsidRPr="00000000">
        <w:commentReference w:id="8"/>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Dana Farber Cancer Institute; Harvard U.</w:t>
      </w:r>
      <w:r w:rsidDel="00000000" w:rsidR="00000000" w:rsidRPr="00000000">
        <w:rPr>
          <w:rFonts w:ascii="Arial" w:cs="Arial" w:eastAsia="Arial" w:hAnsi="Arial"/>
          <w:b w:val="0"/>
          <w:color w:val="000000"/>
          <w:sz w:val="22"/>
          <w:szCs w:val="22"/>
          <w:vertAlign w:val="baseline"/>
          <w:rtl w:val="0"/>
        </w:rPr>
        <w:t xml:space="preserve">) Professor Irizarry has over ten years of experience developing methods for high-throughput genomics data. His dedication to producing tools that are useful to biologist and the wider research community is evidenced by the popularity of the methods he has developed, such as RMA, fRMA, GCRMA, CRLMM, and CHARM. He has made these tools and the computer code freely available. His expertise in dealing with bias, systematic errors, and unwanted variation in biological data will be extremely valuable for improving the quality of ENCODE data via statistical methods.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rtl w:val="0"/>
        </w:rPr>
        <w:t xml:space="preserve">Anshul Kundaje (Stanford U.) </w:t>
      </w:r>
      <w:r w:rsidDel="00000000" w:rsidR="00000000" w:rsidRPr="00000000">
        <w:rPr>
          <w:rFonts w:ascii="Arial" w:cs="Arial" w:eastAsia="Arial" w:hAnsi="Arial"/>
          <w:sz w:val="22"/>
          <w:szCs w:val="22"/>
          <w:rtl w:val="0"/>
        </w:rPr>
        <w:t xml:space="preserve">Prof. Kundaje's lab develops computational approaches to decipher the context-specific regulatory architecture of the human genome and the genetic and molecular basis of complex traits and disease by integrating diverse types of large-scale functional genomic and genetic data. Dr. Kundaje was trained as a computer scientist with expertise in data mining and machine learning coupled with extensive experience with large-scale integrative analysis of functional genomic data. He was the lead computational analyst of the ENCODE II Project and The Roadmap Epigenomics Project. He is currently an active member of the ENCODE III Data Analysis Center and co-leads the Regulation Subgroup. Dr. Kundaje has developed machine learning methods for deciphering comprehensive maps of cell-type specific regulatory elements; deconvolving sequence, structural and functional heterogeneity of elements; learning predictive regulatory network models and interpreting the regulatory impact of natural and disease-associated non-coding genetic variation. He has developed state-of-the-art quality control measures and automated data processing pipelines for diverse functional genomic data types. Dr. Kundaje also has significant experience developing software infrastructure and web portals for rapid, cloud-based data mining and visualization of large-scale regulatory genomics data. </w:t>
      </w:r>
      <w:r w:rsidDel="00000000" w:rsidR="00000000" w:rsidRPr="00000000">
        <w:rPr>
          <w:rFonts w:ascii="Arial" w:cs="Arial" w:eastAsia="Arial" w:hAnsi="Arial"/>
          <w:sz w:val="22"/>
          <w:szCs w:val="22"/>
          <w:rtl w:val="0"/>
        </w:rPr>
        <w:t xml:space="preserve"> </w:t>
      </w:r>
      <w:r w:rsidDel="00000000" w:rsidR="00000000" w:rsidRPr="00000000">
        <w:rPr>
          <w:rtl w:val="0"/>
        </w:rPr>
      </w:r>
    </w:p>
    <w:p w:rsidR="00000000" w:rsidDel="00000000" w:rsidP="00000000" w:rsidRDefault="00000000" w:rsidRPr="00000000">
      <w:pPr>
        <w:contextualSpacing w:val="0"/>
      </w:pPr>
      <w:bookmarkStart w:colFirst="0" w:colLast="0" w:name="h.gjdgxs" w:id="0"/>
      <w:bookmarkEnd w:id="0"/>
      <w:r w:rsidDel="00000000" w:rsidR="00000000" w:rsidRPr="00000000">
        <w:rPr>
          <w:rFonts w:ascii="Arial" w:cs="Arial" w:eastAsia="Arial" w:hAnsi="Arial"/>
          <w:sz w:val="22"/>
          <w:szCs w:val="22"/>
          <w:rtl w:val="0"/>
        </w:rPr>
        <w:t xml:space="preserve">X. Shirley Liu (Dana-Farber Cancer Institute; Harvard T.H.Chan School of Public Health) Professor Liu is a computational biologist with expertise in on algorithm development and integrative modeling of gene regulation. She has been a member of the mod/ENCODE consortia and the director of the Center for Functional Cancer Epigenetics at the Dana-Farber Cancer Institute. Her group developed a number of widely used algorithms for transcription factor (TF) motif finding, ChIP-chip/seq, MNase/DNase-seq, and recently on CRISPR screen data analysis. Through integrating genome-wide transcription factor binding, chromatin dynamics, gene expression profiles, genetic and chemical screens, they work to model the specificity and function of transcription factors, chromatin regulators and lncRNAs in tumor development, progression, drug response and resistance. A key component of big data integration is data normalization and bias correction, and she has also been at the forefront of identifying and correcting biases in next-generation sequencing and epigenomics data.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William Noble</w:t>
      </w:r>
      <w:r w:rsidDel="00000000" w:rsidR="00000000" w:rsidRPr="00000000">
        <w:rPr>
          <w:rFonts w:ascii="Arial" w:cs="Arial" w:eastAsia="Arial" w:hAnsi="Arial"/>
          <w:b w:val="0"/>
          <w:color w:val="000000"/>
          <w:sz w:val="22"/>
          <w:szCs w:val="22"/>
          <w:vertAlign w:val="baseline"/>
          <w:rtl w:val="0"/>
        </w:rPr>
        <w:t xml:space="preserve"> (U. Washington) Professor Noble has a background in </w:t>
      </w:r>
      <w:r w:rsidDel="00000000" w:rsidR="00000000" w:rsidRPr="00000000">
        <w:rPr>
          <w:rFonts w:ascii="Arial" w:cs="Arial" w:eastAsia="Arial" w:hAnsi="Arial"/>
          <w:sz w:val="22"/>
          <w:szCs w:val="22"/>
          <w:rtl w:val="0"/>
        </w:rPr>
        <w:t xml:space="preserve">computer science</w:t>
      </w:r>
      <w:r w:rsidDel="00000000" w:rsidR="00000000" w:rsidRPr="00000000">
        <w:rPr>
          <w:rFonts w:ascii="Arial" w:cs="Arial" w:eastAsia="Arial" w:hAnsi="Arial"/>
          <w:b w:val="0"/>
          <w:color w:val="000000"/>
          <w:sz w:val="22"/>
          <w:szCs w:val="22"/>
          <w:vertAlign w:val="baseline"/>
          <w:rtl w:val="0"/>
        </w:rPr>
        <w:t xml:space="preserve"> and has applied a series of </w:t>
      </w:r>
      <w:r w:rsidDel="00000000" w:rsidR="00000000" w:rsidRPr="00000000">
        <w:rPr>
          <w:rFonts w:ascii="Arial" w:cs="Arial" w:eastAsia="Arial" w:hAnsi="Arial"/>
          <w:sz w:val="22"/>
          <w:szCs w:val="22"/>
          <w:rtl w:val="0"/>
        </w:rPr>
        <w:t xml:space="preserve">machine learning and statistical</w:t>
      </w:r>
      <w:r w:rsidDel="00000000" w:rsidR="00000000" w:rsidRPr="00000000">
        <w:rPr>
          <w:rFonts w:ascii="Arial" w:cs="Arial" w:eastAsia="Arial" w:hAnsi="Arial"/>
          <w:b w:val="0"/>
          <w:color w:val="000000"/>
          <w:sz w:val="22"/>
          <w:szCs w:val="22"/>
          <w:vertAlign w:val="baseline"/>
          <w:rtl w:val="0"/>
        </w:rPr>
        <w:t xml:space="preserve"> techniques to biological problems. He is one of the creators of the widely used MEME Suite of motif-based analysis tools, and he has led the use of support vector machines, wavelet analyses and dynamic Bayesian networks in genomic and proteomic analysis. Working in the Department of Genome Sciences at the University of Washington, he interacts with many high-throughput experimental groups and continues to have strong links to the </w:t>
      </w:r>
      <w:r w:rsidDel="00000000" w:rsidR="00000000" w:rsidRPr="00000000">
        <w:rPr>
          <w:rFonts w:ascii="Arial" w:cs="Arial" w:eastAsia="Arial" w:hAnsi="Arial"/>
          <w:sz w:val="22"/>
          <w:szCs w:val="22"/>
          <w:rtl w:val="0"/>
        </w:rPr>
        <w:t xml:space="preserve">machine learning</w:t>
      </w:r>
      <w:r w:rsidDel="00000000" w:rsidR="00000000" w:rsidRPr="00000000">
        <w:rPr>
          <w:rFonts w:ascii="Arial" w:cs="Arial" w:eastAsia="Arial" w:hAnsi="Arial"/>
          <w:b w:val="0"/>
          <w:color w:val="000000"/>
          <w:sz w:val="22"/>
          <w:szCs w:val="22"/>
          <w:vertAlign w:val="baseline"/>
          <w:rtl w:val="0"/>
        </w:rPr>
        <w:t xml:space="preserve"> community. He has be</w:t>
      </w:r>
      <w:r w:rsidDel="00000000" w:rsidR="00000000" w:rsidRPr="00000000">
        <w:rPr>
          <w:rFonts w:ascii="Arial" w:cs="Arial" w:eastAsia="Arial" w:hAnsi="Arial"/>
          <w:sz w:val="22"/>
          <w:szCs w:val="22"/>
          <w:rtl w:val="0"/>
        </w:rPr>
        <w:t xml:space="preserve">en involved in the ENCODE Consortium since its inception in 2003.</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 risk in creating such a combined multi-site DAC is that the multiple investigators and geographical separation potentially prevent the DAC from working as a cohesive team. This risk is discussed and mitigated in the Section titled “Risk Assessment and Leadership” in the PI Leadership Plan. In fact, the geographic distribution of the members of the DAC is ideally suited for a consortium that is itself expected to be geographically distributed, and has been geographically distributed in the previous </w:t>
      </w:r>
      <w:r w:rsidDel="00000000" w:rsidR="00000000" w:rsidRPr="00000000">
        <w:rPr>
          <w:rFonts w:ascii="Arial" w:cs="Arial" w:eastAsia="Arial" w:hAnsi="Arial"/>
          <w:sz w:val="22"/>
          <w:szCs w:val="22"/>
          <w:rtl w:val="0"/>
        </w:rPr>
        <w:t xml:space="preserve">three</w:t>
      </w:r>
      <w:r w:rsidDel="00000000" w:rsidR="00000000" w:rsidRPr="00000000">
        <w:rPr>
          <w:rFonts w:ascii="Arial" w:cs="Arial" w:eastAsia="Arial" w:hAnsi="Arial"/>
          <w:b w:val="0"/>
          <w:color w:val="000000"/>
          <w:sz w:val="22"/>
          <w:szCs w:val="22"/>
          <w:vertAlign w:val="baseline"/>
          <w:rtl w:val="0"/>
        </w:rPr>
        <w:t xml:space="preserve"> phases of the ENCODE Project. Importantly, we have a strong track record of working together over the past </w:t>
      </w:r>
      <w:r w:rsidDel="00000000" w:rsidR="00000000" w:rsidRPr="00000000">
        <w:rPr>
          <w:rFonts w:ascii="Arial" w:cs="Arial" w:eastAsia="Arial" w:hAnsi="Arial"/>
          <w:sz w:val="22"/>
          <w:szCs w:val="22"/>
          <w:rtl w:val="0"/>
        </w:rPr>
        <w:t xml:space="preserve">fourteen</w:t>
      </w:r>
      <w:r w:rsidDel="00000000" w:rsidR="00000000" w:rsidRPr="00000000">
        <w:rPr>
          <w:rFonts w:ascii="Arial" w:cs="Arial" w:eastAsia="Arial" w:hAnsi="Arial"/>
          <w:b w:val="0"/>
          <w:color w:val="000000"/>
          <w:sz w:val="22"/>
          <w:szCs w:val="22"/>
          <w:vertAlign w:val="baseline"/>
          <w:rtl w:val="0"/>
        </w:rPr>
        <w:t xml:space="preserve"> years of analysis during the ENCODE Project, modENCODE Project, and other large-scale consortia. Overall, the difficulties of coordination are offset by the benefits of the many different environments and </w:t>
      </w:r>
      <w:r w:rsidDel="00000000" w:rsidR="00000000" w:rsidRPr="00000000">
        <w:rPr>
          <w:rFonts w:ascii="Arial" w:cs="Arial" w:eastAsia="Arial" w:hAnsi="Arial"/>
          <w:sz w:val="22"/>
          <w:szCs w:val="22"/>
          <w:rtl w:val="0"/>
        </w:rPr>
        <w:t xml:space="preserve">complementary</w:t>
      </w:r>
      <w:r w:rsidDel="00000000" w:rsidR="00000000" w:rsidRPr="00000000">
        <w:rPr>
          <w:rFonts w:ascii="Arial" w:cs="Arial" w:eastAsia="Arial" w:hAnsi="Arial"/>
          <w:b w:val="0"/>
          <w:color w:val="000000"/>
          <w:sz w:val="22"/>
          <w:szCs w:val="22"/>
          <w:vertAlign w:val="baseline"/>
          <w:rtl w:val="0"/>
        </w:rPr>
        <w:t xml:space="preserve"> </w:t>
      </w:r>
      <w:r w:rsidDel="00000000" w:rsidR="00000000" w:rsidRPr="00000000">
        <w:rPr>
          <w:rFonts w:ascii="Arial" w:cs="Arial" w:eastAsia="Arial" w:hAnsi="Arial"/>
          <w:sz w:val="22"/>
          <w:szCs w:val="22"/>
          <w:rtl w:val="0"/>
        </w:rPr>
        <w:t xml:space="preserve">expertise</w:t>
      </w:r>
      <w:r w:rsidDel="00000000" w:rsidR="00000000" w:rsidRPr="00000000">
        <w:rPr>
          <w:rFonts w:ascii="Arial" w:cs="Arial" w:eastAsia="Arial" w:hAnsi="Arial"/>
          <w:b w:val="0"/>
          <w:color w:val="000000"/>
          <w:sz w:val="22"/>
          <w:szCs w:val="22"/>
          <w:vertAlign w:val="baseline"/>
          <w:rtl w:val="0"/>
        </w:rPr>
        <w:t xml:space="preserve"> provided by the participating groups.</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8"/>
          <w:szCs w:val="28"/>
          <w:vertAlign w:val="baseline"/>
          <w:rtl w:val="0"/>
        </w:rPr>
        <w:t xml:space="preserve">APPROACH</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rtl w:val="0"/>
        </w:rPr>
        <w:t xml:space="preserve">Aim 1. Analyzing and integrating data and metadata from a broad range of experimental and computational functional genomics projects.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1.1 Exploratory analyses of diverse types of ENCODE data</w:t>
      </w:r>
      <w:r w:rsidDel="00000000" w:rsidR="00000000" w:rsidRPr="00000000">
        <w:rPr>
          <w:rFonts w:ascii="Arial" w:cs="Arial" w:eastAsia="Arial" w:hAnsi="Arial"/>
          <w:sz w:val="22"/>
          <w:szCs w:val="22"/>
          <w:u w:val="single"/>
          <w:rtl w:val="0"/>
        </w:rPr>
        <w:t xml:space="preserve"> </w:t>
      </w:r>
      <w:commentRangeStart w:id="9"/>
      <w:r w:rsidDel="00000000" w:rsidR="00000000" w:rsidRPr="00000000">
        <w:rPr>
          <w:rFonts w:ascii="Arial" w:cs="Arial" w:eastAsia="Arial" w:hAnsi="Arial"/>
          <w:sz w:val="22"/>
          <w:szCs w:val="22"/>
          <w:u w:val="single"/>
          <w:rtl w:val="0"/>
        </w:rPr>
        <w:t xml:space="preserve">[[MRS - condense by 33%]]</w:t>
      </w:r>
      <w:commentRangeEnd w:id="9"/>
      <w:r w:rsidDel="00000000" w:rsidR="00000000" w:rsidRPr="00000000">
        <w:commentReference w:id="9"/>
      </w:r>
      <w:r w:rsidDel="00000000" w:rsidR="00000000" w:rsidRPr="00000000">
        <w:rPr>
          <w:rFonts w:ascii="Arial" w:cs="Arial" w:eastAsia="Arial" w:hAnsi="Arial"/>
          <w:sz w:val="22"/>
          <w:szCs w:val="22"/>
          <w:u w:val="single"/>
          <w:rtl w:val="0"/>
        </w:rPr>
        <w:t xml:space="preserve">[[MRS: done]]</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10"/>
      <w:commentRangeStart w:id="11"/>
      <w:commentRangeStart w:id="12"/>
      <w:commentRangeStart w:id="13"/>
      <w:r w:rsidDel="00000000" w:rsidR="00000000" w:rsidRPr="00000000">
        <w:rPr>
          <w:rFonts w:ascii="Arial" w:cs="Arial" w:eastAsia="Arial" w:hAnsi="Arial"/>
          <w:sz w:val="22"/>
          <w:szCs w:val="22"/>
          <w:u w:val="single"/>
          <w:rtl w:val="0"/>
        </w:rPr>
        <w:t xml:space="preserve">1.1.1</w:t>
      </w:r>
      <w:commentRangeEnd w:id="10"/>
      <w:r w:rsidDel="00000000" w:rsidR="00000000" w:rsidRPr="00000000">
        <w:commentReference w:id="10"/>
      </w:r>
      <w:commentRangeEnd w:id="11"/>
      <w:r w:rsidDel="00000000" w:rsidR="00000000" w:rsidRPr="00000000">
        <w:commentReference w:id="11"/>
      </w:r>
      <w:commentRangeEnd w:id="12"/>
      <w:r w:rsidDel="00000000" w:rsidR="00000000" w:rsidRPr="00000000">
        <w:commentReference w:id="12"/>
      </w:r>
      <w:commentRangeEnd w:id="13"/>
      <w:r w:rsidDel="00000000" w:rsidR="00000000" w:rsidRPr="00000000">
        <w:commentReference w:id="13"/>
      </w:r>
      <w:r w:rsidDel="00000000" w:rsidR="00000000" w:rsidRPr="00000000">
        <w:rPr>
          <w:rFonts w:ascii="Arial" w:cs="Arial" w:eastAsia="Arial" w:hAnsi="Arial"/>
          <w:sz w:val="22"/>
          <w:szCs w:val="22"/>
          <w:u w:val="single"/>
          <w:rtl w:val="0"/>
        </w:rPr>
        <w:t xml:space="preserve"> Imputation of chromatin accessibility and histone modifications in new cell types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sz w:val="22"/>
          <w:szCs w:val="22"/>
          <w:rtl w:val="0"/>
        </w:rPr>
        <w:t xml:space="preserve">The ENCODE project has balanced the priorities of conducting many different experimental assays and doing these experiments in as many different biological contexts as possible.  To do this, we have conducted a small set of assays (e.g., mapping histone marks by ChIP-seq and chromatin accessibility by DNase-seq) in a large variety of cell types, and a much larger set of assays (e.g., mapping transcription factors or TFs by ChIP-seq and RNA-binding proteins or RBPs by eCLIP-seq) in a few cell types. This leaves many types of experiments that have not been conducted in all biological context, and it we will aim to predict this information computationally. [[MRS2MG: mention chromImpute explicitly?; The original version of this paragraph did not do so.]]</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3490626" cy="2357438"/>
            <wp:effectExtent b="0" l="0" r="0" t="0"/>
            <wp:docPr id="22" name="image74.png"/>
            <a:graphic>
              <a:graphicData uri="http://schemas.openxmlformats.org/drawingml/2006/picture">
                <pic:pic>
                  <pic:nvPicPr>
                    <pic:cNvPr id="0" name="image74.png"/>
                    <pic:cNvPicPr preferRelativeResize="0"/>
                  </pic:nvPicPr>
                  <pic:blipFill>
                    <a:blip r:embed="rId36"/>
                    <a:srcRect b="0" l="0" r="0" t="0"/>
                    <a:stretch>
                      <a:fillRect/>
                    </a:stretch>
                  </pic:blipFill>
                  <pic:spPr>
                    <a:xfrm>
                      <a:off x="0" y="0"/>
                      <a:ext cx="3490626" cy="235743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ind w:left="0" w:firstLine="0"/>
        <w:contextualSpacing w:val="0"/>
      </w:pPr>
      <w:commentRangeStart w:id="14"/>
      <w:commentRangeStart w:id="15"/>
      <w:commentRangeStart w:id="16"/>
      <w:r w:rsidDel="00000000" w:rsidR="00000000" w:rsidRPr="00000000">
        <w:rPr>
          <w:rFonts w:ascii="Arial" w:cs="Arial" w:eastAsia="Arial" w:hAnsi="Arial"/>
          <w:sz w:val="22"/>
          <w:szCs w:val="22"/>
          <w:u w:val="single"/>
          <w:rtl w:val="0"/>
        </w:rPr>
        <w:t xml:space="preserve">1.1.2. Prediction of TF binding sites in a new cell type</w:t>
      </w:r>
      <w:commentRangeEnd w:id="14"/>
      <w:r w:rsidDel="00000000" w:rsidR="00000000" w:rsidRPr="00000000">
        <w:commentReference w:id="14"/>
      </w:r>
      <w:commentRangeEnd w:id="15"/>
      <w:r w:rsidDel="00000000" w:rsidR="00000000" w:rsidRPr="00000000">
        <w:commentReference w:id="15"/>
      </w:r>
      <w:commentRangeEnd w:id="16"/>
      <w:r w:rsidDel="00000000" w:rsidR="00000000" w:rsidRPr="00000000">
        <w:commentReference w:id="16"/>
      </w:r>
      <w:r w:rsidDel="00000000" w:rsidR="00000000" w:rsidRPr="00000000">
        <w:rPr>
          <w:rtl w:val="0"/>
        </w:rPr>
      </w:r>
    </w:p>
    <w:p w:rsidR="00000000" w:rsidDel="00000000" w:rsidP="00000000" w:rsidRDefault="00000000" w:rsidRPr="00000000">
      <w:pPr>
        <w:spacing w:after="100" w:line="240" w:lineRule="auto"/>
        <w:ind w:left="0" w:firstLine="720"/>
        <w:contextualSpacing w:val="0"/>
      </w:pPr>
      <w:r w:rsidDel="00000000" w:rsidR="00000000" w:rsidRPr="00000000">
        <w:rPr>
          <w:rFonts w:ascii="Arial" w:cs="Arial" w:eastAsia="Arial" w:hAnsi="Arial"/>
          <w:sz w:val="22"/>
          <w:szCs w:val="22"/>
          <w:rtl w:val="0"/>
        </w:rPr>
        <w:t xml:space="preserve">One area where predictive models may help infer information that we don’t determine directly is the prediction of TF binding sites in cell types for which there is no ChIP-seq data for the TF but there are data on chromatin accessibility (DNase-seq) or histone modifications. Several DAC members have strong expertise in this area. The Gerstein lab developed a method to predict TF binding sites by integrating histone modification data and TF motif information and applied it to modENCODE data on worm</w:t>
      </w:r>
      <w:r w:rsidDel="00000000" w:rsidR="00000000" w:rsidRPr="00000000">
        <w:rPr>
          <w:rFonts w:ascii="Arial" w:cs="Arial" w:eastAsia="Arial" w:hAnsi="Arial"/>
          <w:sz w:val="22"/>
          <w:szCs w:val="22"/>
          <w:vertAlign w:val="superscript"/>
          <w:rtl w:val="0"/>
        </w:rPr>
        <w:t xml:space="preserve">9</w:t>
      </w:r>
      <w:r w:rsidDel="00000000" w:rsidR="00000000" w:rsidRPr="00000000">
        <w:rPr>
          <w:rFonts w:ascii="Arial" w:cs="Arial" w:eastAsia="Arial" w:hAnsi="Arial"/>
          <w:sz w:val="22"/>
          <w:szCs w:val="22"/>
          <w:rtl w:val="0"/>
        </w:rPr>
        <w:t xml:space="preserve"> and also in yeast</w:t>
      </w:r>
      <w:r w:rsidDel="00000000" w:rsidR="00000000" w:rsidRPr="00000000">
        <w:rPr>
          <w:rFonts w:ascii="Arial" w:cs="Arial" w:eastAsia="Arial" w:hAnsi="Arial"/>
          <w:sz w:val="22"/>
          <w:szCs w:val="22"/>
          <w:vertAlign w:val="superscript"/>
          <w:rtl w:val="0"/>
        </w:rPr>
        <w:t xml:space="preserve">62</w:t>
      </w:r>
      <w:r w:rsidDel="00000000" w:rsidR="00000000" w:rsidRPr="00000000">
        <w:rPr>
          <w:rFonts w:ascii="Arial" w:cs="Arial" w:eastAsia="Arial" w:hAnsi="Arial"/>
          <w:sz w:val="22"/>
          <w:szCs w:val="22"/>
          <w:rtl w:val="0"/>
        </w:rPr>
        <w:t xml:space="preserve">. This model uses </w:t>
      </w:r>
      <w:r w:rsidDel="00000000" w:rsidR="00000000" w:rsidRPr="00000000">
        <w:rPr>
          <w:rFonts w:ascii="Arial" w:cs="Arial" w:eastAsia="Arial" w:hAnsi="Arial"/>
          <w:sz w:val="22"/>
          <w:szCs w:val="22"/>
          <w:rtl w:val="0"/>
        </w:rPr>
        <w:t xml:space="preserve">chromatin features (histone modifications, DNase hypersensitivity etc.) to infer the local accessibility of DNA regions, and then searches inferred accessible regions for TF binding motifs to predict binding sites. Similarly, the Weng lab has developed models to predict TF binding sites using DNAse-Seq data.  Their model, LR-DNase, uses logistic regression to combine several features captured by DNase-seq data (e.g., DNase reads, footprints in DNase read coverage, and strand bias in DNase cleavage) with the DNA sequence and TF ChIP-Seq data from a separate cell type, to predict TF binding sites in a cell type of interest. LR-DNase outperforms state-of-the-art methods including CENTEPEDE, PIQ, and BinDNase. Application of these models will enable inference of TF binding profiles in the hundreds of cell types where DNAse-Seq and histone modification ChIP-Seq are being conducted.</w:t>
      </w:r>
    </w:p>
    <w:p w:rsidR="00000000" w:rsidDel="00000000" w:rsidP="00000000" w:rsidRDefault="00000000" w:rsidRPr="00000000">
      <w:pPr>
        <w:spacing w:after="100" w:line="240" w:lineRule="auto"/>
        <w:ind w:left="0" w:firstLine="720"/>
        <w:contextualSpacing w:val="0"/>
      </w:pPr>
      <w:r w:rsidDel="00000000" w:rsidR="00000000" w:rsidRPr="00000000">
        <w:rPr>
          <w:rFonts w:ascii="Arial" w:cs="Arial" w:eastAsia="Arial" w:hAnsi="Arial"/>
          <w:sz w:val="22"/>
          <w:szCs w:val="22"/>
          <w:rtl w:val="0"/>
        </w:rPr>
        <w:t xml:space="preserve">The Liu lab discovered that chromatin dynamics coupled with TF motif discovery could be used to infer functional TF binding and gene expression changes by taking into account the characteristics of the TFs</w:t>
      </w:r>
      <w:r w:rsidDel="00000000" w:rsidR="00000000" w:rsidRPr="00000000">
        <w:rPr>
          <w:rFonts w:ascii="Arial" w:cs="Arial" w:eastAsia="Arial" w:hAnsi="Arial"/>
          <w:sz w:val="22"/>
          <w:szCs w:val="22"/>
          <w:vertAlign w:val="superscript"/>
          <w:rtl w:val="0"/>
        </w:rPr>
        <w:t xml:space="preserve">66</w:t>
      </w:r>
      <w:r w:rsidDel="00000000" w:rsidR="00000000" w:rsidRPr="00000000">
        <w:rPr>
          <w:rFonts w:ascii="Arial" w:cs="Arial" w:eastAsia="Arial" w:hAnsi="Arial"/>
          <w:sz w:val="22"/>
          <w:szCs w:val="22"/>
          <w:rtl w:val="0"/>
        </w:rPr>
        <w:t xml:space="preserve">. For example, estrogen receptor binding sites already show DNase hypersensitivity prior to estrogen activation, while androgen receptor binding sites only show DNase hypersensiticity upon activation. We will systematically identify distinct chromatin dynamics relative to different TF binding, differentiate signatures between transcriptional activators versus repressors, and model signatures associated with slow versus fast transcriptional responses upon perturbation.</w:t>
      </w:r>
    </w:p>
    <w:p w:rsidR="00000000" w:rsidDel="00000000" w:rsidP="00000000" w:rsidRDefault="00000000" w:rsidRPr="00000000">
      <w:pPr>
        <w:spacing w:after="100" w:line="240" w:lineRule="auto"/>
        <w:ind w:left="0" w:firstLine="0"/>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u w:val="single"/>
          <w:rtl w:val="0"/>
        </w:rPr>
        <w:t xml:space="preserve">1.1.3</w:t>
      </w:r>
      <w:r w:rsidDel="00000000" w:rsidR="00000000" w:rsidRPr="00000000">
        <w:rPr>
          <w:rFonts w:ascii="Arial" w:cs="Arial" w:eastAsia="Arial" w:hAnsi="Arial"/>
          <w:sz w:val="22"/>
          <w:szCs w:val="22"/>
          <w:u w:val="single"/>
          <w:rtl w:val="0"/>
        </w:rPr>
        <w:t xml:space="preserve"> Application of Generalization Machine Learning Methods to ENCODE Data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sz w:val="22"/>
          <w:szCs w:val="22"/>
          <w:rtl w:val="0"/>
        </w:rPr>
        <w:t xml:space="preserve">The genome-wide experimental assays produced by ENCODE provide opportunities for data-driven research to complement traditional hypothesis-driven investigations, but also present unique challenges.  We will implement a range of unsupervised machine learning methods to search for novel connections between elements of the ENCODE data, focusing on methods that scale to large data sizes and that for the diverse statistical properties of data generated by different assays.</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The premier method for integrating heterogeneous data is to use a probability model. These models are ideal for handling heterogenous data, as they enable inclusion of prior knowledge either through prior distributions or through the inherent structure of the chosen model. Applications of these models in ENCODE include hidden Markov models and their generalized form, dynamic Bayesian networks, for the semi-automated genome annotation (SAGA) methods ChromHMM and Segway. In addition to extending these SAGA methods (Aim 2.2.3), we will, as appropriate, explore the use of unsupervised techniques such as Bayesian model-based clustering (Fraley and Raftery JASA 97:458, 2002), Gaussian process models (</w:t>
      </w:r>
      <w:hyperlink r:id="rId37">
        <w:r w:rsidDel="00000000" w:rsidR="00000000" w:rsidRPr="00000000">
          <w:rPr>
            <w:rFonts w:ascii="Arial" w:cs="Arial" w:eastAsia="Arial" w:hAnsi="Arial"/>
            <w:color w:val="1155cc"/>
            <w:sz w:val="22"/>
            <w:szCs w:val="22"/>
            <w:u w:val="single"/>
            <w:rtl w:val="0"/>
          </w:rPr>
          <w:t xml:space="preserve">http://citeseerx.ist.psu.edu/viewdoc/summary?doi=10.1.1.86.3414</w:t>
        </w:r>
      </w:hyperlink>
      <w:r w:rsidDel="00000000" w:rsidR="00000000" w:rsidRPr="00000000">
        <w:rPr>
          <w:rFonts w:ascii="Arial" w:cs="Arial" w:eastAsia="Arial" w:hAnsi="Arial"/>
          <w:sz w:val="22"/>
          <w:szCs w:val="22"/>
          <w:rtl w:val="0"/>
        </w:rPr>
        <w:t xml:space="preserve">), probabilistic topic models (http://dl.acm.org/citation.cfm?id=2133826) and other learning procedures for graphical models (M. I. Jordan, </w:t>
      </w:r>
      <w:r w:rsidDel="00000000" w:rsidR="00000000" w:rsidRPr="00000000">
        <w:rPr>
          <w:rFonts w:ascii="Arial" w:cs="Arial" w:eastAsia="Arial" w:hAnsi="Arial"/>
          <w:i w:val="1"/>
          <w:sz w:val="22"/>
          <w:szCs w:val="22"/>
          <w:rtl w:val="0"/>
        </w:rPr>
        <w:t xml:space="preserve">Learning in Graphical Models</w:t>
      </w:r>
      <w:r w:rsidDel="00000000" w:rsidR="00000000" w:rsidRPr="00000000">
        <w:rPr>
          <w:rFonts w:ascii="Arial" w:cs="Arial" w:eastAsia="Arial" w:hAnsi="Arial"/>
          <w:sz w:val="22"/>
          <w:szCs w:val="22"/>
          <w:rtl w:val="0"/>
        </w:rPr>
        <w:t xml:space="preserve"> 1996).</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Neural networks provide an increasingly popular alternative framework for analyzing massive data sets. Such networks use a series of non-linear transformations to project data into higher or lower-dimensional spaces, allowing for learning in arbitrary classification, regression or structured output problems. So-called "deep" neural networks, which contain many layers and typically require massive training data sets, have recently revolutionized a wide variety of fields, ranging from natural language processing and image analysis (PMID:26017442) to out-playing the world champion of the game "go" (PMID: 26819042).  Deep neural networks have also been applied recently to genomics, including predicting the effects of non-coding variants (PMID:2630184), identification of replication domains (PMID: 26545821), population genetic inference (http://biorxiv.org/content/early/2015/10/02/028175), and predicting DNase hypersensitivity (http://biorxiv.org/content/early/2015/10/05/028399). Neural networks handle heterogeneity in a data-driven way by leveraging very large data sets to learn appropriate data projections that weight different data sources in a non-linear fashion. Unsupervised training of deep neural networks can be accomplished via the use of "auto-encoder" architectures, in which the same data is provided as both input and output to the model.  Intermediate layers of the network can often be used for data visualization, compression, or to provide a unified input format to downstream analyses. Another class of unsupervised neural network, the self-organizing map, was used successfully in ENCODE2 to explore the latent state space of functional elements in the genome (PMID: 24170599), and we envision revisiting these maps using a deep architecture. Overall, for any unsupervised analysis of ENCODE data, deep neural networks will be an important component of the proposed DAC's analytical toolbox.</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Kernel methods represent a third class of methods for learning from heterogeneous data. These techniques use a class of mathematical functions, known as kernel functions, to map data from its native format (the "input space") to a (typically) higher-dimensional "feature space." Kernel methods have been used very successfully to solve a huge variety of problems in computational biology (reviewed in Scholkopf, Tsuda, Vert Kernel Methods in Computational Biology 2004). Furthermore, kernels provide a modular framework for representing heterogeneous data, because separate kernel functions can be defined for each data type (PMID: 15130933). Importantly, many "classical" analysis methods can be adapted to operate using kernel representations, including supervised methods like Fisher's linear discriminant (http://luthuli.cs.uiuc.edu/~daf/courses/learning/Kernelpapers/00788121.pdf) as well as unsupervised methods like principal components analysis (PCA) (http://pca.narod.ru/scholkopf_kernel.pdf) and kernel canonical correlation analysis (CCA) (</w:t>
      </w:r>
      <w:hyperlink r:id="rId38">
        <w:r w:rsidDel="00000000" w:rsidR="00000000" w:rsidRPr="00000000">
          <w:rPr>
            <w:rFonts w:ascii="Arial" w:cs="Arial" w:eastAsia="Arial" w:hAnsi="Arial"/>
            <w:color w:val="1155cc"/>
            <w:sz w:val="22"/>
            <w:szCs w:val="22"/>
            <w:u w:val="single"/>
            <w:rtl w:val="0"/>
          </w:rPr>
          <w:t xml:space="preserve">http://www.ics.uci.edu/~welling/classnotes/papers_class/kCCA.pdf</w:t>
        </w:r>
      </w:hyperlink>
      <w:r w:rsidDel="00000000" w:rsidR="00000000" w:rsidRPr="00000000">
        <w:rPr>
          <w:rFonts w:ascii="Arial" w:cs="Arial" w:eastAsia="Arial" w:hAnsi="Arial"/>
          <w:sz w:val="22"/>
          <w:szCs w:val="22"/>
          <w:rtl w:val="0"/>
        </w:rPr>
        <w:t xml:space="preserve">, PMID: 24671853).</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We will also apply dimensionality reduction and manifold learning methods to glean structure from large, heterogeneous data sets. Dimensionality reduction methods are widely used for visualization, and include aforementioned techniques such as PCA and deep auto-encoders, as well as a variety of methods that project data non-linearly to a low-dimensional manifold. Recently, new dimensionality reduction methods such as t-SNE (Laurens van der Maaten, Geoffrey Hinton; JMLR; 9(Nov):2579--2605, 2008) have proven useful for visualizing, for example, single-cell RNA-seq data (PMID: 23685480).  DDRTree is a similar technique that imposes a tree-like prior on the learned projection, enabling visualization of cancer data sets  (Qi Mao, Li Wang, Steve Goodison, and Yijun Sun. Dimensionality Reduction via Graph Structure Learning. The 21st ACM SIGKDD Conference on Knowledge Discovery and Data Mining (KDD'15), Hilton, Sydney,  Australia, August 19, 2015) or developmental trajectories from single-cell RNA-seq data (</w:t>
      </w:r>
      <w:hyperlink r:id="rId39">
        <w:r w:rsidDel="00000000" w:rsidR="00000000" w:rsidRPr="00000000">
          <w:rPr>
            <w:rFonts w:ascii="Arial" w:cs="Arial" w:eastAsia="Arial" w:hAnsi="Arial"/>
            <w:color w:val="1155cc"/>
            <w:sz w:val="22"/>
            <w:szCs w:val="22"/>
            <w:u w:val="single"/>
            <w:rtl w:val="0"/>
          </w:rPr>
          <w:t xml:space="preserve">http://rpackages.ianhowson.com/cran/DDRTree/</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100" w:line="240" w:lineRule="auto"/>
        <w:ind w:firstLine="720"/>
        <w:contextualSpacing w:val="0"/>
      </w:pPr>
      <w:r w:rsidDel="00000000" w:rsidR="00000000" w:rsidRPr="00000000">
        <w:rPr>
          <w:rFonts w:ascii="Arial" w:cs="Arial" w:eastAsia="Arial" w:hAnsi="Arial"/>
          <w:sz w:val="22"/>
          <w:szCs w:val="22"/>
          <w:rtl w:val="0"/>
        </w:rPr>
        <w:t xml:space="preserve">Finally, we will, as appropriate, apply standard clustering methods to help find structure in ENCODE data.  Such methods include hierarchical clustering, k-means and k-medoids clustering, as well as a variety of biclustering methods on data defined in two dimensions (e.g., across cell types and assay types).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u w:val="single"/>
          <w:rtl w:val="0"/>
        </w:rPr>
        <w:t xml:space="preserve">1.1.4 Inter-relating Chromatin &amp; Splicing</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firstLine="720"/>
        <w:contextualSpacing w:val="0"/>
      </w:pPr>
      <w:r w:rsidDel="00000000" w:rsidR="00000000" w:rsidRPr="00000000">
        <w:rPr>
          <w:rFonts w:ascii="Arial" w:cs="Arial" w:eastAsia="Arial" w:hAnsi="Arial"/>
          <w:sz w:val="22"/>
          <w:szCs w:val="22"/>
          <w:rtl w:val="0"/>
        </w:rPr>
        <w:t xml:space="preserve">One ongoing topic of interest in the Guigo Lab is the role of chromatin structure and modifications in the regulation of RNA processing, particularly splicing.  Using integrative analysis of RNASeq, ChIPSeq of histone modifications and of RNA polymerase, and ChIA-PET data produced during ENCODE 2, the lab found significant positive association between H3K9ac, H3K27ac, H3K4me3, epigenetic marks characteristic of active promoters, and exon inclusion in a small but well-defined class of exons, representing approximately 4% of all regulated exons. These exons are systematically maintained at comparatively low levels of inclusion across cell types, but their inclusion is significantly enhanced in particular cell types when in physical proximity to active promoters  (Figure 2, [Curado J., 2015 PMID: 26498677])  .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tbl>
      <w:tblPr>
        <w:tblStyle w:val="Table1"/>
        <w:bidi w:val="0"/>
        <w:tblW w:w="6870.0" w:type="dxa"/>
        <w:jc w:val="left"/>
        <w:tblInd w:w="-113.0" w:type="dxa"/>
        <w:tblLayout w:type="fixed"/>
        <w:tblLook w:val="0000"/>
      </w:tblPr>
      <w:tblGrid>
        <w:gridCol w:w="6870"/>
        <w:tblGridChange w:id="0">
          <w:tblGrid>
            <w:gridCol w:w="6870"/>
          </w:tblGrid>
        </w:tblGridChange>
      </w:tblGrid>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contextualSpacing w:val="0"/>
            </w:pPr>
            <w:r w:rsidDel="00000000" w:rsidR="00000000" w:rsidRPr="00000000">
              <w:drawing>
                <wp:inline distB="0" distT="0" distL="114300" distR="114300">
                  <wp:extent cx="4210050" cy="1562100"/>
                  <wp:effectExtent b="0" l="0" r="0" t="0"/>
                  <wp:docPr id="32" name="image84.png"/>
                  <a:graphic>
                    <a:graphicData uri="http://schemas.openxmlformats.org/drawingml/2006/picture">
                      <pic:pic>
                        <pic:nvPicPr>
                          <pic:cNvPr id="0" name="image84.png"/>
                          <pic:cNvPicPr preferRelativeResize="0"/>
                        </pic:nvPicPr>
                        <pic:blipFill>
                          <a:blip r:embed="rId40"/>
                          <a:srcRect b="15025" l="0" r="20072" t="0"/>
                          <a:stretch>
                            <a:fillRect/>
                          </a:stretch>
                        </pic:blipFill>
                        <pic:spPr>
                          <a:xfrm>
                            <a:off x="0" y="0"/>
                            <a:ext cx="4210050" cy="1562100"/>
                          </a:xfrm>
                          <a:prstGeom prst="rect"/>
                          <a:ln/>
                        </pic:spPr>
                      </pic:pic>
                    </a:graphicData>
                  </a:graphic>
                </wp:inline>
              </w:drawing>
            </w:r>
            <w:r w:rsidDel="00000000" w:rsidR="00000000" w:rsidRPr="00000000">
              <w:rPr>
                <w:rtl w:val="0"/>
              </w:rPr>
            </w:r>
          </w:p>
        </w:tc>
      </w:tr>
      <w:t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tabs>
                <w:tab w:val="left" w:pos="6600"/>
              </w:tabs>
              <w:contextualSpacing w:val="0"/>
            </w:pPr>
            <w:r w:rsidDel="00000000" w:rsidR="00000000" w:rsidRPr="00000000">
              <w:rPr>
                <w:rFonts w:ascii="Arial" w:cs="Arial" w:eastAsia="Arial" w:hAnsi="Arial"/>
                <w:b w:val="1"/>
                <w:sz w:val="22"/>
                <w:szCs w:val="22"/>
                <w:rtl w:val="0"/>
              </w:rPr>
              <w:t xml:space="preserve">Figure 2.</w:t>
            </w:r>
            <w:r w:rsidDel="00000000" w:rsidR="00000000" w:rsidRPr="00000000">
              <w:rPr>
                <w:rFonts w:ascii="Arial" w:cs="Arial" w:eastAsia="Arial" w:hAnsi="Arial"/>
                <w:sz w:val="22"/>
                <w:szCs w:val="22"/>
                <w:rtl w:val="0"/>
              </w:rPr>
              <w:t xml:space="preserve"> Differential ChIPSeq signals (average and standard error of the mean) for, H3K9ac  are represented for “more included” exons (blue) and “less included” exons (red)  in pairwise comparisons between cell lines. The differential signal is computed on a 800bp-window around the middle of the regulated exon (AS) and flanking not regulated (notAS) upstream (left) and downstream  (right) exons. Significance levels are indicated by * (0.05&gt;p&gt;0.01), ** (0.01&gt;p&gt;0.001), *** (0.001&gt;p) and ns (p&gt;0.05). Differential accumulation of marks is generally specific of regulated exons. F</w:t>
            </w:r>
            <w:r w:rsidDel="00000000" w:rsidR="00000000" w:rsidRPr="00000000">
              <w:rPr>
                <w:rFonts w:ascii="Arial" w:cs="Arial" w:eastAsia="Arial" w:hAnsi="Arial"/>
                <w:sz w:val="22"/>
                <w:szCs w:val="22"/>
                <w:rtl w:val="0"/>
              </w:rPr>
              <w:t xml:space="preserve">rom </w:t>
            </w:r>
            <w:r w:rsidDel="00000000" w:rsidR="00000000" w:rsidRPr="00000000">
              <w:rPr>
                <w:rFonts w:ascii="Arial" w:cs="Arial" w:eastAsia="Arial" w:hAnsi="Arial"/>
                <w:sz w:val="22"/>
                <w:szCs w:val="22"/>
                <w:rtl w:val="0"/>
              </w:rPr>
              <w:t xml:space="preserve"> [Curado J., 2015, PMID: 26498677] </w:t>
            </w:r>
            <w:r w:rsidDel="00000000" w:rsidR="00000000" w:rsidRPr="00000000">
              <w:rPr>
                <w:rFonts w:ascii="Arial" w:cs="Arial" w:eastAsia="Arial" w:hAnsi="Arial"/>
                <w:sz w:val="22"/>
                <w:szCs w:val="22"/>
                <w:rtl w:val="0"/>
              </w:rPr>
              <w:t xml:space="preserve">Curado et al, 2015</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contextualSpacing w:val="0"/>
            </w:pPr>
            <w:r w:rsidDel="00000000" w:rsidR="00000000" w:rsidRPr="00000000">
              <w:rPr>
                <w:rtl w:val="0"/>
              </w:rPr>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firstLine="720"/>
        <w:contextualSpacing w:val="0"/>
      </w:pPr>
      <w:r w:rsidDel="00000000" w:rsidR="00000000" w:rsidRPr="00000000">
        <w:rPr>
          <w:rFonts w:ascii="Arial" w:cs="Arial" w:eastAsia="Arial" w:hAnsi="Arial"/>
          <w:sz w:val="22"/>
          <w:szCs w:val="22"/>
          <w:rtl w:val="0"/>
        </w:rPr>
        <w:t xml:space="preserve">In order to elucidate how</w:t>
      </w:r>
      <w:r w:rsidDel="00000000" w:rsidR="00000000" w:rsidRPr="00000000">
        <w:rPr>
          <w:rFonts w:ascii="Arial" w:cs="Arial" w:eastAsia="Arial" w:hAnsi="Arial"/>
          <w:sz w:val="22"/>
          <w:szCs w:val="22"/>
          <w:highlight w:val="white"/>
          <w:rtl w:val="0"/>
        </w:rPr>
        <w:t xml:space="preserve"> chromatin state effects and modulates RNA processing, the Guigo and Ben Brown labs have built a series of random forest models based to predict exon inclusion based on chromatin marks, chromatin state, and RNA binding protein binding assays (eCLIP) in K562 cell line. The highest predictive power was achieved when using RBP binding data and histone modifications as predictors. </w:t>
      </w:r>
    </w:p>
    <w:p w:rsidR="00000000" w:rsidDel="00000000" w:rsidP="00000000" w:rsidRDefault="00000000" w:rsidRPr="00000000">
      <w:pPr>
        <w:ind w:firstLine="720"/>
        <w:contextualSpacing w:val="0"/>
      </w:pPr>
      <w:r w:rsidDel="00000000" w:rsidR="00000000" w:rsidRPr="00000000">
        <w:rPr>
          <w:rFonts w:ascii="Arial" w:cs="Arial" w:eastAsia="Arial" w:hAnsi="Arial"/>
          <w:sz w:val="22"/>
          <w:szCs w:val="22"/>
          <w:highlight w:val="white"/>
          <w:rtl w:val="0"/>
        </w:rPr>
        <w:t xml:space="preserve">We also found signatures from RNA Pol-II ChIP that affect choices between </w:t>
      </w:r>
      <w:r w:rsidDel="00000000" w:rsidR="00000000" w:rsidRPr="00000000">
        <w:rPr>
          <w:rFonts w:ascii="Arial" w:cs="Arial" w:eastAsia="Arial" w:hAnsi="Arial"/>
          <w:i w:val="1"/>
          <w:sz w:val="22"/>
          <w:szCs w:val="22"/>
          <w:highlight w:val="white"/>
          <w:rtl w:val="0"/>
        </w:rPr>
        <w:t xml:space="preserve">cis</w:t>
      </w:r>
      <w:r w:rsidDel="00000000" w:rsidR="00000000" w:rsidRPr="00000000">
        <w:rPr>
          <w:rFonts w:ascii="Arial" w:cs="Arial" w:eastAsia="Arial" w:hAnsi="Arial"/>
          <w:sz w:val="22"/>
          <w:szCs w:val="22"/>
          <w:highlight w:val="white"/>
          <w:rtl w:val="0"/>
        </w:rPr>
        <w:t xml:space="preserve"> and </w:t>
      </w:r>
      <w:r w:rsidDel="00000000" w:rsidR="00000000" w:rsidRPr="00000000">
        <w:rPr>
          <w:rFonts w:ascii="Arial" w:cs="Arial" w:eastAsia="Arial" w:hAnsi="Arial"/>
          <w:i w:val="1"/>
          <w:sz w:val="22"/>
          <w:szCs w:val="22"/>
          <w:highlight w:val="white"/>
          <w:rtl w:val="0"/>
        </w:rPr>
        <w:t xml:space="preserve">trans</w:t>
      </w:r>
      <w:r w:rsidDel="00000000" w:rsidR="00000000" w:rsidRPr="00000000">
        <w:rPr>
          <w:rFonts w:ascii="Arial" w:cs="Arial" w:eastAsia="Arial" w:hAnsi="Arial"/>
          <w:sz w:val="22"/>
          <w:szCs w:val="22"/>
          <w:highlight w:val="white"/>
          <w:rtl w:val="0"/>
        </w:rPr>
        <w:t xml:space="preserve"> splicing and post-transcriptional exon duplication and rearrangement. Higher RNA Pol-II density after cassette exons, likely indicating accumulation of transcripts, correlates to increased chances of local </w:t>
      </w:r>
      <w:r w:rsidDel="00000000" w:rsidR="00000000" w:rsidRPr="00000000">
        <w:rPr>
          <w:rFonts w:ascii="Arial" w:cs="Arial" w:eastAsia="Arial" w:hAnsi="Arial"/>
          <w:i w:val="1"/>
          <w:sz w:val="22"/>
          <w:szCs w:val="22"/>
          <w:highlight w:val="white"/>
          <w:rtl w:val="0"/>
        </w:rPr>
        <w:t xml:space="preserve">trans</w:t>
      </w:r>
      <w:r w:rsidDel="00000000" w:rsidR="00000000" w:rsidRPr="00000000">
        <w:rPr>
          <w:rFonts w:ascii="Arial" w:cs="Arial" w:eastAsia="Arial" w:hAnsi="Arial"/>
          <w:sz w:val="22"/>
          <w:szCs w:val="22"/>
          <w:highlight w:val="white"/>
          <w:rtl w:val="0"/>
        </w:rPr>
        <w:t xml:space="preserve">-splicing over </w:t>
      </w:r>
      <w:r w:rsidDel="00000000" w:rsidR="00000000" w:rsidRPr="00000000">
        <w:rPr>
          <w:rFonts w:ascii="Arial" w:cs="Arial" w:eastAsia="Arial" w:hAnsi="Arial"/>
          <w:i w:val="1"/>
          <w:sz w:val="22"/>
          <w:szCs w:val="22"/>
          <w:highlight w:val="white"/>
          <w:rtl w:val="0"/>
        </w:rPr>
        <w:t xml:space="preserve">cis</w:t>
      </w:r>
      <w:r w:rsidDel="00000000" w:rsidR="00000000" w:rsidRPr="00000000">
        <w:rPr>
          <w:rFonts w:ascii="Arial" w:cs="Arial" w:eastAsia="Arial" w:hAnsi="Arial"/>
          <w:sz w:val="22"/>
          <w:szCs w:val="22"/>
          <w:highlight w:val="white"/>
          <w:rtl w:val="0"/>
        </w:rPr>
        <w:t xml:space="preserve">-splicing (Figure 3A,B). Meanwhile, the density of Pol-II is also significantly lower downstream of </w:t>
      </w:r>
      <w:r w:rsidDel="00000000" w:rsidR="00000000" w:rsidRPr="00000000">
        <w:rPr>
          <w:rFonts w:ascii="Arial" w:cs="Arial" w:eastAsia="Arial" w:hAnsi="Arial"/>
          <w:i w:val="1"/>
          <w:sz w:val="22"/>
          <w:szCs w:val="22"/>
          <w:highlight w:val="white"/>
          <w:rtl w:val="0"/>
        </w:rPr>
        <w:t xml:space="preserve">trans</w:t>
      </w:r>
      <w:r w:rsidDel="00000000" w:rsidR="00000000" w:rsidRPr="00000000">
        <w:rPr>
          <w:rFonts w:ascii="Arial" w:cs="Arial" w:eastAsia="Arial" w:hAnsi="Arial"/>
          <w:sz w:val="22"/>
          <w:szCs w:val="22"/>
          <w:highlight w:val="white"/>
          <w:rtl w:val="0"/>
        </w:rPr>
        <w:t xml:space="preserve">-splicing junctions that produce circular RNA products, compared to those that lead to exon shuffling (Figure 3C). </w:t>
      </w: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3405188" cy="3509641"/>
            <wp:effectExtent b="0" l="0" r="0" t="0"/>
            <wp:docPr id="7" name="image58.png"/>
            <a:graphic>
              <a:graphicData uri="http://schemas.openxmlformats.org/drawingml/2006/picture">
                <pic:pic>
                  <pic:nvPicPr>
                    <pic:cNvPr id="0" name="image58.png"/>
                    <pic:cNvPicPr preferRelativeResize="0"/>
                  </pic:nvPicPr>
                  <pic:blipFill>
                    <a:blip r:embed="rId41"/>
                    <a:srcRect b="0" l="0" r="0" t="0"/>
                    <a:stretch>
                      <a:fillRect/>
                    </a:stretch>
                  </pic:blipFill>
                  <pic:spPr>
                    <a:xfrm>
                      <a:off x="0" y="0"/>
                      <a:ext cx="3405188" cy="350964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bookmarkStart w:colFirst="0" w:colLast="0" w:name="h.gjdgxs" w:id="0"/>
      <w:bookmarkEnd w:id="0"/>
      <w:r w:rsidDel="00000000" w:rsidR="00000000" w:rsidRPr="00000000">
        <w:rPr>
          <w:rFonts w:ascii="Arial" w:cs="Arial" w:eastAsia="Arial" w:hAnsi="Arial"/>
          <w:b w:val="1"/>
          <w:sz w:val="22"/>
          <w:szCs w:val="22"/>
          <w:highlight w:val="white"/>
          <w:rtl w:val="0"/>
        </w:rPr>
        <w:t xml:space="preserve">Figure 3. A,B.</w:t>
      </w:r>
      <w:r w:rsidDel="00000000" w:rsidR="00000000" w:rsidRPr="00000000">
        <w:rPr>
          <w:rFonts w:ascii="Arial" w:cs="Arial" w:eastAsia="Arial" w:hAnsi="Arial"/>
          <w:sz w:val="22"/>
          <w:szCs w:val="22"/>
          <w:highlight w:val="white"/>
          <w:rtl w:val="0"/>
        </w:rPr>
        <w:t xml:space="preserve"> Two regimes of RNA Pol-II lead to different splicing outcomes. Accumulation of pol-II leads to collision and promotes trans-splicing. </w:t>
      </w:r>
      <w:r w:rsidDel="00000000" w:rsidR="00000000" w:rsidRPr="00000000">
        <w:rPr>
          <w:rFonts w:ascii="Arial" w:cs="Arial" w:eastAsia="Arial" w:hAnsi="Arial"/>
          <w:b w:val="1"/>
          <w:sz w:val="22"/>
          <w:szCs w:val="22"/>
          <w:highlight w:val="white"/>
          <w:rtl w:val="0"/>
        </w:rPr>
        <w:t xml:space="preserve">C.</w:t>
      </w:r>
      <w:r w:rsidDel="00000000" w:rsidR="00000000" w:rsidRPr="00000000">
        <w:rPr>
          <w:rFonts w:ascii="Arial" w:cs="Arial" w:eastAsia="Arial" w:hAnsi="Arial"/>
          <w:sz w:val="22"/>
          <w:szCs w:val="22"/>
          <w:highlight w:val="white"/>
          <w:rtl w:val="0"/>
        </w:rPr>
        <w:t xml:space="preserve"> The density of RNA pol-II (y-axis) is indeed higher downstream (x-axis) of cassette exons that have evidence of trans-splicing (green), compared to cassette exons that are spliced in cis- with the formation of circular products (red).</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br w:type="textWrapping"/>
      </w:r>
      <w:commentRangeStart w:id="17"/>
      <w:commentRangeStart w:id="18"/>
      <w:commentRangeStart w:id="19"/>
      <w:r w:rsidDel="00000000" w:rsidR="00000000" w:rsidRPr="00000000">
        <w:rPr>
          <w:rFonts w:ascii="Arial" w:cs="Arial" w:eastAsia="Arial" w:hAnsi="Arial"/>
          <w:sz w:val="22"/>
          <w:szCs w:val="22"/>
          <w:u w:val="single"/>
          <w:rtl w:val="0"/>
        </w:rPr>
        <w:t xml:space="preserve">1.2 Analysis of biological network structure &amp; dynamics. </w:t>
      </w:r>
      <w:commentRangeEnd w:id="17"/>
      <w:r w:rsidDel="00000000" w:rsidR="00000000" w:rsidRPr="00000000">
        <w:commentReference w:id="17"/>
      </w:r>
      <w:commentRangeEnd w:id="18"/>
      <w:r w:rsidDel="00000000" w:rsidR="00000000" w:rsidRPr="00000000">
        <w:commentReference w:id="18"/>
      </w:r>
      <w:commentRangeEnd w:id="19"/>
      <w:r w:rsidDel="00000000" w:rsidR="00000000" w:rsidRPr="00000000">
        <w:commentReference w:id="19"/>
      </w:r>
      <w:r w:rsidDel="00000000" w:rsidR="00000000" w:rsidRPr="00000000">
        <w:rPr>
          <w:rFonts w:ascii="Arial" w:cs="Arial" w:eastAsia="Arial" w:hAnsi="Arial"/>
          <w:color w:val="ff00ff"/>
          <w:sz w:val="22"/>
          <w:szCs w:val="22"/>
          <w:u w:val="single"/>
          <w:rtl w:val="0"/>
        </w:rPr>
        <w:t xml:space="preserve">[[DW in charge]][[DW: done]]</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We have developed a number of approaches for constructing and studying biological networks that can be applied to analyze ENCODE4 datasets. We integrated multiple genomic datasets to construct gene regulatory networks consisting of various regulatory factors including transcription factors and micro-RNAs and their target genes \cite{22955619, 25164757, 22125477}. For constructed gene regulatory networks, we developed methods to construct and analyze the gene regulatory networks of human and model organisms \cite{ 20439753, 21177976, 22125477, 21430782, 22955619} using ENCODE and modENCODE datasets. We also analyzed hierarchical structures of gene regulatory networks and found that the hierarchy rather than centrality ("hubiness") better reflects the importance of regulators \cite{ 22955619, 17003135, 21045205, 20523742, 20351254}. We also developed a novel and general purpose algorithm to determine and measure the hierarchical structure of any types of gene regulatory networks \cite{Cheng, 2015 25880651}. In addition, we integrated regulatory networks with gene expression to uncover different types of functional modules \cite{15372033, 19723326, 12902159, 14555624}. We also introduced several software tools for network analysis including Topnet, \cite{14724320} tYNA \cite{17021160} and PubNet \cite{16168087}.</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In addition to the global features of the regulatory networks such as hierarchy, we also analyzed their local topologies such as network motifs. For example, we analyzed the feed-forward loops (FFLs), a common regulatory network motif in human, worm and fly gene regulatory networks \cite{22955619, 21177976, 25164757}. The motif analyses will allow a characterization of key regulatory mechanisms in each species and the further comparison between species will enable us to observe how these mechanisms evolve.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943600" cy="2057400"/>
            <wp:effectExtent b="0" l="0" r="0" t="0"/>
            <wp:docPr id="50" name="image104.png"/>
            <a:graphic>
              <a:graphicData uri="http://schemas.openxmlformats.org/drawingml/2006/picture">
                <pic:pic>
                  <pic:nvPicPr>
                    <pic:cNvPr id="0" name="image104.png"/>
                    <pic:cNvPicPr preferRelativeResize="0"/>
                  </pic:nvPicPr>
                  <pic:blipFill>
                    <a:blip r:embed="rId42"/>
                    <a:srcRect b="44756" l="0" r="0" t="0"/>
                    <a:stretch>
                      <a:fillRect/>
                    </a:stretch>
                  </pic:blipFill>
                  <pic:spPr>
                    <a:xfrm>
                      <a:off x="0" y="0"/>
                      <a:ext cx="5943600" cy="2057400"/>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18"/>
          <w:szCs w:val="18"/>
          <w:highlight w:val="white"/>
          <w:rtl w:val="0"/>
        </w:rPr>
        <w:t xml:space="preserve">Figure Hierarchy</w:t>
      </w:r>
      <w:hyperlink r:id="rId43">
        <w:r w:rsidDel="00000000" w:rsidR="00000000" w:rsidRPr="00000000">
          <w:rPr>
            <w:rFonts w:ascii="Arial" w:cs="Arial" w:eastAsia="Arial" w:hAnsi="Arial"/>
            <w:b w:val="1"/>
            <w:color w:val="1155cc"/>
            <w:sz w:val="18"/>
            <w:szCs w:val="18"/>
            <w:highlight w:val="white"/>
            <w:u w:val="single"/>
            <w:rtl w:val="0"/>
          </w:rPr>
          <w:t xml:space="preserve"> of the human regulatory network derived from ENCODE data</w:t>
        </w:r>
      </w:hyperlink>
      <w:hyperlink r:id="rId44">
        <w:r w:rsidDel="00000000" w:rsidR="00000000" w:rsidRPr="00000000">
          <w:rPr>
            <w:rtl w:val="0"/>
          </w:rPr>
        </w:r>
      </w:hyperlink>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a, Close-up representation of the transcription factor hierarchy. Nodes depict transcription factors. TFSSs are triangles, and non-TFSSs are circles. Left: proximal-edge hierarchy with downward pointing edges coloured in green and upward pointing ones coloured in red. The nodes are shaded according to their out-degree in the full network (as described in </w:t>
      </w:r>
      <w:hyperlink r:id="rId45">
        <w:r w:rsidDel="00000000" w:rsidR="00000000" w:rsidRPr="00000000">
          <w:rPr>
            <w:rFonts w:ascii="Arial" w:cs="Arial" w:eastAsia="Arial" w:hAnsi="Arial"/>
            <w:color w:val="1155cc"/>
            <w:sz w:val="18"/>
            <w:szCs w:val="18"/>
            <w:highlight w:val="white"/>
            <w:u w:val="single"/>
            <w:rtl w:val="0"/>
          </w:rPr>
          <w:t xml:space="preserve">Table 1</w:t>
        </w:r>
      </w:hyperlink>
      <w:r w:rsidDel="00000000" w:rsidR="00000000" w:rsidRPr="00000000">
        <w:rPr>
          <w:rFonts w:ascii="Arial" w:cs="Arial" w:eastAsia="Arial" w:hAnsi="Arial"/>
          <w:sz w:val="18"/>
          <w:szCs w:val="18"/>
          <w:highlight w:val="white"/>
          <w:rtl w:val="0"/>
        </w:rPr>
        <w:t xml:space="preserve">). Right: factors placed in the same proximal hierarchy but now with edges corresponding to distal regulation coloured green and red, and nodes re-coloured according to out-degree in the distal network. The distal edges do not follow the proximal-edge hierarchy. b, Close-up view of transcription-factor–miRNA regulation. The outer circle contains the 119 transcription factor, whereas the inner circle contains miRNAs. Red edges correspond to miRNAs regulating transcription factors; green edges show transcription factors regulating miRNAs. Transcription factors and miRNAs each are arranged by their out-degree, beginning at the top (12:00) and decreasing in order clockwise. Node sizes are proportional to out-degree. For transcription factors, the out-degree is as described in </w:t>
      </w:r>
      <w:hyperlink r:id="rId46">
        <w:r w:rsidDel="00000000" w:rsidR="00000000" w:rsidRPr="00000000">
          <w:rPr>
            <w:rFonts w:ascii="Arial" w:cs="Arial" w:eastAsia="Arial" w:hAnsi="Arial"/>
            <w:color w:val="1155cc"/>
            <w:sz w:val="18"/>
            <w:szCs w:val="18"/>
            <w:highlight w:val="white"/>
            <w:u w:val="single"/>
            <w:rtl w:val="0"/>
          </w:rPr>
          <w:t xml:space="preserve">Table 1</w:t>
        </w:r>
      </w:hyperlink>
      <w:r w:rsidDel="00000000" w:rsidR="00000000" w:rsidRPr="00000000">
        <w:rPr>
          <w:rFonts w:ascii="Arial" w:cs="Arial" w:eastAsia="Arial" w:hAnsi="Arial"/>
          <w:sz w:val="18"/>
          <w:szCs w:val="18"/>
          <w:highlight w:val="white"/>
          <w:rtl w:val="0"/>
        </w:rPr>
        <w:t xml:space="preserve">; for miRNAs, it is according to the out-degree in this network. Red nodes are enriched for miRNA–transcription factor edges and green nodes are enriched for transcription factor–miRNA edges. Grey nodes have a balanced number of edges (within ±1).</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5462588" cy="1767754"/>
            <wp:effectExtent b="0" l="0" r="0" t="0"/>
            <wp:docPr id="3" name="image54.png"/>
            <a:graphic>
              <a:graphicData uri="http://schemas.openxmlformats.org/drawingml/2006/picture">
                <pic:pic>
                  <pic:nvPicPr>
                    <pic:cNvPr id="0" name="image54.png"/>
                    <pic:cNvPicPr preferRelativeResize="0"/>
                  </pic:nvPicPr>
                  <pic:blipFill>
                    <a:blip r:embed="rId47"/>
                    <a:srcRect b="0" l="0" r="0" t="0"/>
                    <a:stretch>
                      <a:fillRect/>
                    </a:stretch>
                  </pic:blipFill>
                  <pic:spPr>
                    <a:xfrm>
                      <a:off x="0" y="0"/>
                      <a:ext cx="5462588" cy="1767754"/>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8"/>
          <w:szCs w:val="18"/>
          <w:rtl w:val="0"/>
        </w:rPr>
        <w:t xml:space="preserve">Fig. 1.2. Hierarchical network and network motif analysis applied to ENCODE datasets</w:t>
      </w:r>
      <w:r w:rsidDel="00000000" w:rsidR="00000000" w:rsidRPr="00000000">
        <w:rPr>
          <w:rFonts w:ascii="Arial" w:cs="Arial" w:eastAsia="Arial" w:hAnsi="Arial"/>
          <w:sz w:val="18"/>
          <w:szCs w:val="18"/>
          <w:rtl w:val="0"/>
        </w:rPr>
        <w:t xml:space="preserve">.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In this aim, we will study the structure and dynamics of inferred regulatory networks and relate these to other cellular networks. Our core networks will primarily consist of mixed TF/miRNA director regulatory networks discovered in Aim 3.5, but will also be populated by undirected networks, constructed using information regarding protein interaction and biological-relatedness, such as those utilized or discovered in Aim 3.2. Figure 9 illustrates the TF-miRNA regulatory network generated with previous ENCODE data \cite{22955619}. Extending our previous work, we will use graph algorithms to discover clusters of highly connected genes within these networks, network motif algorithms to discover recurrent patterns of connectivity, and specifically search for recurrent regulatory feedback and feed-forward subgraphs.</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Furthermore, we can try to identify the gene regulatory mechanisms such as cooperative logics between multiple regulatory factors in the regulatory networks. We have recently developed a new computational method, Loregic to characterize the gene regulatory logics in complex systems \cite{25884877}. We already used this method to identify regulatory cooperative logics among TFs binding to promoters, TFs binding to distal regions like enhancers and miRNAs in leukemia by integrating ENCODE and TCGA data.</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4431098" cy="2776538"/>
            <wp:effectExtent b="0" l="0" r="0" t="0"/>
            <wp:docPr id="5" name="image56.png"/>
            <a:graphic>
              <a:graphicData uri="http://schemas.openxmlformats.org/drawingml/2006/picture">
                <pic:pic>
                  <pic:nvPicPr>
                    <pic:cNvPr id="0" name="image56.png"/>
                    <pic:cNvPicPr preferRelativeResize="0"/>
                  </pic:nvPicPr>
                  <pic:blipFill>
                    <a:blip r:embed="rId48"/>
                    <a:srcRect b="0" l="0" r="0" t="0"/>
                    <a:stretch>
                      <a:fillRect/>
                    </a:stretch>
                  </pic:blipFill>
                  <pic:spPr>
                    <a:xfrm>
                      <a:off x="0" y="0"/>
                      <a:ext cx="4431098" cy="277653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8"/>
          <w:szCs w:val="18"/>
          <w:highlight w:val="white"/>
          <w:rtl w:val="0"/>
        </w:rPr>
        <w:t xml:space="preserve">Figure Depiction of two logic circuit regulatory pathways targeting PPIL2</w:t>
      </w:r>
      <w:r w:rsidDel="00000000" w:rsidR="00000000" w:rsidRPr="00000000">
        <w:rPr>
          <w:rFonts w:ascii="Arial" w:cs="Arial" w:eastAsia="Arial" w:hAnsi="Arial"/>
          <w:sz w:val="18"/>
          <w:szCs w:val="18"/>
          <w:highlight w:val="white"/>
          <w:rtl w:val="0"/>
        </w:rPr>
        <w:t xml:space="preserve">.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1.3 Integration &amp; Harmonization of ENCODE data with data sets from other consortia </w:t>
      </w:r>
      <w:commentRangeStart w:id="20"/>
      <w:commentRangeStart w:id="21"/>
      <w:commentRangeStart w:id="22"/>
      <w:r w:rsidDel="00000000" w:rsidR="00000000" w:rsidRPr="00000000">
        <w:rPr>
          <w:rFonts w:ascii="Arial" w:cs="Arial" w:eastAsia="Arial" w:hAnsi="Arial"/>
          <w:sz w:val="22"/>
          <w:szCs w:val="22"/>
          <w:u w:val="single"/>
          <w:rtl w:val="0"/>
        </w:rPr>
        <w:t xml:space="preserve">[[ANS]]</w:t>
      </w:r>
      <w:commentRangeEnd w:id="20"/>
      <w:r w:rsidDel="00000000" w:rsidR="00000000" w:rsidRPr="00000000">
        <w:commentReference w:id="20"/>
      </w:r>
      <w:commentRangeEnd w:id="21"/>
      <w:r w:rsidDel="00000000" w:rsidR="00000000" w:rsidRPr="00000000">
        <w:commentReference w:id="21"/>
      </w:r>
      <w:commentRangeEnd w:id="22"/>
      <w:r w:rsidDel="00000000" w:rsidR="00000000" w:rsidRPr="00000000">
        <w:commentReference w:id="22"/>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***Overview</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overall goal of the DAC is to make the ENCODE annotation and analyses a broad and useful resource for researchers focusing on the human genome.  To ensure this, the ENCODE annotation needs to "play well" with other large genomics datasets and also needs to be compatible with these datasets. The integration of ENCODE annotation with other datasets typically involves one or more of three different forms: 1) Normalization and calibration of the ENCODE datasets relative to a somewhat differently normalized corpus;  2) the more developed annotations from other consortia can be related to the ENCODE corpus;  3) genomic variation (germline and/or somatic) inferred from other large genomics datasets can be used to infer evolutionary pressure within different ENCODE elements. In the sections below we go through a number of the large genomics datasets currently available, GTEx, Roadmap, Psych ENCODE, 4D Nucleome, TCGA and so forth and talk about ways that we plan to integrate the ENCODE data with these other large datasets.  Many of the members of the DAC are of course members of these other consortia and we will leverage these relationships to help connect the datasets and annotation in a positive way.</w:t>
      </w:r>
    </w:p>
    <w:p w:rsidR="00000000" w:rsidDel="00000000" w:rsidP="00000000" w:rsidRDefault="00000000" w:rsidRPr="00000000">
      <w:pPr>
        <w:spacing w:after="100" w:lineRule="auto"/>
        <w:contextualSpacing w:val="0"/>
      </w:pPr>
      <w:bookmarkStart w:colFirst="0" w:colLast="0" w:name="h.hvo7za49un0e" w:id="1"/>
      <w:bookmarkEnd w:id="1"/>
      <w:commentRangeStart w:id="23"/>
      <w:r w:rsidDel="00000000" w:rsidR="00000000" w:rsidRPr="00000000">
        <w:rPr>
          <w:rFonts w:ascii="Arial" w:cs="Arial" w:eastAsia="Arial" w:hAnsi="Arial"/>
          <w:sz w:val="22"/>
          <w:szCs w:val="22"/>
          <w:u w:val="single"/>
          <w:rtl w:val="0"/>
        </w:rPr>
        <w:t xml:space="preserve">Integration of ENCODE with Epigenomics Roadmap Project and International Human Epigenome Consortia</w:t>
      </w:r>
      <w:commentRangeEnd w:id="23"/>
      <w:r w:rsidDel="00000000" w:rsidR="00000000" w:rsidRPr="00000000">
        <w:commentReference w:id="23"/>
      </w:r>
      <w:r w:rsidDel="00000000" w:rsidR="00000000" w:rsidRPr="00000000">
        <w:rPr>
          <w:rtl w:val="0"/>
        </w:rPr>
      </w:r>
    </w:p>
    <w:p w:rsidR="00000000" w:rsidDel="00000000" w:rsidP="00000000" w:rsidRDefault="00000000" w:rsidRPr="00000000">
      <w:pPr>
        <w:spacing w:after="100" w:lineRule="auto"/>
        <w:contextualSpacing w:val="0"/>
      </w:pPr>
      <w:bookmarkStart w:colFirst="0" w:colLast="0" w:name="h.nw5kb6vsbunx" w:id="2"/>
      <w:bookmarkEnd w:id="2"/>
      <w:commentRangeStart w:id="24"/>
      <w:r w:rsidDel="00000000" w:rsidR="00000000" w:rsidRPr="00000000">
        <w:rPr>
          <w:rFonts w:ascii="Arial" w:cs="Arial" w:eastAsia="Arial" w:hAnsi="Arial"/>
          <w:sz w:val="22"/>
          <w:szCs w:val="22"/>
          <w:rtl w:val="0"/>
        </w:rPr>
        <w:t xml:space="preserve">The DAC</w:t>
      </w:r>
      <w:commentRangeEnd w:id="24"/>
      <w:r w:rsidDel="00000000" w:rsidR="00000000" w:rsidRPr="00000000">
        <w:commentReference w:id="24"/>
      </w:r>
      <w:r w:rsidDel="00000000" w:rsidR="00000000" w:rsidRPr="00000000">
        <w:rPr>
          <w:rFonts w:ascii="Arial" w:cs="Arial" w:eastAsia="Arial" w:hAnsi="Arial"/>
          <w:sz w:val="22"/>
          <w:szCs w:val="22"/>
          <w:rtl w:val="0"/>
        </w:rPr>
        <w:t xml:space="preserve"> is working with the DCC to import consolidated epigenomes and unconsolidated experiments of Roadmap Epigenomics Project and the International Human Epigenomics Consortium into the ENCODE portal. The DAC compiled ~7,000 consolidated and ~15,000 unconsolidated data files, including alignments, signal, and peaks, into 127 epigenome objects in ENCODE. </w:t>
      </w:r>
      <w:r w:rsidDel="00000000" w:rsidR="00000000" w:rsidRPr="00000000">
        <w:rPr>
          <w:rtl w:val="0"/>
        </w:rPr>
      </w:r>
    </w:p>
    <w:p w:rsidR="00000000" w:rsidDel="00000000" w:rsidP="00000000" w:rsidRDefault="00000000" w:rsidRPr="00000000">
      <w:pPr>
        <w:spacing w:after="100" w:lineRule="auto"/>
        <w:contextualSpacing w:val="0"/>
      </w:pPr>
      <w:bookmarkStart w:colFirst="0" w:colLast="0" w:name="h.bcogso4ly3o3" w:id="3"/>
      <w:bookmarkEnd w:id="3"/>
      <w:r w:rsidDel="00000000" w:rsidR="00000000" w:rsidRPr="00000000">
        <w:rPr>
          <w:rFonts w:ascii="Arial" w:cs="Arial" w:eastAsia="Arial" w:hAnsi="Arial"/>
          <w:sz w:val="22"/>
          <w:szCs w:val="22"/>
          <w:u w:val="single"/>
          <w:rtl w:val="0"/>
        </w:rPr>
        <w:t xml:space="preserve">Integration of ENCODE with Genotype-Tissue Expression Project</w:t>
      </w:r>
    </w:p>
    <w:p w:rsidR="00000000" w:rsidDel="00000000" w:rsidP="00000000" w:rsidRDefault="00000000" w:rsidRPr="00000000">
      <w:pPr>
        <w:spacing w:after="100" w:lineRule="auto"/>
        <w:contextualSpacing w:val="0"/>
      </w:pPr>
      <w:bookmarkStart w:colFirst="0" w:colLast="0" w:name="h.ci99ec2a8dbq" w:id="4"/>
      <w:bookmarkEnd w:id="4"/>
      <w:r w:rsidDel="00000000" w:rsidR="00000000" w:rsidRPr="00000000">
        <w:rPr>
          <w:rFonts w:ascii="Arial" w:cs="Arial" w:eastAsia="Arial" w:hAnsi="Arial"/>
          <w:sz w:val="22"/>
          <w:szCs w:val="22"/>
          <w:rtl w:val="0"/>
        </w:rPr>
        <w:t xml:space="preserve">The Genotype-Tissue Expression Project (GTEx) </w:t>
      </w:r>
      <w:r w:rsidDel="00000000" w:rsidR="00000000" w:rsidRPr="00000000">
        <w:rPr>
          <w:rFonts w:ascii="Arial" w:cs="Arial" w:eastAsia="Arial" w:hAnsi="Arial"/>
          <w:sz w:val="22"/>
          <w:szCs w:val="22"/>
          <w:highlight w:val="white"/>
          <w:rtl w:val="0"/>
        </w:rPr>
        <w:t xml:space="preserve"> is a large-scale data resource that studies human gene expression and regulation and its relationship to genetic variation. Manolis Kellis and Roderic Guigo from the DAC are also part of the GTEx consortium and will help to integrate the GTEx RNA-Seq datasets into ENCODE pipelines for joint integrative analyses by the ENCODE AWG. In addition, the </w:t>
      </w:r>
      <w:r w:rsidDel="00000000" w:rsidR="00000000" w:rsidRPr="00000000">
        <w:rPr>
          <w:rFonts w:ascii="Arial" w:cs="Arial" w:eastAsia="Arial" w:hAnsi="Arial"/>
          <w:sz w:val="22"/>
          <w:szCs w:val="22"/>
          <w:rtl w:val="0"/>
        </w:rPr>
        <w:t xml:space="preserve">expression quantitative trait loci (</w:t>
      </w:r>
      <w:r w:rsidDel="00000000" w:rsidR="00000000" w:rsidRPr="00000000">
        <w:rPr>
          <w:rFonts w:ascii="Arial" w:cs="Arial" w:eastAsia="Arial" w:hAnsi="Arial"/>
          <w:sz w:val="22"/>
          <w:szCs w:val="22"/>
          <w:highlight w:val="white"/>
          <w:rtl w:val="0"/>
        </w:rPr>
        <w:t xml:space="preserve"> eQTLs) identified  by the GTEx project will be integrated with various ENCODE annotations.</w:t>
      </w:r>
    </w:p>
    <w:p w:rsidR="00000000" w:rsidDel="00000000" w:rsidP="00000000" w:rsidRDefault="00000000" w:rsidRPr="00000000">
      <w:pPr>
        <w:spacing w:after="100" w:lineRule="auto"/>
        <w:contextualSpacing w:val="0"/>
      </w:pPr>
      <w:bookmarkStart w:colFirst="0" w:colLast="0" w:name="h.5es7seiltqlh" w:id="5"/>
      <w:bookmarkEnd w:id="5"/>
      <w:r w:rsidDel="00000000" w:rsidR="00000000" w:rsidRPr="00000000">
        <w:rPr>
          <w:rFonts w:ascii="Arial" w:cs="Arial" w:eastAsia="Arial" w:hAnsi="Arial"/>
          <w:sz w:val="22"/>
          <w:szCs w:val="22"/>
          <w:u w:val="single"/>
          <w:rtl w:val="0"/>
        </w:rPr>
        <w:t xml:space="preserve">Integration of ENCODE with PsychENCODE and BrainSpan Projects</w:t>
      </w:r>
    </w:p>
    <w:p w:rsidR="00000000" w:rsidDel="00000000" w:rsidP="00000000" w:rsidRDefault="00000000" w:rsidRPr="00000000">
      <w:pPr>
        <w:spacing w:after="100" w:lineRule="auto"/>
        <w:contextualSpacing w:val="0"/>
      </w:pPr>
      <w:bookmarkStart w:colFirst="0" w:colLast="0" w:name="h.bcogso4ly3o3" w:id="3"/>
      <w:bookmarkEnd w:id="3"/>
      <w:r w:rsidDel="00000000" w:rsidR="00000000" w:rsidRPr="00000000">
        <w:rPr>
          <w:rFonts w:ascii="Arial" w:cs="Arial" w:eastAsia="Arial" w:hAnsi="Arial"/>
          <w:sz w:val="22"/>
          <w:szCs w:val="22"/>
          <w:rtl w:val="0"/>
        </w:rPr>
        <w:t xml:space="preserve">The PsychENCODE and BrainSpan projects are developing a resource for genomics, regulatory, epigenomic, and proteomic landscapes in healthy and diseased developing and adult brains, as well as in neural cell cultures. Mark Gerstein and Zhiping Weng are members of the PsychENCODE consortium and will consistency of data processing and pipelines between the PsychENCODE and ENCODE consortia. In addition, the eQTLs identified in the PsychENCODE project will be integrated into the ENCODE annotations.</w:t>
      </w:r>
    </w:p>
    <w:p w:rsidR="00000000" w:rsidDel="00000000" w:rsidP="00000000" w:rsidRDefault="00000000" w:rsidRPr="00000000">
      <w:pPr>
        <w:spacing w:after="100" w:lineRule="auto"/>
        <w:contextualSpacing w:val="0"/>
      </w:pPr>
      <w:bookmarkStart w:colFirst="0" w:colLast="0" w:name="h.5es7seiltqlh" w:id="5"/>
      <w:bookmarkEnd w:id="5"/>
      <w:r w:rsidDel="00000000" w:rsidR="00000000" w:rsidRPr="00000000">
        <w:rPr>
          <w:rFonts w:ascii="Arial" w:cs="Arial" w:eastAsia="Arial" w:hAnsi="Arial"/>
          <w:sz w:val="22"/>
          <w:szCs w:val="22"/>
          <w:u w:val="single"/>
          <w:rtl w:val="0"/>
        </w:rPr>
        <w:t xml:space="preserve">Integration of ENCODE with Extracellular RNA Communication Consortium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The Gerstein Lab is in charge of the DIAC of the exRNA consortium to develop the standardized RNA-seq pipelines for the analysis of exRNAs.</w:t>
      </w:r>
      <w:r w:rsidDel="00000000" w:rsidR="00000000" w:rsidRPr="00000000">
        <w:rPr>
          <w:rFonts w:ascii="Arial" w:cs="Arial" w:eastAsia="Arial" w:hAnsi="Arial"/>
          <w:sz w:val="22"/>
          <w:szCs w:val="22"/>
          <w:rtl w:val="0"/>
        </w:rPr>
        <w:t xml:space="preserve"> We have developed </w:t>
      </w:r>
      <w:r w:rsidDel="00000000" w:rsidR="00000000" w:rsidRPr="00000000">
        <w:rPr>
          <w:rFonts w:ascii="Arial" w:cs="Arial" w:eastAsia="Arial" w:hAnsi="Arial"/>
          <w:sz w:val="22"/>
          <w:szCs w:val="22"/>
          <w:rtl w:val="0"/>
        </w:rPr>
        <w:t xml:space="preserve">a custom pipeline (exceRpt) for the analysis of small exRNA-seq data for the Extracellular RNA Communication Consortium (ERCC) that is similar to the ENCODE small RNA-seq pipeline.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u w:val="single"/>
          <w:rtl w:val="0"/>
        </w:rPr>
        <w:t xml:space="preserve">Integration of ENCODE with 1000 Genomes</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The Gerstein Lab aims to integrate different non-coding annotations with the germline variants identified by the 1000 Genomes Consortium.  In this way, the non-coding annotation of each variant will be available to all users of the 1000 Genomes data and should serve as a valuable resource for the genetics community to identify the causal variant in GWAS.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Integration of ENCODE with The Cancer Genome Consortium and International Cancer Genome Consoritum</w:t>
      </w:r>
    </w:p>
    <w:p w:rsidR="00000000" w:rsidDel="00000000" w:rsidP="00000000" w:rsidRDefault="00000000" w:rsidRPr="00000000">
      <w:pPr>
        <w:spacing w:after="100" w:lineRule="auto"/>
        <w:contextualSpacing w:val="0"/>
      </w:pPr>
      <w:bookmarkStart w:colFirst="0" w:colLast="0" w:name="h.gjdgxs" w:id="0"/>
      <w:bookmarkEnd w:id="0"/>
      <w:r w:rsidDel="00000000" w:rsidR="00000000" w:rsidRPr="00000000">
        <w:rPr>
          <w:rFonts w:ascii="Arial" w:cs="Arial" w:eastAsia="Arial" w:hAnsi="Arial"/>
          <w:sz w:val="22"/>
          <w:szCs w:val="22"/>
          <w:rtl w:val="0"/>
        </w:rPr>
        <w:t xml:space="preserve">The Gerstein and Liu labs will integrate different non-coding annotations with the somatic variants identified by the cancer genome consortium (TCGA) and the international cancer genome consortium (ICGC). We will also integrate the RNA-seq and miRNA gene expression in the TCGA and ICGC datasets with ENCODE data by running the ENCODE pipelines on these datasets.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Integration of ENCODE with the 4D Nucleome Consortium</w:t>
      </w:r>
      <w:r w:rsidDel="00000000" w:rsidR="00000000" w:rsidRPr="00000000">
        <w:rPr>
          <w:rtl w:val="0"/>
        </w:rPr>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22"/>
          <w:szCs w:val="22"/>
          <w:rtl w:val="0"/>
        </w:rPr>
        <w:t xml:space="preserve">Bill Noble is part of the 4D Nucleome Nuclear Organization and Function Interdisciplinary Consortium and is co-chairing its steering committee. He is thus in an excellent position to ensure coordination between the ENCODE and 4D Nucleome consortia. He is currently developing methods to integrate information from Hi-C and imaging experiments from the the 4D Nucleome consortium with functional genomics datasets during genome segmentation and these methods will be applied to the ENCODE cell lines during the next phase.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1.4 Detailed Integration of Variants: Personal genomes and their use to develop allelic annotations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1.4.1 Personal Genome Construction</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The alignment of assay reads is one of the main steps in processing of functional genomic datasets. Conventionally, reads are aligned to the human reference genome. However, a systematic reference bias is introduced when reads are mapped to this haploid human reference sequence since reads that harbor alternate allele are less likely to be aligned. In addition, reads can be improperly mapped to the reference genome in regions (or samples) with more genetic variation, especially when indels and larger structural variants are involved. This reduced mappability impairs estimation of read abundance and therefore compromises any downstream analyses. We propose to use diploid personal genome as a more accurate representation of an individual’s genome.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tbl>
      <w:tblPr>
        <w:tblStyle w:val="Table2"/>
        <w:bidi w:val="0"/>
        <w:tblW w:w="9359.999999999998"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56.830379746835"/>
        <w:gridCol w:w="1829.346835443038"/>
        <w:gridCol w:w="1829.346835443038"/>
        <w:gridCol w:w="1808.0202531645568"/>
        <w:gridCol w:w="1836.4556962025315"/>
        <w:tblGridChange w:id="0">
          <w:tblGrid>
            <w:gridCol w:w="2056.830379746835"/>
            <w:gridCol w:w="1829.346835443038"/>
            <w:gridCol w:w="1829.346835443038"/>
            <w:gridCol w:w="1808.0202531645568"/>
            <w:gridCol w:w="1836.4556962025315"/>
          </w:tblGrid>
        </w:tblGridChange>
      </w:tblGrid>
      <w:tr>
        <w:tc>
          <w:tcPr>
            <w:tcMar>
              <w:top w:w="100.0" w:type="dxa"/>
              <w:left w:w="100.0" w:type="dxa"/>
              <w:bottom w:w="100.0" w:type="dxa"/>
              <w:right w:w="100.0" w:type="dxa"/>
            </w:tcMar>
          </w:tcPr>
          <w:p w:rsidR="00000000" w:rsidDel="00000000" w:rsidP="00000000" w:rsidRDefault="00000000" w:rsidRPr="00000000">
            <w:pPr>
              <w:widowControl w:val="0"/>
              <w:spacing w:line="240" w:lineRule="auto"/>
              <w:contextualSpacing w:val="0"/>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Ref genome</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Pgenome: snvs only</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Pgenome: snvs + indels only</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b w:val="1"/>
                <w:sz w:val="22"/>
                <w:szCs w:val="22"/>
                <w:highlight w:val="white"/>
                <w:rtl w:val="0"/>
              </w:rPr>
              <w:t xml:space="preserve">Pgenome: snvs + indels + SVs</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Reads processed</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208,051,087</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208,051,087</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208,051,087</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208,051,087</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 reads uniquely aligned</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ff0000"/>
                <w:sz w:val="22"/>
                <w:szCs w:val="22"/>
                <w:highlight w:val="white"/>
                <w:rtl w:val="0"/>
              </w:rPr>
              <w:t xml:space="preserve">171,944,588 (82.65%)</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ff0000"/>
                <w:sz w:val="22"/>
                <w:szCs w:val="22"/>
                <w:highlight w:val="white"/>
                <w:rtl w:val="0"/>
              </w:rPr>
              <w:t xml:space="preserve">172,591,380 (82.96%)</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171,965,218 (82.66%)</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171,969,566 (82.66%)</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ff0000"/>
                <w:sz w:val="22"/>
                <w:szCs w:val="22"/>
                <w:highlight w:val="white"/>
                <w:rtl w:val="0"/>
              </w:rPr>
              <w:t xml:space="preserve">172,738,321 (83.03%)</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171,982,014 (82.66%)</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171,982,614 (82.66%)</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ff0000"/>
                <w:sz w:val="22"/>
                <w:szCs w:val="22"/>
                <w:highlight w:val="white"/>
                <w:rtl w:val="0"/>
              </w:rPr>
              <w:t xml:space="preserve">172,743,175 (83.03%)</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171,977,765 (82.66%)</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171,978,147 (82.66%)</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 reads that failed to align</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18,279,824 (8.79%)</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18,290,611 (8.79%)</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18,276,409 (8.78%)</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18,286,906 (8.79%)</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18,270,944 (8.78%)</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18,293,522 (8.79%)</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18,277,990 (8.79%)</w:t>
            </w:r>
            <w:r w:rsidDel="00000000" w:rsidR="00000000" w:rsidRPr="00000000">
              <w:rPr>
                <w:rtl w:val="0"/>
              </w:rPr>
            </w:r>
          </w:p>
        </w:tc>
      </w:tr>
      <w:tr>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 reads that multimap</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17,826,675 (8.57%)</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17,795,258 (8.55%)</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17,805,112 (8.56%)</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17,782,167 (8.55%)</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17,797,529 (8.55%)</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M: 17,779,800 (8.55%)</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P: 17,794,950 (8.55%)</w:t>
            </w:r>
            <w:r w:rsidDel="00000000" w:rsidR="00000000" w:rsidRPr="00000000">
              <w:rPr>
                <w:rtl w:val="0"/>
              </w:rPr>
            </w:r>
          </w:p>
        </w:tc>
      </w:tr>
    </w:tbl>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18"/>
          <w:szCs w:val="18"/>
          <w:highlight w:val="white"/>
          <w:rtl w:val="0"/>
        </w:rPr>
        <w:t xml:space="preserve">Table</w:t>
      </w:r>
      <w:r w:rsidDel="00000000" w:rsidR="00000000" w:rsidRPr="00000000">
        <w:rPr>
          <w:rFonts w:ascii="Arial" w:cs="Arial" w:eastAsia="Arial" w:hAnsi="Arial"/>
          <w:color w:val="141413"/>
          <w:sz w:val="18"/>
          <w:szCs w:val="18"/>
          <w:highlight w:val="yellow"/>
          <w:rtl w:val="0"/>
        </w:rPr>
        <w:t xml:space="preserve"> XX</w:t>
      </w:r>
      <w:r w:rsidDel="00000000" w:rsidR="00000000" w:rsidRPr="00000000">
        <w:rPr>
          <w:rFonts w:ascii="Arial" w:cs="Arial" w:eastAsia="Arial" w:hAnsi="Arial"/>
          <w:color w:val="141413"/>
          <w:sz w:val="18"/>
          <w:szCs w:val="18"/>
          <w:highlight w:val="white"/>
          <w:rtl w:val="0"/>
        </w:rPr>
        <w:t xml:space="preserve">. A table showing that the diploid personal genome allows more accurate alignment of functional assay reads, NA12878 with an ENCODE POL2 ChIP-seq dataset, than the human reference genome. The alignment improves as you increase the completeness of the variant call sets from SNVs, then adding indels and finally SVs.</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For personal genome construction, w</w:t>
      </w:r>
      <w:r w:rsidDel="00000000" w:rsidR="00000000" w:rsidRPr="00000000">
        <w:rPr>
          <w:rFonts w:ascii="Arial" w:cs="Arial" w:eastAsia="Arial" w:hAnsi="Arial"/>
          <w:sz w:val="22"/>
          <w:szCs w:val="22"/>
          <w:highlight w:val="white"/>
          <w:rtl w:val="0"/>
        </w:rPr>
        <w:t xml:space="preserve">e have developed a computational tool, </w:t>
      </w:r>
      <w:r w:rsidDel="00000000" w:rsidR="00000000" w:rsidRPr="00000000">
        <w:rPr>
          <w:rFonts w:ascii="Arial" w:cs="Arial" w:eastAsia="Arial" w:hAnsi="Arial"/>
          <w:i w:val="1"/>
          <w:sz w:val="22"/>
          <w:szCs w:val="22"/>
          <w:highlight w:val="white"/>
          <w:rtl w:val="0"/>
        </w:rPr>
        <w:t xml:space="preserve">vcf2diploid</w:t>
      </w:r>
      <w:r w:rsidDel="00000000" w:rsidR="00000000" w:rsidRPr="00000000">
        <w:rPr>
          <w:rFonts w:ascii="Arial" w:cs="Arial" w:eastAsia="Arial" w:hAnsi="Arial"/>
          <w:color w:val="141413"/>
          <w:sz w:val="22"/>
          <w:szCs w:val="22"/>
          <w:highlight w:val="white"/>
          <w:rtl w:val="0"/>
        </w:rPr>
        <w:t xml:space="preserve">\cite{Rozowsky, 2011 21811232}</w:t>
      </w:r>
      <w:r w:rsidDel="00000000" w:rsidR="00000000" w:rsidRPr="00000000">
        <w:rPr>
          <w:rFonts w:ascii="Arial" w:cs="Arial" w:eastAsia="Arial" w:hAnsi="Arial"/>
          <w:sz w:val="22"/>
          <w:szCs w:val="22"/>
          <w:highlight w:val="white"/>
          <w:rtl w:val="0"/>
        </w:rPr>
        <w:t xml:space="preserve">. The tool integrates an individual’s genomic variation data (SNVs, indels, and SVs) into the reference genome. Phase information of heterozygous variants is also incorporated, producing maternal and paternal haplotypes. Chain files generated by the program can be used to account for coordinate offsets between the individual’s parental haplotypes and the original reference genomic sequence. The versatility to convert between reference and personal genome coordinates allows mapping of genomic annotated regions (e. g. gene or peak coordinates for RNA-seq and ChIP-seq, respectively) between the genomes using available tools, such as UCSC LiftOver tool\cite{Rhead, 2010 19906737}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drawing>
          <wp:inline distB="114300" distT="114300" distL="114300" distR="114300">
            <wp:extent cx="2763850" cy="1052513"/>
            <wp:effectExtent b="0" l="0" r="0" t="0"/>
            <wp:docPr id="43" name="image95.png"/>
            <a:graphic>
              <a:graphicData uri="http://schemas.openxmlformats.org/drawingml/2006/picture">
                <pic:pic>
                  <pic:nvPicPr>
                    <pic:cNvPr id="0" name="image95.png"/>
                    <pic:cNvPicPr preferRelativeResize="0"/>
                  </pic:nvPicPr>
                  <pic:blipFill>
                    <a:blip r:embed="rId49"/>
                    <a:srcRect b="0" l="17628" r="0" t="0"/>
                    <a:stretch>
                      <a:fillRect/>
                    </a:stretch>
                  </pic:blipFill>
                  <pic:spPr>
                    <a:xfrm>
                      <a:off x="0" y="0"/>
                      <a:ext cx="2763850" cy="1052513"/>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Figure </w:t>
      </w:r>
      <w:r w:rsidDel="00000000" w:rsidR="00000000" w:rsidRPr="00000000">
        <w:rPr>
          <w:rFonts w:ascii="Arial" w:cs="Arial" w:eastAsia="Arial" w:hAnsi="Arial"/>
          <w:sz w:val="18"/>
          <w:szCs w:val="18"/>
          <w:highlight w:val="yellow"/>
          <w:rtl w:val="0"/>
        </w:rPr>
        <w:t xml:space="preserve">XX</w:t>
      </w:r>
      <w:r w:rsidDel="00000000" w:rsidR="00000000" w:rsidRPr="00000000">
        <w:rPr>
          <w:rFonts w:ascii="Arial" w:cs="Arial" w:eastAsia="Arial" w:hAnsi="Arial"/>
          <w:sz w:val="18"/>
          <w:szCs w:val="18"/>
          <w:highlight w:val="white"/>
          <w:rtl w:val="0"/>
        </w:rPr>
        <w:t xml:space="preserve">. Each haplotype in the diploid personal genome is derived by incorporating phased or unphased variants (SNVs, indels and SVs) into the human reference genome. The coordinates can be mapped back to the human reference coordinates to facilitate comparisons with other reference-based resources, such as gene annotations from GENCODE.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We have previously constructed the personal diploid genome, splice-junction libraries and personalized gene annotations for NA12878. We have made this assembly available as a resource at alleleseq.gersteinlab.org and have been updating it as new versions of the human reference genome, genomic annotations, and NA12878 genetic variation data are released. Furthermore, the availability of a computational tool enables the construction of personal genomes in a high throughput fashion, as demonstrated in a recent publication\cite{Chen et al. Nat. Commun., in press} where we built 382 personal genomes using the variant call sets from the 1000 Genomes Project.</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Since it has been demonstrated that using diploid genome with individual’s variants improves both mappability of the reads\cite{Rozowsky, 2011 </w:t>
      </w:r>
      <w:r w:rsidDel="00000000" w:rsidR="00000000" w:rsidRPr="00000000">
        <w:rPr>
          <w:rFonts w:ascii="Arial" w:cs="Arial" w:eastAsia="Arial" w:hAnsi="Arial"/>
          <w:color w:val="141413"/>
          <w:sz w:val="22"/>
          <w:szCs w:val="22"/>
          <w:highlight w:val="white"/>
          <w:rtl w:val="0"/>
        </w:rPr>
        <w:t xml:space="preserve">21811232</w:t>
      </w:r>
      <w:r w:rsidDel="00000000" w:rsidR="00000000" w:rsidRPr="00000000">
        <w:rPr>
          <w:rFonts w:ascii="Arial" w:cs="Arial" w:eastAsia="Arial" w:hAnsi="Arial"/>
          <w:sz w:val="22"/>
          <w:szCs w:val="22"/>
          <w:highlight w:val="white"/>
          <w:rtl w:val="0"/>
        </w:rPr>
        <w:t xml:space="preserve">} and results of the downstream analyses (particularly for SVs) \cite{Sudmant, 2015 26432246}, we propose to incorporate our personal genome construction tool, </w:t>
      </w:r>
      <w:r w:rsidDel="00000000" w:rsidR="00000000" w:rsidRPr="00000000">
        <w:rPr>
          <w:rFonts w:ascii="Arial" w:cs="Arial" w:eastAsia="Arial" w:hAnsi="Arial"/>
          <w:i w:val="1"/>
          <w:sz w:val="22"/>
          <w:szCs w:val="22"/>
          <w:highlight w:val="white"/>
          <w:rtl w:val="0"/>
        </w:rPr>
        <w:t xml:space="preserve">vcf2diploid</w:t>
      </w:r>
      <w:r w:rsidDel="00000000" w:rsidR="00000000" w:rsidRPr="00000000">
        <w:rPr>
          <w:rFonts w:ascii="Arial" w:cs="Arial" w:eastAsia="Arial" w:hAnsi="Arial"/>
          <w:sz w:val="22"/>
          <w:szCs w:val="22"/>
          <w:highlight w:val="white"/>
          <w:rtl w:val="0"/>
        </w:rPr>
        <w:t xml:space="preserve">, into ENCODE pipelines.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pPr>
      <w:commentRangeStart w:id="25"/>
      <w:r w:rsidDel="00000000" w:rsidR="00000000" w:rsidRPr="00000000">
        <w:rPr>
          <w:rFonts w:ascii="Arial" w:cs="Arial" w:eastAsia="Arial" w:hAnsi="Arial"/>
          <w:sz w:val="22"/>
          <w:szCs w:val="22"/>
          <w:highlight w:val="white"/>
          <w:rtl w:val="0"/>
        </w:rPr>
        <w:t xml:space="preserve">1.4.2 Developing Allelic Annotations</w:t>
      </w:r>
      <w:commentRangeEnd w:id="25"/>
      <w:r w:rsidDel="00000000" w:rsidR="00000000" w:rsidRPr="00000000">
        <w:commentReference w:id="25"/>
      </w: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color w:val="141413"/>
          <w:sz w:val="22"/>
          <w:szCs w:val="22"/>
          <w:highlight w:val="white"/>
          <w:rtl w:val="0"/>
        </w:rPr>
        <w:t xml:space="preserve">We also have extensive experience in the use of personal genomes in analyses involving RNA-seq and ChIP-seq datasets. In particular, allele-specific (AS) analyses are very sensitive to mapping biases. Therefore in our pipeline </w:t>
      </w:r>
      <w:r w:rsidDel="00000000" w:rsidR="00000000" w:rsidRPr="00000000">
        <w:rPr>
          <w:rFonts w:ascii="Arial" w:cs="Arial" w:eastAsia="Arial" w:hAnsi="Arial"/>
          <w:i w:val="1"/>
          <w:color w:val="141413"/>
          <w:sz w:val="22"/>
          <w:szCs w:val="22"/>
          <w:highlight w:val="white"/>
          <w:rtl w:val="0"/>
        </w:rPr>
        <w:t xml:space="preserve">AlleleSeq</w:t>
      </w:r>
      <w:r w:rsidDel="00000000" w:rsidR="00000000" w:rsidRPr="00000000">
        <w:rPr>
          <w:rFonts w:ascii="Arial" w:cs="Arial" w:eastAsia="Arial" w:hAnsi="Arial"/>
          <w:sz w:val="22"/>
          <w:szCs w:val="22"/>
          <w:highlight w:val="white"/>
          <w:rtl w:val="0"/>
        </w:rPr>
        <w:t xml:space="preserve">\cite{Rozowsky, 2011 </w:t>
      </w:r>
      <w:r w:rsidDel="00000000" w:rsidR="00000000" w:rsidRPr="00000000">
        <w:rPr>
          <w:rFonts w:ascii="Arial" w:cs="Arial" w:eastAsia="Arial" w:hAnsi="Arial"/>
          <w:color w:val="141413"/>
          <w:sz w:val="22"/>
          <w:szCs w:val="22"/>
          <w:highlight w:val="white"/>
          <w:rtl w:val="0"/>
        </w:rPr>
        <w:t xml:space="preserve">21811232</w:t>
      </w:r>
      <w:r w:rsidDel="00000000" w:rsidR="00000000" w:rsidRPr="00000000">
        <w:rPr>
          <w:rFonts w:ascii="Arial" w:cs="Arial" w:eastAsia="Arial" w:hAnsi="Arial"/>
          <w:sz w:val="22"/>
          <w:szCs w:val="22"/>
          <w:highlight w:val="white"/>
          <w:rtl w:val="0"/>
        </w:rPr>
        <w:t xml:space="preserve">}</w:t>
      </w:r>
      <w:r w:rsidDel="00000000" w:rsidR="00000000" w:rsidRPr="00000000">
        <w:rPr>
          <w:rFonts w:ascii="Arial" w:cs="Arial" w:eastAsia="Arial" w:hAnsi="Arial"/>
          <w:color w:val="141413"/>
          <w:sz w:val="22"/>
          <w:szCs w:val="22"/>
          <w:highlight w:val="white"/>
          <w:rtl w:val="0"/>
        </w:rPr>
        <w:t xml:space="preserve"> the functional assay reads are aligned to a diploid personal genome, which alleviates the reference bias. </w:t>
      </w:r>
      <w:r w:rsidDel="00000000" w:rsidR="00000000" w:rsidRPr="00000000">
        <w:rPr>
          <w:rFonts w:ascii="Arial" w:cs="Arial" w:eastAsia="Arial" w:hAnsi="Arial"/>
          <w:sz w:val="22"/>
          <w:szCs w:val="22"/>
          <w:highlight w:val="white"/>
          <w:rtl w:val="0"/>
        </w:rPr>
        <w:t xml:space="preserve">We have spearheaded allele-specific analyses in several major consortia publications, including ENCODE and the 1000 Genomes Project \cite{Djebali, 2012 22955620; Gerstein, 2012 22955619; Khurana, 2013 24092746; Sudmant, 2015 26432246}.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4077375" cy="3119438"/>
            <wp:effectExtent b="0" l="0" r="0" t="0"/>
            <wp:docPr id="26" name="image78.png"/>
            <a:graphic>
              <a:graphicData uri="http://schemas.openxmlformats.org/drawingml/2006/picture">
                <pic:pic>
                  <pic:nvPicPr>
                    <pic:cNvPr id="0" name="image78.png"/>
                    <pic:cNvPicPr preferRelativeResize="0"/>
                  </pic:nvPicPr>
                  <pic:blipFill>
                    <a:blip r:embed="rId50"/>
                    <a:srcRect b="0" l="0" r="0" t="0"/>
                    <a:stretch>
                      <a:fillRect/>
                    </a:stretch>
                  </pic:blipFill>
                  <pic:spPr>
                    <a:xfrm>
                      <a:off x="0" y="0"/>
                      <a:ext cx="4077375" cy="3119438"/>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Figure </w:t>
      </w:r>
      <w:r w:rsidDel="00000000" w:rsidR="00000000" w:rsidRPr="00000000">
        <w:rPr>
          <w:rFonts w:ascii="Arial" w:cs="Arial" w:eastAsia="Arial" w:hAnsi="Arial"/>
          <w:sz w:val="22"/>
          <w:szCs w:val="22"/>
          <w:highlight w:val="yellow"/>
          <w:rtl w:val="0"/>
        </w:rPr>
        <w:t xml:space="preserve">XX</w:t>
      </w:r>
      <w:r w:rsidDel="00000000" w:rsidR="00000000" w:rsidRPr="00000000">
        <w:rPr>
          <w:rFonts w:ascii="Arial" w:cs="Arial" w:eastAsia="Arial" w:hAnsi="Arial"/>
          <w:sz w:val="22"/>
          <w:szCs w:val="22"/>
          <w:highlight w:val="white"/>
          <w:rtl w:val="0"/>
        </w:rPr>
        <w:t xml:space="preserve">. Resolved into their parental haplotypes (blue for paternal; red for maternal), and then building a regulatory network, show high coordination between ASB (triangles) and ASE (small circles and rounded squares)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More recently\cite{Chen et al. Nat. Commun., in press}, we annotated variants associated with allele-specific expression (ASE) and binding (ASB) in a large pool of individuals from the 1000 Genomes Project. For this analysis, we integrated matching functional datasets (955 RNA-seq and 165 ChIP-seq in total), which include ChIP-seq datasets from 14 lymphoblastoid cell lines in ENCODE\cite{ENCODE Consortium, 2012 22955616}. We developed a standardized framework and statistical approaches to aggregate and uniformly process them. Using the beta-binomial test, we first estimated overdispersion in allelic ratios distribution for each dataset (filtering ones with high overdispersion parameter) and then identified statistically significant AS events. We have also incorporated strategies to alleviate ambiguous mapping bias – bias occurring when reads originating from one of the two alleles map to multiple locations. Overall, we detected more than 6K and 63K SNVs associated with ASB and ASE, respectively. These results were made available as an online resource, AlleleDB (alleledb.gersteinlab.org) and serve as an allele-specific annotation for the 1000-Genome variant catalogue.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4033838" cy="3596838"/>
            <wp:effectExtent b="0" l="0" r="0" t="0"/>
            <wp:docPr id="11" name="image62.png"/>
            <a:graphic>
              <a:graphicData uri="http://schemas.openxmlformats.org/drawingml/2006/picture">
                <pic:pic>
                  <pic:nvPicPr>
                    <pic:cNvPr id="0" name="image62.png"/>
                    <pic:cNvPicPr preferRelativeResize="0"/>
                  </pic:nvPicPr>
                  <pic:blipFill>
                    <a:blip r:embed="rId51"/>
                    <a:srcRect b="0" l="0" r="0" t="0"/>
                    <a:stretch>
                      <a:fillRect/>
                    </a:stretch>
                  </pic:blipFill>
                  <pic:spPr>
                    <a:xfrm>
                      <a:off x="0" y="0"/>
                      <a:ext cx="4033838" cy="3596838"/>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Figure XX. The ASB and ASE enrichment of various categories of genomic elements, such CDS regions, promoters and enhancers.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tabs>
          <w:tab w:val="left" w:pos="360"/>
          <w:tab w:val="left" w:pos="720"/>
          <w:tab w:val="left" w:pos="1080"/>
          <w:tab w:val="left" w:pos="1440"/>
        </w:tabs>
        <w:contextualSpacing w:val="0"/>
      </w:pPr>
      <w:r w:rsidDel="00000000" w:rsidR="00000000" w:rsidRPr="00000000">
        <w:rPr>
          <w:rFonts w:ascii="Arial" w:cs="Arial" w:eastAsia="Arial" w:hAnsi="Arial"/>
          <w:sz w:val="22"/>
          <w:szCs w:val="22"/>
          <w:u w:val="single"/>
          <w:rtl w:val="0"/>
        </w:rPr>
        <w:t xml:space="preserve">1.5 Comparative analyses between human &amp; mouse</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26"/>
      <w:r w:rsidDel="00000000" w:rsidR="00000000" w:rsidRPr="00000000">
        <w:rPr>
          <w:rFonts w:ascii="Arial" w:cs="Arial" w:eastAsia="Arial" w:hAnsi="Arial"/>
          <w:sz w:val="22"/>
          <w:szCs w:val="22"/>
          <w:u w:val="single"/>
          <w:rtl w:val="0"/>
        </w:rPr>
        <w:t xml:space="preserve">1.5.1 </w:t>
      </w:r>
      <w:r w:rsidDel="00000000" w:rsidR="00000000" w:rsidRPr="00000000">
        <w:rPr>
          <w:rFonts w:ascii="Arial" w:cs="Arial" w:eastAsia="Arial" w:hAnsi="Arial"/>
          <w:sz w:val="22"/>
          <w:szCs w:val="22"/>
          <w:u w:val="single"/>
          <w:rtl w:val="0"/>
        </w:rPr>
        <w:t xml:space="preserve">Other Species Integration Experience: modENCODE experience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We plan to build this resource upon our experience on setting the standards within ENCODE and other consortia. For example, capitalizing on the uniformly processed and matched experimental data obtained by mod/ENCODE consortia, we have performed a series of comparative studies across distant metazoan phyla. A comparative analysis of human, worm, and fly revealed remarkable conservation of general properties of regulatory networks \cite{Gerstein, 2014 25164755}. </w:t>
      </w:r>
      <w:commentRangeEnd w:id="26"/>
      <w:r w:rsidDel="00000000" w:rsidR="00000000" w:rsidRPr="00000000">
        <w:commentReference w:id="26"/>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27"/>
      <w:r w:rsidDel="00000000" w:rsidR="00000000" w:rsidRPr="00000000">
        <w:rPr>
          <w:rFonts w:ascii="Arial" w:cs="Arial" w:eastAsia="Arial" w:hAnsi="Arial"/>
          <w:sz w:val="22"/>
          <w:szCs w:val="22"/>
          <w:u w:val="single"/>
          <w:rtl w:val="0"/>
        </w:rPr>
        <w:t xml:space="preserve">1.5.2.</w:t>
      </w:r>
      <w:commentRangeEnd w:id="27"/>
      <w:r w:rsidDel="00000000" w:rsidR="00000000" w:rsidRPr="00000000">
        <w:commentReference w:id="27"/>
      </w:r>
      <w:r w:rsidDel="00000000" w:rsidR="00000000" w:rsidRPr="00000000">
        <w:rPr>
          <w:rFonts w:ascii="Arial" w:cs="Arial" w:eastAsia="Arial" w:hAnsi="Arial"/>
          <w:sz w:val="22"/>
          <w:szCs w:val="22"/>
          <w:u w:val="single"/>
          <w:rtl w:val="0"/>
        </w:rPr>
        <w:t xml:space="preserve"> Mapping of genes and regulatory elements between human and mouse. [</w:t>
      </w:r>
      <w:commentRangeStart w:id="28"/>
      <w:r w:rsidDel="00000000" w:rsidR="00000000" w:rsidRPr="00000000">
        <w:rPr>
          <w:rFonts w:ascii="Arial" w:cs="Arial" w:eastAsia="Arial" w:hAnsi="Arial"/>
          <w:sz w:val="22"/>
          <w:szCs w:val="22"/>
          <w:u w:val="single"/>
          <w:rtl w:val="0"/>
        </w:rPr>
        <w:t xml:space="preserve">Manolis to add</w:t>
      </w:r>
      <w:commentRangeEnd w:id="28"/>
      <w:r w:rsidDel="00000000" w:rsidR="00000000" w:rsidRPr="00000000">
        <w:commentReference w:id="28"/>
      </w:r>
      <w:r w:rsidDel="00000000" w:rsidR="00000000" w:rsidRPr="00000000">
        <w:rPr>
          <w:rFonts w:ascii="Arial" w:cs="Arial" w:eastAsia="Arial" w:hAnsi="Arial"/>
          <w:sz w:val="22"/>
          <w:szCs w:val="22"/>
          <w:u w:val="single"/>
          <w:rtl w:val="0"/>
        </w:rPr>
        <w:t xml:space="preserv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We have developed a highly accurate tree-based phylogenomic pipeline for identifying orthologs and paralogs that overcomes the limitations discussed above. To address the problem of potential inaccuracies in the tolopogy of individual gene trees, we developed TreeFix (Wu et al. 2013), which, given a sequence alignment, maximum likelihood gene tree, and known species tree topology, outputs a highly accurate, error-corrected version of the gene tree. By using TreeFix to reconstruct gene trees, our method minimizes the effect of erroneous gene trees and greatly improves the accuracy of inferring orthologs and paralogs. Our approach also handles incomplete lineage sorting (ILS) effectively: the dense sampling of the fly clade and the worm clade used in modENCODE makes it especially important to distinguish ILS from gene duplication and loss (Maddison 1997; Pollard et al. 2006; Hobolth et al. 2007). To accomplish this goal, our pipeline employs DLCoal (Rasmussen and Kellis 2012), a reconciliation method that simultaneously accounts for the role of both ILS and gene duplication and loss in the evolution of a gene family through the use of an intermediate locus tree between the gene tree and species tree. Finally, we have developed an approach for integrating multiple ortholog sets using evidence from other species in order to benefit from the potentially complementary information available in discordant inferences.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Mapping of non-coding regions between human and mouse. </w:t>
      </w:r>
      <w:commentRangeStart w:id="29"/>
      <w:r w:rsidDel="00000000" w:rsidR="00000000" w:rsidRPr="00000000">
        <w:rPr>
          <w:rFonts w:ascii="Arial" w:cs="Arial" w:eastAsia="Arial" w:hAnsi="Arial"/>
          <w:sz w:val="22"/>
          <w:szCs w:val="22"/>
          <w:rtl w:val="0"/>
        </w:rPr>
        <w:t xml:space="preserve">Manolis</w:t>
      </w:r>
      <w:commentRangeEnd w:id="29"/>
      <w:r w:rsidDel="00000000" w:rsidR="00000000" w:rsidRPr="00000000">
        <w:commentReference w:id="29"/>
      </w:r>
      <w:r w:rsidDel="00000000" w:rsidR="00000000" w:rsidRPr="00000000">
        <w:rPr>
          <w:rFonts w:ascii="Arial" w:cs="Arial" w:eastAsia="Arial" w:hAnsi="Arial"/>
          <w:sz w:val="22"/>
          <w:szCs w:val="22"/>
          <w:rtl w:val="0"/>
        </w:rPr>
        <w:t xml:space="preserve">: include Gjoneska/Pfenning analysis of orthologous chromatin states between human and mouse.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 map orthologous regulatory regions between human and mouse, we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he promoter (H3K4me3 peaks annotated as transcription start site by chromatin state), enhancer (H3K27ac peaks annotated as enhancer by chromatin state) and Polycomb-repressed regions (H3K27me3 peaks annotated as Polycomb-repressed by chromatin state) were mapped to the human genome. BEDfiles representing the coordinates of these peaks inmm9 were mapped to mm10 using liftover[Hinrichs 2006 NAR].Those peaksweremapped compared to the human genome the UCSC multiple alignment chain files (http://hgdownload.soe.ucsc.edu/ goldenPath/mm10/multiz60way/)[45]. More specifically, the alignments that overlap the mouse peak and include hg19 were extracted.We calculated the human mouse pairwise alignment for each multiple alignment using the ‘globalms’ function of biopython (http://biopython.org/, version 1.59; python version 2.71). The highest scoring pairwise alignment formed base of the orthologous region in human. This region was extended on either side using lower scoring multiple alignments. The orthologous region inhg19was required to be greater than 30 bp and no more than twice the length of the region in mouse. The mean conservation was examined using the PHASTCons score across placental mammals[46] based on the same 60-way multiple sequence alignment. The mapped enhancer regions were annotated with their chromatin state in human hippocampus, and across all 127 cell types and tissues, using BEDTools[47]. The information from human tissues was collected according to protocols described in more detail in the companion publication as a part of the Roadmap Epigenomics project10 (http://www.roadmapepigenomics.org/). The protocols are approved by the NIH and no sequence information from identifiable subjects is provided.</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16"/>
          <w:szCs w:val="16"/>
          <w:rtl w:val="0"/>
        </w:rPr>
        <w:t xml:space="preserve">44. Hinrichs, A. S. et al. The UCSC Genome Browser Database: update 2006. Nucleic Acids Res. 34, D590–D598 (2006). </w:t>
        <w:br w:type="textWrapping"/>
        <w:t xml:space="preserve">45. Blanchette, M. et al. Aligning multiple genomic sequences with the threaded blockset aligner. Genome Res. 14, 708–715 (2004).</w:t>
        <w:br w:type="textWrapping"/>
        <w:t xml:space="preserve">46. Siepel, A. et al. Evolutionarily conserved elements in vertebrate, insect, worm, and yeast genomes. Genome Res. 15, 1034–1050 (2005).</w:t>
        <w:br w:type="textWrapping"/>
        <w:t xml:space="preserve">47. Quinlan, A. R. &amp; Hall, I. M. BEDTools: a flexible suite of utilities for comparing genomic features. Bioinformatics 26, 841–842 (2010).</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drawing>
          <wp:inline distB="114300" distT="114300" distL="114300" distR="114300">
            <wp:extent cx="2198871" cy="3109913"/>
            <wp:effectExtent b="0" l="0" r="0" t="0"/>
            <wp:docPr id="16" name="image68.png"/>
            <a:graphic>
              <a:graphicData uri="http://schemas.openxmlformats.org/drawingml/2006/picture">
                <pic:pic>
                  <pic:nvPicPr>
                    <pic:cNvPr id="0" name="image68.png"/>
                    <pic:cNvPicPr preferRelativeResize="0"/>
                  </pic:nvPicPr>
                  <pic:blipFill>
                    <a:blip r:embed="rId52"/>
                    <a:srcRect b="0" l="0" r="0" t="0"/>
                    <a:stretch>
                      <a:fillRect/>
                    </a:stretch>
                  </pic:blipFill>
                  <pic:spPr>
                    <a:xfrm>
                      <a:off x="0" y="0"/>
                      <a:ext cx="2198871" cy="3109913"/>
                    </a:xfrm>
                    <a:prstGeom prst="rect"/>
                    <a:ln/>
                  </pic:spPr>
                </pic:pic>
              </a:graphicData>
            </a:graphic>
          </wp:inline>
        </w:drawing>
      </w:r>
      <w:r w:rsidDel="00000000" w:rsidR="00000000" w:rsidRPr="00000000">
        <w:drawing>
          <wp:inline distB="114300" distT="114300" distL="114300" distR="114300">
            <wp:extent cx="4175895" cy="1776413"/>
            <wp:effectExtent b="0" l="0" r="0" t="0"/>
            <wp:docPr id="42" name="image94.png"/>
            <a:graphic>
              <a:graphicData uri="http://schemas.openxmlformats.org/drawingml/2006/picture">
                <pic:pic>
                  <pic:nvPicPr>
                    <pic:cNvPr id="0" name="image94.png"/>
                    <pic:cNvPicPr preferRelativeResize="0"/>
                  </pic:nvPicPr>
                  <pic:blipFill>
                    <a:blip r:embed="rId53"/>
                    <a:srcRect b="0" l="0" r="0" t="0"/>
                    <a:stretch>
                      <a:fillRect/>
                    </a:stretch>
                  </pic:blipFill>
                  <pic:spPr>
                    <a:xfrm>
                      <a:off x="0" y="0"/>
                      <a:ext cx="4175895" cy="177641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b w:val="1"/>
          <w:sz w:val="18"/>
          <w:szCs w:val="18"/>
          <w:rtl w:val="0"/>
        </w:rPr>
        <w:t xml:space="preserve">Figure 1.5.</w:t>
      </w:r>
      <w:r w:rsidDel="00000000" w:rsidR="00000000" w:rsidRPr="00000000">
        <w:rPr>
          <w:rFonts w:ascii="Arial" w:cs="Arial" w:eastAsia="Arial" w:hAnsi="Arial"/>
          <w:sz w:val="18"/>
          <w:szCs w:val="18"/>
          <w:rtl w:val="0"/>
        </w:rPr>
        <w:t xml:space="preserve"> Chromatin state conservation. a, Combinatorial patterns of the seven histone modifications profiled were used to define promoter (1–3; A, active; D, downstream; U, upstream), gene body (4–6; tx, transcribed; 3P, 3 prime), enhancer (7–9; G, genic; 15strong, 25weak), bivalent (10), repressed Polycomb (11), heterochromatin (12), and low signal (13–14) chromatin states. Darker blue indicates a higher enrichment of the measured histone mark (x axis) to be found in a particular state (y axis). b, Promoter, enhancer and repressed chromatin states in mouse hippocampus (rows), as profiled in this study, align to matching chromatin states in human (columns), as profiled by the Roadmap Epigenomics Consortium10. Shading indicates enrichment relative to human chromatin state abundance (columns). The number of regions overlapping is shown in each cell of the heatmap. LETTER RESEARCH ©2015</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30"/>
      <w:commentRangeStart w:id="31"/>
      <w:r w:rsidDel="00000000" w:rsidR="00000000" w:rsidRPr="00000000">
        <w:rPr>
          <w:rFonts w:ascii="Arial" w:cs="Arial" w:eastAsia="Arial" w:hAnsi="Arial"/>
          <w:color w:val="999999"/>
          <w:sz w:val="22"/>
          <w:szCs w:val="22"/>
          <w:u w:val="single"/>
          <w:rtl w:val="0"/>
        </w:rPr>
        <w:t xml:space="preserve">1.5.2 Plan for Human-Mouse</w:t>
      </w:r>
    </w:p>
    <w:p w:rsidR="00000000" w:rsidDel="00000000" w:rsidP="00000000" w:rsidRDefault="00000000" w:rsidRPr="00000000">
      <w:pPr>
        <w:spacing w:after="100" w:lineRule="auto"/>
        <w:contextualSpacing w:val="0"/>
      </w:pPr>
      <w:commentRangeEnd w:id="30"/>
      <w:r w:rsidDel="00000000" w:rsidR="00000000" w:rsidRPr="00000000">
        <w:commentReference w:id="30"/>
      </w:r>
      <w:commentRangeEnd w:id="31"/>
      <w:r w:rsidDel="00000000" w:rsidR="00000000" w:rsidRPr="00000000">
        <w:commentReference w:id="31"/>
      </w:r>
      <w:r w:rsidDel="00000000" w:rsidR="00000000" w:rsidRPr="00000000">
        <w:rPr>
          <w:rFonts w:ascii="Arial" w:cs="Arial" w:eastAsia="Arial" w:hAnsi="Arial"/>
          <w:sz w:val="22"/>
          <w:szCs w:val="22"/>
          <w:rtl w:val="0"/>
        </w:rPr>
        <w:t xml:space="preserve">We will work closely with the AWG, the DCC and the phylogenomics community to create a resource of human and mouse orthologs in both genic and intergenic regulatory regions. Such resource will be of great use to transfer the biological knowledge gained from mouse models to human, and to improve our understanding of human biology and health. We will start with the ortholog resources from the established methods, such as Inparanoid, OrthoMCL and TreeFam, evaluate the different methodologies, and then propose a gold standard set of functional orthologs through integrating a variety of information from sequences, functional genomics and phylogenomics.</w:t>
      </w: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Aim 2. Creating high-quality Encyclopedias of DNA elements in the human and mouse genomes.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ENCODE Consortium is generating rich data, both in quantity and in variety. Many integrative analyses are being performed on these data, especially across multiple data types. It is a major challenge to present the analysis results in a comprehensive and yet concise way that maximally facilitates the scientific community to further their research and clinical activities. The ENCODE Encyclopedia is a collection of analysis products with the goal of maximizing the impact of ENCODE data. We seek to achieve high utility, high interpretability, and high accuracy when we choose a piece of analysis result to be included in the Encyclopedia. We provide the Encyclopedia as downloadable files and supply tools for visualizing them. Working as an integral part of the AWG, the DAC generates files associated with the Encyclopedia and submit these files to the DCC along with metadata describing the analysis methods. The DAC also develops prototypes of visualization tools and work with the DCC to implement these tools at the ENCODE portal.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In order to stay as truthfully as possible to the primary experimental data, we propose to build the Encyclopedia using a bottom-up approach which leads to three levels of annotations. The ground level of annotations stay close to raw experimental data, and are typically derived from individual types of experimental data. The middle level of annotations require the integration of multiple types of experimental data, and the top level of annotations require even greater integration. Below we describe the current and planned components of Encyclopedia from ground up.</w:t>
      </w:r>
    </w:p>
    <w:p w:rsidR="00000000" w:rsidDel="00000000" w:rsidP="00000000" w:rsidRDefault="00000000" w:rsidRPr="00000000">
      <w:pPr>
        <w:spacing w:line="276" w:lineRule="auto"/>
        <w:contextualSpacing w:val="0"/>
      </w:pPr>
      <w:r w:rsidDel="00000000" w:rsidR="00000000" w:rsidRPr="00000000">
        <w:drawing>
          <wp:inline distB="114300" distT="114300" distL="114300" distR="114300">
            <wp:extent cx="3587115" cy="2436249"/>
            <wp:effectExtent b="0" l="0" r="0" t="0"/>
            <wp:docPr id="15" name="image67.png"/>
            <a:graphic>
              <a:graphicData uri="http://schemas.openxmlformats.org/drawingml/2006/picture">
                <pic:pic>
                  <pic:nvPicPr>
                    <pic:cNvPr id="0" name="image67.png"/>
                    <pic:cNvPicPr preferRelativeResize="0"/>
                  </pic:nvPicPr>
                  <pic:blipFill>
                    <a:blip r:embed="rId54"/>
                    <a:srcRect b="0" l="0" r="0" t="0"/>
                    <a:stretch>
                      <a:fillRect/>
                    </a:stretch>
                  </pic:blipFill>
                  <pic:spPr>
                    <a:xfrm>
                      <a:off x="0" y="0"/>
                      <a:ext cx="3587115" cy="2436249"/>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pPr>
      <w:commentRangeStart w:id="32"/>
      <w:r w:rsidDel="00000000" w:rsidR="00000000" w:rsidRPr="00000000">
        <w:rPr>
          <w:rFonts w:ascii="Arial" w:cs="Arial" w:eastAsia="Arial" w:hAnsi="Arial"/>
          <w:b w:val="1"/>
          <w:color w:val="222222"/>
          <w:sz w:val="22"/>
          <w:szCs w:val="22"/>
          <w:highlight w:val="white"/>
          <w:rtl w:val="0"/>
        </w:rPr>
        <w:t xml:space="preserve">3.1 The ground level of annotations in the Encyclopedia</w:t>
      </w:r>
      <w:commentRangeEnd w:id="32"/>
      <w:r w:rsidDel="00000000" w:rsidR="00000000" w:rsidRPr="00000000">
        <w:commentReference w:id="32"/>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main data types of the ENCODE Consortium currently include RNA-seq, RAMPAGE, ChIP-seq of TFs, ChIP-seq of histone marks, DNase-seq, eCLIP-seq of RBPs, and Hi-C. We propose to extract from each data type the most direct annotations for inclusion in the Encyclopedia. In this subsection, we list the components based on existing ENCODE data types. We anticipate that new types of data will be generated in the next phase of ENCODE, and will add to the Encyclopedia using similar approaches as to what is described in this section.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3.1.1 Transcription</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most direct result of analyzing a long-RNA-seq dataset (sequencing of RNA fragments longer than 200 bp) is the expression levels of all annotated genes. For a collection of RNA-seq data in multiple cell types, we build a gene expression matrix, with genes in one dimension, cell types in the other dimension, and entries of the matrix being the expression level of a gene in a cell type. We have released two versions of gene expression matrix. The first version was for all ENCODE2 cell types and the second version was for ENCODE2 and ENCODE3 cell types.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DAC has also established a prototype for visualizing the gene expression matrix, and currently working with the DCC to implement it at the ENCODE portal. In the interim, the DAC has worked with Prof. Feng Yue to display the gene expression matrix at their Penn State site (XXX). Prof. Yue’s website can display the expression levels of a user-specified gene across all cell types with ENCODE RNA-seq data. In addition to the capability of displaying the expression profile of one gene as a bar plot or a box plot, the visualizer that DAC is building with the DCC will also display the expression profile of a set of user-specified genes as a heatmap. The user will be able to toggle between different scales of expression level (linear or log), cellular compartments (cytoplasm, nuclear, or nucleolar) and RNA-seq protocols (total, polyA+, or polyA–). We will maximize the similarity in appearance and functionality to the GTEx portal, in an attempt to minimize the learning overhead for the users who are already familiar with the GTEx portal. We anticipate this visualizer to be functional at the ENCODE portal in June, 2016.</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Going forward, we will update the gene expression matrix and the visualizer for each data freeze. There are two main areas of development that we envision. First, The DAC is currently evaluating algorithms that quantify the expression levels of transcripts, with the goal of identifying a method for building a transcript expression matrix.</w:t>
      </w:r>
      <w:r w:rsidDel="00000000" w:rsidR="00000000" w:rsidRPr="00000000">
        <w:rPr>
          <w:rFonts w:ascii="Arial" w:cs="Arial" w:eastAsia="Arial" w:hAnsi="Arial"/>
          <w:color w:val="222222"/>
          <w:sz w:val="22"/>
          <w:szCs w:val="22"/>
          <w:highlight w:val="white"/>
          <w:rtl w:val="0"/>
        </w:rPr>
        <w:t xml:space="preserve"> The major challenge lies in that the RNA-seq analysis algorithms needs to disambiguate the reads that come from different transcripts of the same gene. Development in sequencing technologies such as longer read length will greatly alleviate the challenge, and in </w:t>
      </w:r>
      <w:r w:rsidDel="00000000" w:rsidR="00000000" w:rsidRPr="00000000">
        <w:rPr>
          <w:rFonts w:ascii="Arial" w:cs="Arial" w:eastAsia="Arial" w:hAnsi="Arial"/>
          <w:b w:val="1"/>
          <w:color w:val="222222"/>
          <w:sz w:val="22"/>
          <w:szCs w:val="22"/>
          <w:highlight w:val="white"/>
          <w:rtl w:val="0"/>
        </w:rPr>
        <w:t xml:space="preserve">Section 3.2.7.1</w:t>
      </w:r>
      <w:r w:rsidDel="00000000" w:rsidR="00000000" w:rsidRPr="00000000">
        <w:rPr>
          <w:rFonts w:ascii="Arial" w:cs="Arial" w:eastAsia="Arial" w:hAnsi="Arial"/>
          <w:color w:val="222222"/>
          <w:sz w:val="22"/>
          <w:szCs w:val="22"/>
          <w:highlight w:val="white"/>
          <w:rtl w:val="0"/>
        </w:rPr>
        <w:t xml:space="preserve"> we describe the activities we plan to . Second, it remains a challenge to normalize expression levels across multiple cell types, in particular to avoid batch effects. Currently most human RNA-seq data are produced by the Gingeras lab and most mouse RNA-seq data are produced by the Wold lab. We need to minimize the lab effect so that we can perform the comparison between human and mouse. Similar considerations apply to RNA-seq data generated using different protocols, e.g. rRNA-depleted total RNA vs. polyA+ mRNA. We will perform normalization and calibration to minimize batch effects. XXX add Rafa’s text on controlling batch effect.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In addition to the expression matrix for annotated genes and transcripts from long-RNA-seq datasets, we plan to generate similar expression matrices for genes and transcripts using short-RNA-seq datasets, for miRNAs using small RNA-seq datasets. The processing pipelines for these other types of RNAs are not yet established and the DAC will work closely with the labs that produce these data to develop these pipelines. In addition, ENCODE may perform new types of experimental assays for RNA level quantification, such as single-cell RNA-seq, Gro-seq, etc. As described in section</w:t>
      </w:r>
      <w:commentRangeStart w:id="33"/>
      <w:r w:rsidDel="00000000" w:rsidR="00000000" w:rsidRPr="00000000">
        <w:rPr>
          <w:rFonts w:ascii="Arial" w:cs="Arial" w:eastAsia="Arial" w:hAnsi="Arial"/>
          <w:color w:val="222222"/>
          <w:sz w:val="22"/>
          <w:szCs w:val="22"/>
          <w:highlight w:val="white"/>
          <w:rtl w:val="0"/>
        </w:rPr>
        <w:t xml:space="preserve"> 3.XXX</w:t>
      </w:r>
      <w:commentRangeEnd w:id="33"/>
      <w:r w:rsidDel="00000000" w:rsidR="00000000" w:rsidRPr="00000000">
        <w:commentReference w:id="33"/>
      </w:r>
      <w:r w:rsidDel="00000000" w:rsidR="00000000" w:rsidRPr="00000000">
        <w:rPr>
          <w:rFonts w:ascii="Arial" w:cs="Arial" w:eastAsia="Arial" w:hAnsi="Arial"/>
          <w:color w:val="222222"/>
          <w:sz w:val="22"/>
          <w:szCs w:val="22"/>
          <w:highlight w:val="white"/>
          <w:rtl w:val="0"/>
        </w:rPr>
        <w:t xml:space="preserve">, the DAC will develop uniform processing pipelines for these new data types. We plan to generate expression matrices for them as well. The visualizer that we will develop for RNA-seq expression matrix can be applied to these expression matrices directly or with small adjustments (e.g., in the case of miRNA), and we will design a consistent and interactive platform for visualizing and comparing all types of expression matrices.</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To summarize, the Encyclopedia components for transcription related data types, e.g., RNA-seq, small-RNA-seq, Gro-seq etc., will be a series of two-dimensional matrices, each with one dimension being genes or transcripts and the other dimension being cell types. These matrices will be carefully normalized to avoid batch effects. They can be downloaded. They can also be visualized for individual genes or transcripts as bar plots, or for a set of genes or transcripts as heatmaps.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3.1.2 Transcription start sites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ENCODE has released RAMPAGE data for 71 human cell types. Genomic regions that are significantly enriched for RAMPAGE signal indicate transcription start sites (TSS), and the DAC has developed a processing pipeline which is able to confidently identify such regions. The pipeline outputs a list regions with associated expression and confidence scores. The confidence scores are calculated by comparing the number of reads in a TSS region to the background transcription rate estimated from a matching RNAseq experiment. Regions that are not consistently expressed between replicates are filtered using the IDR software, and the remaining TSS’s are merged across biological sample to produce a unified TSS list. Finally, a TSS expression matrix is produced by quantifying the RAMPAGE signal in each of these regions for each sample. In summary, currently ENCODE produces a sample specific TSS  annotation, cell type specific TSS annotations, and a global TSS annotation with associated expression estimates.</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3.1.3 Transcription factor binding regions (ChIP-seq peaks), motifs, and motif sites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ENCODE has released over 1000 ChIP-seq datasets for transcription factors (837 experiments on 187 human TFs and 170 experiments on 51 mouse TFs, across multiple cell types). The genomic regions that have significantly more reads in the ChIP sample compared with the input sample signify TF binding. These regions are commonly called ChIP-seq peaks (or peaks in short), and uniform processing pipelines established by the DAC can identify these peaks reliably. As described in Section 3.XXX, the pipeline outputs a list of peaks, each associated with a score which is computed based on the enrichment of reads in the ChIP sample over the input sample. The pipeline also takes advantages of two biological replicates per experiment using the irreproducibility discovery rate (IDR)  formulation, which requires that the ranks of a peak in the two replicates are “reproducible” with respect to each other. </w:t>
      </w:r>
      <w:r w:rsidDel="00000000" w:rsidR="00000000" w:rsidRPr="00000000">
        <w:drawing>
          <wp:anchor allowOverlap="0" behindDoc="0" distB="114300" distT="114300" distL="114300" distR="114300" hidden="0" layoutInCell="0" locked="0" relativeHeight="0" simplePos="0">
            <wp:simplePos x="0" y="0"/>
            <wp:positionH relativeFrom="margin">
              <wp:posOffset>-114299</wp:posOffset>
            </wp:positionH>
            <wp:positionV relativeFrom="paragraph">
              <wp:posOffset>622300</wp:posOffset>
            </wp:positionV>
            <wp:extent cx="5342720" cy="4214813"/>
            <wp:effectExtent b="0" l="0" r="0" t="0"/>
            <wp:wrapSquare wrapText="bothSides" distB="114300" distT="114300" distL="114300" distR="114300"/>
            <wp:docPr id="30" name="image82.jpg"/>
            <a:graphic>
              <a:graphicData uri="http://schemas.openxmlformats.org/drawingml/2006/picture">
                <pic:pic>
                  <pic:nvPicPr>
                    <pic:cNvPr id="0" name="image82.jpg"/>
                    <pic:cNvPicPr preferRelativeResize="0"/>
                  </pic:nvPicPr>
                  <pic:blipFill>
                    <a:blip r:embed="rId55"/>
                    <a:srcRect b="0" l="0" r="0" t="0"/>
                    <a:stretch>
                      <a:fillRect/>
                    </a:stretch>
                  </pic:blipFill>
                  <pic:spPr>
                    <a:xfrm>
                      <a:off x="0" y="0"/>
                      <a:ext cx="5342720" cy="4214813"/>
                    </a:xfrm>
                    <a:prstGeom prst="rect"/>
                    <a:ln/>
                  </pic:spPr>
                </pic:pic>
              </a:graphicData>
            </a:graphic>
          </wp:anchor>
        </w:drawing>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user can query the ENCODE portal for a set of TF ChIP-seq data and download their corresponding peak lists, or visualize these peak lists using the UCSC genome browser. The DAC has developed a TF centric, web-based, wiki-style system for visualizing the entire set of ChIP-seq peaks for each TF at </w:t>
      </w:r>
      <w:hyperlink r:id="rId56">
        <w:r w:rsidDel="00000000" w:rsidR="00000000" w:rsidRPr="00000000">
          <w:rPr>
            <w:rFonts w:ascii="Arial" w:cs="Arial" w:eastAsia="Arial" w:hAnsi="Arial"/>
            <w:color w:val="1155cc"/>
            <w:sz w:val="22"/>
            <w:szCs w:val="22"/>
            <w:highlight w:val="white"/>
            <w:u w:val="single"/>
            <w:rtl w:val="0"/>
          </w:rPr>
          <w:t xml:space="preserve">http://factorbook.org</w:t>
        </w:r>
      </w:hyperlink>
      <w:r w:rsidDel="00000000" w:rsidR="00000000" w:rsidRPr="00000000">
        <w:rPr>
          <w:rFonts w:ascii="Arial" w:cs="Arial" w:eastAsia="Arial" w:hAnsi="Arial"/>
          <w:color w:val="222222"/>
          <w:sz w:val="22"/>
          <w:szCs w:val="22"/>
          <w:highlight w:val="white"/>
          <w:rtl w:val="0"/>
        </w:rPr>
        <w:t xml:space="preserve">. The main idea behind factorbook is to gather all ENCODE ChIP-seq data in the same cell type as the ChIP-seq data of a TF of interest, and display them centered on the TF. Factorbook currently contains all of the released ENCODE ChIP-seq datasets for TFs, arranged in TF by cell type matrices, one for human and one for mouse (Figure XXXA). Factorbook is updated with newly released datasets on a monthly bases. One web page is dedicated to each TF and it contains several panels: 1. functional annotations of the TF from major public sources. 2. Line plots showing average histone mark signal profiles in a ±2 kb window centered on the TF peak summits, computed using ChIP-seq data of histone marks in the same cell type as the TF ChIP-seq data (Figure XXXB). 3. Sequence motifs enriched in top ranked peaks (Figure XXXC). 4. heatmaps showing histone mark levels at individual ±2 kb windows around TF peak summits, ranked in the same order as the TF peaks (Figure XXXD). 5. heatmaps showing ChIP-seq levels of other TFs at individual ±2 kb windows around the query TF peak summits, ranked in the same order as the query TF peaks. 6. average nucleosome occupancy signal around TF peak summits.</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motif section contains up to five most enriched motifs in the ChIP-seq peaks computed using the MEME-ChIP method. Usually the cognate motif of the TF (the motif dictated by the biophysical binding preferences of the TF) is the most enriched motif, and additional enriched motifs may correspond to cofactors. In some cases however, the most significant motif corresponds to a co-factor and MEME-ChIP also predicts low-complexity false positives. In order to filter out spurious motifs, we require a motif to be enriched in the entire set of ChIP-seq peaks compared with flanking regions and GC-matched non-peak regions in the genome. In the motif section of Factorbook, we gray out the motifs that are filtered out. In addition, we implemented the crowdsourcing capability for users to vote on a motif and provide comments and references that support the vote (Figure XXXC).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We envision several directions to improve on Factorbook. First, we will implement the capability to allow users to visualize the underlying ChIP-seq signal of the TF of interest along with other ENCODE data in specific loci by connecting to the UCSC and the WashU genome browsers directly from Factorbook. We have built a visualizer for candidate enhancers (Section 2.XXX), which can be incorporated into Factorbook. Second, the DAC is currently evaluating several existing methods of predicting motifs and motif sites, and developing deep learning methods that can learn the motif and their sites in ChIP-seq peaks using ChIP-seq signals at nucleotide resolution. Third, we will expand the crowdsourcing capability in the motif section of Factorbook to XXX. Fourth, we will implement a recommender system for the datasets to be viewed.</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In summary, for ChIP-seq of TF data, the Encyclopedia will contain lists of peaks, enriched motifs, and motif sites. These will be downloadable files, and can be queried and visualized via the Factorbook.org interface.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3.1.4 histone modification enriched regions and DNase hypersensitive sites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DAC has developed a uniform processing pipeline for identifying genomic regions enriched in histone marks (described in Section 3.XXX). These regions are commonly called peaks in an analogous way to TF peaks. This pipeline is particularly effective for histone marks that have punctate signals, especially the marks that are enriched in promoters or enhancers (H3K4me3 and H3K27ac), but is less effective for histone marks with broad signals (e.g., H3K4me1) or occupying large domains (H3K27me3 and H3K9me3). As described in Section 3.XXX, the DAC will continue to develop and evaluate algorithms for identify histone mark peaks or domains, and improve the uniform processing pipeline.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DAC also evaluated several algorithms for identifying DNase hypersensitive sites (DHS), enriched regions (peaks) in DNase-seq data. It was decided that because all DNase-seq data are generated by the Stamatoyannopoulos lab, it was easiest to just adopt their pipeline. Going forward, the DAC will continue to evaluate peak detection algorithms as they become available. We have preliminary results that indicate new algorithms such as dfilter perform significantly better in finding DNase peaks than the algorithms we evaluated previously.</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Thus for histone mark ChIP-seq and DNase-seq datasets, the Encyclopedia contains the peak lists and DHS lists for a large collection of cell types. We provide these as downloadable files. We propose to extend the Factorbook framework to add histone mark ChIP-seq datasets and DNase-seq datasets, so that aggregate analysis results can be viewed, and the capacity planned in the previous section will also allow individual loci to be visualized.</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3.1.5 RNA binding regions and the target genes of RNA binding proteins (RBPs)</w:t>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Gravely team in ENCODE has released eCLIP-seq data a large panel of RBPs in two cell types, as well as RNA-seq data in the corresponding cell types with or without each of the RBP being knocked down. In addition, in vitro binding assays (Bind-and-seq) are being performed to determine the binding motifs of these RBPs. Working with the Gravery group (see support letter), the DAC will include the following component into the Encyclopedia.</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One component will be the genes or transcripts that RBPs bind to, expressed in two matrices. Some RBPs prefer to bind mature transcripts with exons spliced out, while other RBPs prefer to bind primary RNAs which include introns. We propose to construct a matrix in each of the two cell types for which eCLIP-seq experiments were performed. One dimension of the matrix denotes annotated genes or transcripts and the other dimension denotes RBPs, and the elements of the matrix denote the binding signal of a particular RBP to a particular gene. These two matrices can be visualized using the tool that we are building to visualize gene expression matrices (Section 3.1.1), with small modifications (the cell type dimension of the gene expression matrix is changed to the RBP dimension).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second component will be the peaks in the genome that RBPs bind to. Some RBPs prefer to bind intergenic regions (XXX why? Look at the RBP data to make sure this is correct). Thus peaks can be identified in eCLIP-seq datasets, akin to peak finding of TF ChIP-seq datasets. We currently do not have a uniform processing pipeline for eCLIP-seq data, and the DAC will work with the data producing lab to establish such a pipeline. Thus, we will include in the Encyclopedia a set of peak lists for each RBP.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third component will be sequence motifs of these RBPs. They can be derived from the Bind-and-seq experiments, and confirmed using the enrichments of reads in the eCLIP-seq peaks vs. input.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fourth component will be the target genes or transcripts of each RBP, which are the genes that show differential expression or differential splicing upon shRNA knockdown of the RBP. These results can also be expressed in two matrices, similar to the two RBP binding matrices and with the same dimensions, one for each cell type. For the RBP knockdown matrices, the elements indicate the differential expression of each annotated gene or transcript (expressed as log-fold-change) as measured by the RNA-seq experiments. Similarly, similar matrices can be produced to quantify differential splicing, using quantities such as percent-spliced-in (PSI). Again, these matrices can be downloaded, or visualized using the tool we are building for visualizing gene expression matrices.</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3.1.6 Topologically associated domains (TADs) and compartments. </w:t>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Currently ENCODE (Dekker lab) has performed Hi-C experiments 12 cell types and expect to produce data for 8 more cell types. TADs are in the order of 100-500 kb and regulatory elements more often regulate genes in the same TAD than genes in a different TAD. To detect the boundaries of TADs throughout the the genome the DAC has calculated insulation scores at varying resolutions for each Hi-C experiment using tools developed in Job Dekker’s lab {Lajoie, Bryan R, Job Dekker, and Noam Kaplan. "The Hitchhiker’s guide to Hi-C analysis: practical guidelines." </w:t>
      </w:r>
      <w:r w:rsidDel="00000000" w:rsidR="00000000" w:rsidRPr="00000000">
        <w:rPr>
          <w:rFonts w:ascii="Arial" w:cs="Arial" w:eastAsia="Arial" w:hAnsi="Arial"/>
          <w:i w:val="1"/>
          <w:color w:val="222222"/>
          <w:sz w:val="22"/>
          <w:szCs w:val="22"/>
          <w:highlight w:val="white"/>
          <w:rtl w:val="0"/>
        </w:rPr>
        <w:t xml:space="preserve">Methods</w:t>
      </w:r>
      <w:r w:rsidDel="00000000" w:rsidR="00000000" w:rsidRPr="00000000">
        <w:rPr>
          <w:rFonts w:ascii="Arial" w:cs="Arial" w:eastAsia="Arial" w:hAnsi="Arial"/>
          <w:color w:val="222222"/>
          <w:sz w:val="22"/>
          <w:szCs w:val="22"/>
          <w:highlight w:val="white"/>
          <w:rtl w:val="0"/>
        </w:rPr>
        <w:t xml:space="preserve"> 72 (2015): 65-75.}. Genomic compartments represent a larger scale pattern of chromatin organization, typically 1-10 Mb in size. Based on these large scale interaction patterns, the genome can be divided into two alternating compartments referred to as A and B {Lieberman-Aiden, Erez et al. "Comprehensive mapping of long-range interactions reveals folding principles of the human genome." </w:t>
      </w:r>
      <w:r w:rsidDel="00000000" w:rsidR="00000000" w:rsidRPr="00000000">
        <w:rPr>
          <w:rFonts w:ascii="Arial" w:cs="Arial" w:eastAsia="Arial" w:hAnsi="Arial"/>
          <w:i w:val="1"/>
          <w:color w:val="222222"/>
          <w:sz w:val="22"/>
          <w:szCs w:val="22"/>
          <w:highlight w:val="white"/>
          <w:rtl w:val="0"/>
        </w:rPr>
        <w:t xml:space="preserve">science</w:t>
      </w:r>
      <w:r w:rsidDel="00000000" w:rsidR="00000000" w:rsidRPr="00000000">
        <w:rPr>
          <w:rFonts w:ascii="Arial" w:cs="Arial" w:eastAsia="Arial" w:hAnsi="Arial"/>
          <w:color w:val="222222"/>
          <w:sz w:val="22"/>
          <w:szCs w:val="22"/>
          <w:highlight w:val="white"/>
          <w:rtl w:val="0"/>
        </w:rPr>
        <w:t xml:space="preserve"> 326.5950 (2009): 289-293.} . Compartment A is typically associated with active transcription and compartment B is often associated with repressed transcription. By transforming Hi-C contact matrices to correlation matrices, these compartments may be identified via principal component analysis on the transformed matrices. Using compartment analysis tools from Job Dekker’s lab, the DAC has identified genomic compartments for the cell types in each Hi-C experiment . As described in Section 3.XXX, the DAC plans to establish a uniform processing pipeline, in collaboration with Hi-C labs in the ENCODE and 4D Nucleome consortia.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The TADs and compartments are provided as BED files for download, and the DAC has provided visualization capacity via the Juicebox and WashU genome browser. XXX</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b w:val="1"/>
          <w:color w:val="222222"/>
          <w:sz w:val="22"/>
          <w:szCs w:val="22"/>
          <w:highlight w:val="white"/>
          <w:rtl w:val="0"/>
        </w:rPr>
        <w:t xml:space="preserve">3.2 The middle layer of annotations in Encyclopedia</w:t>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rtl w:val="0"/>
        </w:rPr>
        <w:t xml:space="preserve">In the middle layer of Encyclopedia we contain annotations that require the integration of multiple types of experimental data and require interpretation using biological knowledge. First, we describe the identification of enhancers, then we describe the plan for identifying silencers and insulators. Last, we describe the plan for semi-automated genome annotation using Segway and chromHMM.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color w:val="222222"/>
          <w:sz w:val="22"/>
          <w:szCs w:val="22"/>
          <w:highlight w:val="white"/>
          <w:u w:val="single"/>
          <w:rtl w:val="0"/>
        </w:rPr>
        <w:t xml:space="preserve">3.2.1 Enhancers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One essential component of the Encyclopedia is the collection of enhancers, a major type of regulator elements that can enhance the transcription of a target gene, often at a distance and specific to a cell type </w:t>
      </w:r>
      <w:r w:rsidDel="00000000" w:rsidR="00000000" w:rsidRPr="00000000">
        <w:rPr>
          <w:rFonts w:ascii="Arial" w:cs="Arial" w:eastAsia="Arial" w:hAnsi="Arial"/>
          <w:sz w:val="22"/>
          <w:szCs w:val="22"/>
          <w:highlight w:val="white"/>
          <w:rtl w:val="0"/>
        </w:rPr>
        <w:t xml:space="preserve">{Maston, 2006 16719718}. The number of  active enhancers that have been experimentally tested in transgenic assays in a single mammalian tissue remains small in number and our knowledge of how these enhancers become active in each cell type remains surprisingly incomplete {Visel, 2007 17130149; Shlyueva, 2014 24614317}. Hence, computational predictions of active enhancers have typically focused on identifying the properties associated within the sequences of  active enhancers such as inter-species conservation and identifying clusters of transcription factor binding sites \cite{Hallikas, 2006 16413481} as well as epigenetic signatures associated with enhancers such as nucleosome positioning, DNase-I hypersensitivity, histone marks associated with active regulatory regions of the genome, and/or eRNA transcription \cite{ENCODE Consortium, 2012 22955616; Kundaje, 2015 25693563}. How to precisely combine these features to obtain more accurate regulatory region predictions remains a mystery.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In an effort to stimulate computational efforts in predicting enhancers by integrating genomic and epigenomic information, the DAC ran a Consortium-wide blind test of enhancer prediction algorithms (Section 3.XXX). Len Pennacchio’s team performed mouse transgenic assays on roughly 120 putative enhancer regions identified based on their H3K27ac signals in forebrain and heart at the E11.5 stage of mouse embryos, but withheld the experimental results until the DAC had solicited computational predictions from the participating groups and submitted these predictions to the DCC. Only then the DAC evaluated these predictions and released the evaluation along with the experimental results to the participating groups. The DAC found that for both forebrain and heart, sophisticated computational methods performed better than simply calling H3K27ac peaks, but the leading computational methods differed between the two cell types. Another important finding was that the H3K27ac peaks called using the uniform processing pipeline (developed by the DAC, led by Anshul Kundaje) significantly outperformed the peaks called by a generic algorithm which was used to select the 120 regions initially.</w:t>
      </w:r>
      <w:r w:rsidDel="00000000" w:rsidR="00000000" w:rsidRPr="00000000">
        <w:drawing>
          <wp:anchor allowOverlap="0" behindDoc="0" distB="114300" distT="114300" distL="114300" distR="114300" hidden="0" layoutInCell="0" locked="0" relativeHeight="0" simplePos="0">
            <wp:simplePos x="0" y="0"/>
            <wp:positionH relativeFrom="margin">
              <wp:posOffset>-76199</wp:posOffset>
            </wp:positionH>
            <wp:positionV relativeFrom="paragraph">
              <wp:posOffset>1885950</wp:posOffset>
            </wp:positionV>
            <wp:extent cx="3662363" cy="3474178"/>
            <wp:effectExtent b="0" l="0" r="0" t="0"/>
            <wp:wrapSquare wrapText="bothSides" distB="114300" distT="114300" distL="114300" distR="114300"/>
            <wp:docPr id="23" name="image75.jpg"/>
            <a:graphic>
              <a:graphicData uri="http://schemas.openxmlformats.org/drawingml/2006/picture">
                <pic:pic>
                  <pic:nvPicPr>
                    <pic:cNvPr id="0" name="image75.jpg"/>
                    <pic:cNvPicPr preferRelativeResize="0"/>
                  </pic:nvPicPr>
                  <pic:blipFill>
                    <a:blip r:embed="rId57"/>
                    <a:srcRect b="0" l="0" r="0" t="0"/>
                    <a:stretch>
                      <a:fillRect/>
                    </a:stretch>
                  </pic:blipFill>
                  <pic:spPr>
                    <a:xfrm>
                      <a:off x="0" y="0"/>
                      <a:ext cx="3662363" cy="3474178"/>
                    </a:xfrm>
                    <a:prstGeom prst="rect"/>
                    <a:ln/>
                  </pic:spPr>
                </pic:pic>
              </a:graphicData>
            </a:graphic>
          </wp:anchor>
        </w:drawing>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In an attempt to develop an unsupervised method for defining enhancers in a cell type specific manner across as many ENCODE cell types as possible in both human and mouse, the DAC undertook a systematic evaluation of DNase, histone mark (H3K27ac, H3K9ac, H3K4me1, H3K4me2, H3K4me3, H3K9me3, and H3K27me3), and DNA methylation data on four mouse cell types (midbrain, hindbrain, neural tube, and hindbrain), the cell types with sufficient numbers of regions that have been tested by Pennacchio using mouse transgenic assays. DNase and H3K27ac performed equally well on average if they are used individually, much better than several other histone marks (H3K4me1, H3K9ac, H3K4me3, H3K27me3, and H3K9me3) and DNA methylation. Yet, DNase and H3K27ac claimed victories for different cell types. The DAC developed to combine DNase and H3K27ac into one ranking scheme which consistently outperformed DNase or H3K27ac alone across all four cell types. Another round of 150 regions have been newly identified based on the DNase-H3K27ac average rank and are being tested by Pennacchio.</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The DAC subsequently implemented the DNase-H3K27ac average rank across 52 human cell types and 20 mouse cell types for which both DNase and H3K27ac data are available. The DAC has also developed a web server (</w:t>
      </w:r>
      <w:hyperlink r:id="rId58">
        <w:r w:rsidDel="00000000" w:rsidR="00000000" w:rsidRPr="00000000">
          <w:rPr>
            <w:rFonts w:ascii="Arial" w:cs="Arial" w:eastAsia="Arial" w:hAnsi="Arial"/>
            <w:color w:val="1155cc"/>
            <w:sz w:val="22"/>
            <w:szCs w:val="22"/>
            <w:u w:val="single"/>
            <w:rtl w:val="0"/>
          </w:rPr>
          <w:t xml:space="preserve">http://zlab-annotations.umassmed.edu</w:t>
        </w:r>
      </w:hyperlink>
      <w:r w:rsidDel="00000000" w:rsidR="00000000" w:rsidRPr="00000000">
        <w:rPr>
          <w:rFonts w:ascii="Arial" w:cs="Arial" w:eastAsia="Arial" w:hAnsi="Arial"/>
          <w:sz w:val="22"/>
          <w:szCs w:val="22"/>
          <w:rtl w:val="0"/>
        </w:rPr>
        <w:t xml:space="preserve">) that allows users to select candidate enhancers by coordinates or nearby genes or SNPs and visualize them in the UCSC genome browser or the WashU epigenome browser along with the supporting DNase and H3K27ac signals. The example figure shows such a top enhancer predicting in neural tube which coincides almost perfectly with a VISTA enhancer.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Going forward, the DAC will continue to develop computational algorithms and visualization methods to identify candidate enhancers in all ENCODE cell types. We will continue to work with Len Pennacchio to further develop and validate our enhancer prediction algorithm. One natural extension is to develop a hidden Markov model based method which explicitly models the interplay between DNase and H3K27ac signals, i.e., DNase peaks often occur in the troughs of H3K27ac signals. Meanwhile, a</w:t>
      </w:r>
      <w:r w:rsidDel="00000000" w:rsidR="00000000" w:rsidRPr="00000000">
        <w:rPr>
          <w:rFonts w:ascii="Arial" w:cs="Arial" w:eastAsia="Arial" w:hAnsi="Arial"/>
          <w:sz w:val="22"/>
          <w:szCs w:val="22"/>
          <w:highlight w:val="white"/>
          <w:rtl w:val="0"/>
        </w:rPr>
        <w:t xml:space="preserve"> number of massively parallel regulatory assays have been developed recently \cite{Arnold, 2013 23328393; Vanhille, 2015 25872643; Murtha, 2014 24658142; Patwardhan, 2012 22371081} providing us with a unique opportunity to systematically study the precise combinations of genomic and epigenomic features that are most predictive of active regulatory regions in the genome. XXX Nadav’s Characterization Center proposal.</w:t>
      </w:r>
      <w:r w:rsidDel="00000000" w:rsidR="00000000" w:rsidRPr="00000000">
        <w:drawing>
          <wp:anchor allowOverlap="0" behindDoc="0" distB="114300" distT="114300" distL="114300" distR="114300" hidden="0" layoutInCell="0" locked="0" relativeHeight="0" simplePos="0">
            <wp:simplePos x="0" y="0"/>
            <wp:positionH relativeFrom="margin">
              <wp:posOffset>-114299</wp:posOffset>
            </wp:positionH>
            <wp:positionV relativeFrom="paragraph">
              <wp:posOffset>1083945</wp:posOffset>
            </wp:positionV>
            <wp:extent cx="4515249" cy="5072063"/>
            <wp:effectExtent b="0" l="0" r="0" t="0"/>
            <wp:wrapSquare wrapText="bothSides" distB="114300" distT="114300" distL="114300" distR="114300"/>
            <wp:docPr descr="BuildingProfiles.jpg" id="31" name="image83.jpg"/>
            <a:graphic>
              <a:graphicData uri="http://schemas.openxmlformats.org/drawingml/2006/picture">
                <pic:pic>
                  <pic:nvPicPr>
                    <pic:cNvPr descr="BuildingProfiles.jpg" id="0" name="image83.jpg"/>
                    <pic:cNvPicPr preferRelativeResize="0"/>
                  </pic:nvPicPr>
                  <pic:blipFill>
                    <a:blip r:embed="rId59"/>
                    <a:srcRect b="0" l="0" r="0" t="0"/>
                    <a:stretch>
                      <a:fillRect/>
                    </a:stretch>
                  </pic:blipFill>
                  <pic:spPr>
                    <a:xfrm>
                      <a:off x="0" y="0"/>
                      <a:ext cx="4515249" cy="5072063"/>
                    </a:xfrm>
                    <a:prstGeom prst="rect"/>
                    <a:ln/>
                  </pic:spPr>
                </pic:pic>
              </a:graphicData>
            </a:graphic>
          </wp:anchor>
        </w:drawing>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commentRangeStart w:id="34"/>
      <w:r w:rsidDel="00000000" w:rsidR="00000000" w:rsidRPr="00000000">
        <w:rPr>
          <w:rFonts w:ascii="Arial" w:cs="Arial" w:eastAsia="Arial" w:hAnsi="Arial"/>
          <w:sz w:val="22"/>
          <w:szCs w:val="22"/>
          <w:highlight w:val="white"/>
          <w:rtl w:val="0"/>
        </w:rPr>
        <w:t xml:space="preserve">Our proposed work is based on our past experience in non-coding annotation, as part of our 10-year history with the ENCODE and modENCODE projects.</w:t>
      </w:r>
      <w:commentRangeEnd w:id="34"/>
      <w:r w:rsidDel="00000000" w:rsidR="00000000" w:rsidRPr="00000000">
        <w:commentReference w:id="34"/>
      </w:r>
      <w:r w:rsidDel="00000000" w:rsidR="00000000" w:rsidRPr="00000000">
        <w:rPr>
          <w:rFonts w:ascii="Arial" w:cs="Arial" w:eastAsia="Arial" w:hAnsi="Arial"/>
          <w:sz w:val="22"/>
          <w:szCs w:val="22"/>
          <w:highlight w:val="white"/>
          <w:rtl w:val="0"/>
        </w:rPr>
        <w:t xml:space="preserve"> Noncoding annotations derived primarily from ENCODE will include transcription-factor binding sites, DNA-hypersensitive sites, chromatin marks by histone binding, predicted enhancer regions, miRNA and pseudogenes.  As part of these projects, we developed methods that integrate ChIP-seq, chromatin, conservation, sequence and gene annotation data to identify gene-distal enhancers\cite{Yip, 2010 20126643}, which we have partially validated\cite{Yip, 2012 22950945}. The Gerstein lab has also developed PeakSeq \cite{Rozowsky, 2009 19122651}, a versatile tool for identification of TF binding sites and a standard peak calling program used by the ENCODE and modENCODE consortia for ChIP-Seq datasets \cite{Rozowsky, 2009 19122651}. More recently, we developed MUSIC, a peak caller that performs multiscale decomposition of ChIP signals to enable simultaneous and accurate detection of enrichment at a range of narrow and broad peak breadths \cite{Harmanci, 2014 25292436}. This tool is particularly applicable to studies of histone modifications and previously uncharacterized transcription factors, both of which may display both broad and punctate regions of enrichment. In addition, the Gerstein lab has also developed FunSeq to prioritize both coding and noncoding variants that could be potential drivers of disease \cite{Khurana, 2013 24092746; Fu, 2014 25273974}. Briefly, the tool identifies potential regions of high functional impact in noncoding regions by understanding patterns of natural variation in human genomes and comparing these patterns in disease cases. We identified regions in the genome under purifying selection that are enriched for rare alleles using variation data from 1092 individuals (Phase1 of 1000 genomes project \cite{Khurana, 2013 24092746}). Such regions that we dubbed sensitive and ultrasensitive regions highlight regions that are under strong constraint. The Gerstein lab has used this method to successfully identify potential noncoding driver mutations in prostate cancer genome.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As part of the ENCODE consortium, we will use information learned from various massively parallel regulatory assays to make cell type dependent enhancer predictions based on epigenomic datasets generated as part of this project. In particular, we will utilize pattern recognition algorithms such as matched filter \cite{Book - Papoulis, S. U. Pillai, Probability, Random Variables, and Stochastic Processes 4th Edition} to identify a particular signal shape in the presence of noise within the signal of various epigenomic features (histone ChIP-Seq and DNase I-hypersensitivity experiments) and transcription of enhancer RNA (eRNA) to predict active enhancers across the different ENCODE cell lines. The pattern within the signal of different epigenetic datasets will be computed from regulatory regions identified using different massively parallel regulatory assays and this pattern is conserved across diverse species. This method will be used to predict cell type-specific active enhancers based on the different histone ChIP-Seq and DNase-I hypersensitivity datasets generated as part of the grant as well as epigenetic datasets  generated by the Epigenome Roadmap, and IHEC projects. These methods have already been tested in the ENCODE Enhancer Prediction Challenge (discussed below) and was one of the top performing methods for mouse enhancer predictions within forebrain tissue at E11.5 lifestage.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In addition, we are also developing a framework to combine the results from matched filter for different epigenomic datasets to make the most accurate predictions and to understand the properties that most likely contribute to its establishment, maintenance, and recognition. We will use feature selection methods within a supervised learning framework, such as in random forests, support vector machines (SVMs), Bayesian, and regression methods. While sequence information will not be used to make these predictions, we can test whether the predicted regions contain evolutionarily conserved clusters of TF motifs and we can also identify TF families (with known motifs) that are associated with these regulatory regions in a cell-type dependent manner. We can then annotate the regulatory regions active within each cell type and also annotate the likely TF binding site within these regulatory regions. These annotations will be displayed on the ENCODE encyclopedia for each cell type as well as in a cell line independent manner.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highlight w:val="white"/>
          <w:rtl w:val="0"/>
        </w:rPr>
        <w:t xml:space="preserve">Our ultimate goal is not only the systematic annotation of each functional element in these genomes, but also new mechanistic insights into the interplay between different functional elements, and we will work closely with the AWG and Consortium members to design computational and experimental tests to evaluate the role of the most informative features.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Caption for figure (above):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Learning the metapattern from Massively Parallel Regulatory Assays: The regulatory regions identified in massively parallel regulatory assays are aligned based on the position of the maxima within the histone ChIP-Seq data and averaged to calculate the shape (metaprofile) of the ChIP-Seq signal we expect to find within active regulatory regions in the genome. We can also calculate dependent profiles for other datasets such as MNase, DHS, and other histone ChIP-seq datasets that we expect on other datasets by simultaneously applying the same transformations to these datasets. These profiles can be used in a matched filter to make predictions for active regulatory regions in the genome. In addition  we can combine the matched filter scores for each chromatin mark within a machine learning framework and this can improve the accuracy of the predictions.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943600" cy="3225800"/>
            <wp:effectExtent b="0" l="0" r="0" t="0"/>
            <wp:docPr id="48" name="image102.png"/>
            <a:graphic>
              <a:graphicData uri="http://schemas.openxmlformats.org/drawingml/2006/picture">
                <pic:pic>
                  <pic:nvPicPr>
                    <pic:cNvPr id="0" name="image102.png"/>
                    <pic:cNvPicPr preferRelativeResize="0"/>
                  </pic:nvPicPr>
                  <pic:blipFill>
                    <a:blip r:embed="rId60"/>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commentRangeStart w:id="35"/>
      <w:r w:rsidDel="00000000" w:rsidR="00000000" w:rsidRPr="00000000">
        <w:rPr>
          <w:rFonts w:ascii="Arial" w:cs="Arial" w:eastAsia="Arial" w:hAnsi="Arial"/>
          <w:sz w:val="22"/>
          <w:szCs w:val="22"/>
          <w:u w:val="single"/>
          <w:rtl w:val="0"/>
        </w:rPr>
        <w:t xml:space="preserve">3.2.2 Insulators and repressors</w:t>
      </w:r>
      <w:commentRangeEnd w:id="35"/>
      <w:r w:rsidDel="00000000" w:rsidR="00000000" w:rsidRPr="00000000">
        <w:commentReference w:id="35"/>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While the signals of transcription factors, chromatin remodelers, chromatin marks, histone variants, nucleosome positioning, and DNase hypersensitivity have all been shown to be predictive of regions of regulatory importance, the precise combinations of these signals that distinguish insulators and repressors (or silencers) are still unclear. With the number, density, and resolution of genome-wide assays that are currently becoming available, we have a unique opportunity to systematically study the precise combinations of genomic features that are most predictive of each type of element.</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each of these cases, we would like to know which combinations of genomic features are most predictive of each type of region and most likely contribute to its establishment, maintenance, and recognition. We will use feature selection methods within a supervised learning framework, such as in decision trees, support vector machines (SVMs), Bayesian, and regression methods. As input features we will use chromatin marks, binding of sequence-specific and general TFs, chromatin remodeling factors, chromatin accessibility, and nucleosome density. We will also include sequence features such as nucleotide composition, combinations of regulatory motifs, and sequence/motif conservation in closely related species.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Our ultimate goal is not only the systematic annotation of each functional element in these genomes, but also new mechanistic insights into the interplay between different functional elements, and we will work closely with the AWG and Consortium members to design computational and experimental tests to evaluate the role of the most informative features.</w:t>
      </w:r>
    </w:p>
    <w:p w:rsidR="00000000" w:rsidDel="00000000" w:rsidP="00000000" w:rsidRDefault="00000000" w:rsidRPr="00000000">
      <w:pPr>
        <w:contextualSpacing w:val="0"/>
      </w:pPr>
      <w:r w:rsidDel="00000000" w:rsidR="00000000" w:rsidRPr="00000000">
        <w:rPr>
          <w:rFonts w:ascii="Arial" w:cs="Arial" w:eastAsia="Arial" w:hAnsi="Arial"/>
          <w:sz w:val="22"/>
          <w:szCs w:val="22"/>
          <w:u w:val="single"/>
          <w:rtl w:val="0"/>
        </w:rPr>
        <w:t xml:space="preserve">3.2.3 Semi-automated genome annotation (SAGA)</w:t>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22"/>
          <w:szCs w:val="22"/>
          <w:rtl w:val="0"/>
        </w:rPr>
        <w:t xml:space="preserve">In the previous two subsections we have described approaches for directly identifying regulatory elements such as enhancers, insulators and silencers, by identifying genomic and epigenomic features that are predictive of each type of regulatory elements and building computational methods using these features. A complementary approach is to simultaneously partition and label of the human genome based on a large number of genomic and epigenomic features, so that genomic regions with similar values for these features are assigned the same label. The labels correspond to promoter, enhancer, insulator, repressed, and quiescent regions of the genome. This approach uses unsupervised machine learning methodology, and is called semi-automated genome annotation (SAGA) because the labels produced by the model must be interpreted in a human post-processing step. </w:t>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22"/>
          <w:szCs w:val="22"/>
          <w:rtl w:val="0"/>
        </w:rPr>
        <w:t xml:space="preserve">The DAC has developed a number of SAGA methods.  During the pilot phase of ENCODE, we combined a hidden Markov model (HMM) with wavelet smoothing to produce a two-label annotation of the ENCODE pilot regions into “active” and “repressed” regions 27 (); 28 (), and we produced a software tool capable of automatically creating annotations using any user-specified number of distinct labels 29 (). A variety of SAGA methods have been described subsequently, employing HMMs with flat 30 (); 31 () or hierarchical structure 32 ()-34 (), or generalizing the HMM to a hierarchical change-point model 35 (). In particular, during the second phase of ENCODE, two research groups within the consortium (Noble and Kellis) independently developed SAGA algorithms, ChromHMM 36 () and Segway 37 (). The two methods employ closely related probabilistic models that offer multiple important advantages, including efficient algorithms for carrying out inference and a modeling paradigm in which the model’s internal variables have well-defined semantics. The two approaches are complementary, in the sense that ChromHMM aims for a birds-eye view of the data, opting to collapse each 200 bp of data to a single Boolean value, whereas Segway is capable of providng a more detailed view, operating on the data at up to its native 1 bp resolution. These complementary methods continue to be widely used, and are currently being applied systematically to the combined compendium of ENCODE+Roadmap data in both human and mouse.</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3.2.3.1 </w:t>
      </w:r>
      <w:r w:rsidDel="00000000" w:rsidR="00000000" w:rsidRPr="00000000">
        <w:rPr>
          <w:rFonts w:ascii="Arial" w:cs="Arial" w:eastAsia="Arial" w:hAnsi="Arial"/>
          <w:sz w:val="22"/>
          <w:szCs w:val="22"/>
          <w:u w:val="single"/>
          <w:rtl w:val="0"/>
        </w:rPr>
        <w:t xml:space="preserve">Discovery </w:t>
      </w:r>
      <w:r w:rsidDel="00000000" w:rsidR="00000000" w:rsidRPr="00000000">
        <w:rPr>
          <w:rFonts w:ascii="Arial" w:cs="Arial" w:eastAsia="Arial" w:hAnsi="Arial"/>
          <w:sz w:val="22"/>
          <w:szCs w:val="22"/>
          <w:u w:val="single"/>
          <w:rtl w:val="0"/>
        </w:rPr>
        <w:t xml:space="preserve">and characterization of chromatin states using ChromHMM and SegWay</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We have previously generated rich chromatin state models using both ChromHMM and SegWay for several ENCODE cell types. We and others have used a diversity of models, including multi-variate hidden Markov models, combining a hidden Markov model (HMM) with wavelet smoothing for two-label segmentation into “active” and “repressed” regions</w:t>
      </w:r>
      <w:r w:rsidDel="00000000" w:rsidR="00000000" w:rsidRPr="00000000">
        <w:rPr>
          <w:rFonts w:ascii="Arial" w:cs="Arial" w:eastAsia="Arial" w:hAnsi="Arial"/>
          <w:sz w:val="22"/>
          <w:szCs w:val="22"/>
          <w:vertAlign w:val="superscript"/>
          <w:rtl w:val="0"/>
        </w:rPr>
        <w:t xml:space="preserve">2,71</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sz w:val="22"/>
          <w:szCs w:val="22"/>
          <w:rtl w:val="0"/>
        </w:rPr>
        <w:t xml:space="preserve">HMMs with flat</w:t>
      </w:r>
      <w:r w:rsidDel="00000000" w:rsidR="00000000" w:rsidRPr="00000000">
        <w:rPr>
          <w:rFonts w:ascii="Arial" w:cs="Arial" w:eastAsia="Arial" w:hAnsi="Arial"/>
          <w:sz w:val="22"/>
          <w:szCs w:val="22"/>
          <w:vertAlign w:val="superscript"/>
          <w:rtl w:val="0"/>
        </w:rPr>
        <w:t xml:space="preserve">72,73</w:t>
      </w:r>
      <w:r w:rsidDel="00000000" w:rsidR="00000000" w:rsidRPr="00000000">
        <w:rPr>
          <w:rFonts w:ascii="Arial" w:cs="Arial" w:eastAsia="Arial" w:hAnsi="Arial"/>
          <w:sz w:val="22"/>
          <w:szCs w:val="22"/>
          <w:rtl w:val="0"/>
        </w:rPr>
        <w:t xml:space="preserve"> or hierarchical structure</w:t>
      </w:r>
      <w:r w:rsidDel="00000000" w:rsidR="00000000" w:rsidRPr="00000000">
        <w:rPr>
          <w:rFonts w:ascii="Arial" w:cs="Arial" w:eastAsia="Arial" w:hAnsi="Arial"/>
          <w:sz w:val="22"/>
          <w:szCs w:val="22"/>
          <w:vertAlign w:val="superscript"/>
          <w:rtl w:val="0"/>
        </w:rPr>
        <w:t xml:space="preserve">74</w:t>
      </w:r>
      <w:r w:rsidDel="00000000" w:rsidR="00000000" w:rsidRPr="00000000">
        <w:rPr>
          <w:rFonts w:ascii="Arial" w:cs="Arial" w:eastAsia="Arial" w:hAnsi="Arial"/>
          <w:sz w:val="22"/>
          <w:szCs w:val="22"/>
          <w:rtl w:val="0"/>
        </w:rPr>
        <w:t xml:space="preserve">, or generalizations of HMMs into hierarchical change-point models</w:t>
      </w:r>
      <w:r w:rsidDel="00000000" w:rsidR="00000000" w:rsidRPr="00000000">
        <w:rPr>
          <w:rFonts w:ascii="Arial" w:cs="Arial" w:eastAsia="Arial" w:hAnsi="Arial"/>
          <w:sz w:val="22"/>
          <w:szCs w:val="22"/>
          <w:vertAlign w:val="superscript"/>
          <w:rtl w:val="0"/>
        </w:rPr>
        <w:t xml:space="preserve">75</w:t>
      </w:r>
      <w:r w:rsidDel="00000000" w:rsidR="00000000" w:rsidRPr="00000000">
        <w:rPr>
          <w:rFonts w:ascii="Arial" w:cs="Arial" w:eastAsia="Arial" w:hAnsi="Arial"/>
          <w:sz w:val="22"/>
          <w:szCs w:val="22"/>
          <w:rtl w:val="0"/>
        </w:rPr>
        <w:t xml:space="preserve">. During the scale-up phase of ENCODE, the Kellis and Noble labs independently developed segmentation algorithms, ChromHMM</w:t>
      </w:r>
      <w:r w:rsidDel="00000000" w:rsidR="00000000" w:rsidRPr="00000000">
        <w:rPr>
          <w:rFonts w:ascii="Arial" w:cs="Arial" w:eastAsia="Arial" w:hAnsi="Arial"/>
          <w:sz w:val="22"/>
          <w:szCs w:val="22"/>
          <w:vertAlign w:val="superscript"/>
          <w:rtl w:val="0"/>
        </w:rPr>
        <w:t xml:space="preserve">76</w:t>
      </w:r>
      <w:r w:rsidDel="00000000" w:rsidR="00000000" w:rsidRPr="00000000">
        <w:rPr>
          <w:rFonts w:ascii="Arial" w:cs="Arial" w:eastAsia="Arial" w:hAnsi="Arial"/>
          <w:sz w:val="22"/>
          <w:szCs w:val="22"/>
          <w:rtl w:val="0"/>
        </w:rPr>
        <w:t xml:space="preserve"> and Segway</w:t>
      </w:r>
      <w:r w:rsidDel="00000000" w:rsidR="00000000" w:rsidRPr="00000000">
        <w:rPr>
          <w:rFonts w:ascii="Arial" w:cs="Arial" w:eastAsia="Arial" w:hAnsi="Arial"/>
          <w:sz w:val="22"/>
          <w:szCs w:val="22"/>
          <w:vertAlign w:val="superscript"/>
          <w:rtl w:val="0"/>
        </w:rPr>
        <w:t xml:space="preserve">77</w:t>
      </w:r>
      <w:r w:rsidDel="00000000" w:rsidR="00000000" w:rsidRPr="00000000">
        <w:rPr>
          <w:rFonts w:ascii="Arial" w:cs="Arial" w:eastAsia="Arial" w:hAnsi="Arial"/>
          <w:sz w:val="22"/>
          <w:szCs w:val="22"/>
          <w:rtl w:val="0"/>
        </w:rPr>
        <w:t xml:space="preserve">, and applied them to human ENCODE data</w:t>
      </w:r>
      <w:r w:rsidDel="00000000" w:rsidR="00000000" w:rsidRPr="00000000">
        <w:rPr>
          <w:rFonts w:ascii="Arial" w:cs="Arial" w:eastAsia="Arial" w:hAnsi="Arial"/>
          <w:sz w:val="22"/>
          <w:szCs w:val="22"/>
          <w:vertAlign w:val="superscript"/>
          <w:rtl w:val="0"/>
        </w:rPr>
        <w:t xml:space="preserve">78</w:t>
      </w:r>
      <w:r w:rsidDel="00000000" w:rsidR="00000000" w:rsidRPr="00000000">
        <w:rPr>
          <w:rFonts w:ascii="Arial" w:cs="Arial" w:eastAsia="Arial" w:hAnsi="Arial"/>
          <w:sz w:val="22"/>
          <w:szCs w:val="22"/>
          <w:rtl w:val="0"/>
        </w:rPr>
        <w:t xml:space="preserve"> and fly modENCODE data</w:t>
      </w:r>
      <w:r w:rsidDel="00000000" w:rsidR="00000000" w:rsidRPr="00000000">
        <w:rPr>
          <w:rFonts w:ascii="Arial" w:cs="Arial" w:eastAsia="Arial" w:hAnsi="Arial"/>
          <w:sz w:val="22"/>
          <w:szCs w:val="22"/>
          <w:vertAlign w:val="superscript"/>
          <w:rtl w:val="0"/>
        </w:rPr>
        <w:t xml:space="preserve">60</w:t>
      </w:r>
      <w:r w:rsidDel="00000000" w:rsidR="00000000" w:rsidRPr="00000000">
        <w:rPr>
          <w:rFonts w:ascii="Arial" w:cs="Arial" w:eastAsia="Arial" w:hAnsi="Arial"/>
          <w:sz w:val="22"/>
          <w:szCs w:val="22"/>
          <w:rtl w:val="0"/>
        </w:rPr>
        <w:t xml:space="preserve">. The model summarized information from all one million combinations of chromatin tracks (n=2^20) into a small number of states (n=12 to 25), corresponding to distinct enhancer, promoter, and transcribed states, without any prior knowledge of annotation information. These states show distinct functional enrichments, confirming their distinct biological functions. They also provide a chromatin context for understanding binding of sequence-specific factors, motif enrichments, and other diverse functional elements, such as origins of replication or insulator regions. The two methods employ closely related probabilistic models that offer multiple important advantages, including efficient algorithms for carrying out inference and a modeling paradigm in which the model’s internal variables have well-defined semantics. The two approaches are complementary: ChromHMM aims for a birds-eye view of the data, opting to collapse each 200 bp of data to a single Boolean value, whereas Segway provides a more detailed view, operating on the data at its native 1 bp resolution.</w:t>
      </w:r>
    </w:p>
    <w:p w:rsidR="00000000" w:rsidDel="00000000" w:rsidP="00000000" w:rsidRDefault="00000000" w:rsidRPr="00000000">
      <w:pPr>
        <w:spacing w:after="100" w:lineRule="auto"/>
        <w:contextualSpacing w:val="0"/>
      </w:pPr>
      <w:r w:rsidDel="00000000" w:rsidR="00000000" w:rsidRPr="00000000">
        <w:drawing>
          <wp:inline distB="114300" distT="114300" distL="114300" distR="114300">
            <wp:extent cx="3309938" cy="1849417"/>
            <wp:effectExtent b="0" l="0" r="0" t="0"/>
            <wp:docPr id="9" name="image60.png"/>
            <a:graphic>
              <a:graphicData uri="http://schemas.openxmlformats.org/drawingml/2006/picture">
                <pic:pic>
                  <pic:nvPicPr>
                    <pic:cNvPr id="0" name="image60.png"/>
                    <pic:cNvPicPr preferRelativeResize="0"/>
                  </pic:nvPicPr>
                  <pic:blipFill>
                    <a:blip r:embed="rId61"/>
                    <a:srcRect b="0" l="0" r="0" t="0"/>
                    <a:stretch>
                      <a:fillRect/>
                    </a:stretch>
                  </pic:blipFill>
                  <pic:spPr>
                    <a:xfrm>
                      <a:off x="0" y="0"/>
                      <a:ext cx="3309938" cy="1849417"/>
                    </a:xfrm>
                    <a:prstGeom prst="rect"/>
                    <a:ln/>
                  </pic:spPr>
                </pic:pic>
              </a:graphicData>
            </a:graphic>
          </wp:inline>
        </w:drawing>
      </w:r>
      <w:r w:rsidDel="00000000" w:rsidR="00000000" w:rsidRPr="00000000">
        <w:drawing>
          <wp:inline distB="114300" distT="114300" distL="114300" distR="114300">
            <wp:extent cx="2628900" cy="1947863"/>
            <wp:effectExtent b="0" l="0" r="0" t="0"/>
            <wp:docPr id="46" name="image100.png"/>
            <a:graphic>
              <a:graphicData uri="http://schemas.openxmlformats.org/drawingml/2006/picture">
                <pic:pic>
                  <pic:nvPicPr>
                    <pic:cNvPr id="0" name="image100.png"/>
                    <pic:cNvPicPr preferRelativeResize="0"/>
                  </pic:nvPicPr>
                  <pic:blipFill>
                    <a:blip r:embed="rId62"/>
                    <a:srcRect b="0" l="0" r="0" t="0"/>
                    <a:stretch>
                      <a:fillRect/>
                    </a:stretch>
                  </pic:blipFill>
                  <pic:spPr>
                    <a:xfrm>
                      <a:off x="0" y="0"/>
                      <a:ext cx="2628900" cy="194786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b w:val="1"/>
          <w:sz w:val="22"/>
          <w:szCs w:val="22"/>
          <w:rtl w:val="0"/>
        </w:rPr>
        <w:t xml:space="preserve">Figure. </w:t>
      </w:r>
      <w:r w:rsidDel="00000000" w:rsidR="00000000" w:rsidRPr="00000000">
        <w:rPr>
          <w:rFonts w:ascii="Arial" w:cs="Arial" w:eastAsia="Arial" w:hAnsi="Arial"/>
          <w:sz w:val="22"/>
          <w:szCs w:val="22"/>
          <w:rtl w:val="0"/>
        </w:rPr>
        <w:t xml:space="preserve">Application of ChromHMM</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For the next phase of ENCODE, we propose to improve upon and extend these methods in three significant ways. Ultimately, these unsupervised and semi-supervised learning methods will provide a scalable way to integrate all of the ENCODE data, along with human annotations, to provide a joint annotation that summarizes, at multiple scales, our knowledge of the functional landscape of the human genome in various cell and tissue types.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1. Large-scale behavior. In addition to identifying relatively small functional elements such as exons, promoters, enhancers, etc., we will develop methods to automatically characterize structures that are &gt;10 kbp in size. Such structures might correspond, for example, to chromatin domains that have important functional impacts on gene expression. To capture such phenomena, we will explore a three-pronged approach. First, we will apply a combination of interpolation and wavelet smoothing to pre-process the ENCODE data to a desired resolution, leading to segments of a desired size. This approach was used successfully in the pilot phase of ENCODE</w:t>
      </w:r>
      <w:r w:rsidDel="00000000" w:rsidR="00000000" w:rsidRPr="00000000">
        <w:rPr>
          <w:rFonts w:ascii="Arial" w:cs="Arial" w:eastAsia="Arial" w:hAnsi="Arial"/>
          <w:sz w:val="22"/>
          <w:szCs w:val="22"/>
          <w:vertAlign w:val="superscript"/>
          <w:rtl w:val="0"/>
        </w:rPr>
        <w:t xml:space="preserve">2,71,79</w:t>
      </w:r>
      <w:r w:rsidDel="00000000" w:rsidR="00000000" w:rsidRPr="00000000">
        <w:rPr>
          <w:rFonts w:ascii="Arial" w:cs="Arial" w:eastAsia="Arial" w:hAnsi="Arial"/>
          <w:sz w:val="22"/>
          <w:szCs w:val="22"/>
          <w:rtl w:val="0"/>
        </w:rPr>
        <w:t xml:space="preserve">. Second, we will investigate the use of hard and soft constraints to automatically adjust the size of our inferred segments. These methods are already implemented within the Segway annotation algorithm, but have not yet been extensively tested. Third, we will implement a hierarchical model, in which the annotation consists of two layers of labels: small sublabels enclosed within larger superlabels. The emission distributions in the model will mimic the model topology, in the sense that the parameters of the sublabel emissions will themselves be random variables following a probability distribution defined at the superlabel level. A similar hierarchical model has been previously employed to model genome-scale data</w:t>
      </w:r>
      <w:r w:rsidDel="00000000" w:rsidR="00000000" w:rsidRPr="00000000">
        <w:rPr>
          <w:rFonts w:ascii="Arial" w:cs="Arial" w:eastAsia="Arial" w:hAnsi="Arial"/>
          <w:sz w:val="22"/>
          <w:szCs w:val="22"/>
          <w:vertAlign w:val="superscript"/>
          <w:rtl w:val="0"/>
        </w:rPr>
        <w:t xml:space="preserve">75</w:t>
      </w:r>
      <w:r w:rsidDel="00000000" w:rsidR="00000000" w:rsidRPr="00000000">
        <w:rPr>
          <w:rFonts w:ascii="Arial" w:cs="Arial" w:eastAsia="Arial" w:hAnsi="Arial"/>
          <w:sz w:val="22"/>
          <w:szCs w:val="22"/>
          <w:rtl w:val="0"/>
        </w:rPr>
        <w:t xml:space="preserve">. We will validate all three of our approaches to modeling large-scale behavior by investigating the relationship between the domains identified by our algorithms to domains identified on the basis of the genome sequence or from Hi-C data</w:t>
      </w:r>
      <w:r w:rsidDel="00000000" w:rsidR="00000000" w:rsidRPr="00000000">
        <w:rPr>
          <w:rFonts w:ascii="Arial" w:cs="Arial" w:eastAsia="Arial" w:hAnsi="Arial"/>
          <w:sz w:val="22"/>
          <w:szCs w:val="22"/>
          <w:vertAlign w:val="superscript"/>
          <w:rtl w:val="0"/>
        </w:rPr>
        <w:t xml:space="preserve">80</w:t>
      </w:r>
      <w:r w:rsidDel="00000000" w:rsidR="00000000" w:rsidRPr="00000000">
        <w:rPr>
          <w:rFonts w:ascii="Arial" w:cs="Arial" w:eastAsia="Arial" w:hAnsi="Arial"/>
          <w:sz w:val="22"/>
          <w:szCs w:val="22"/>
          <w:rtl w:val="0"/>
        </w:rPr>
        <w:t xml:space="preserve">, as well as by comparison with known boundary elements</w:t>
      </w:r>
      <w:r w:rsidDel="00000000" w:rsidR="00000000" w:rsidRPr="00000000">
        <w:rPr>
          <w:rFonts w:ascii="Arial" w:cs="Arial" w:eastAsia="Arial" w:hAnsi="Arial"/>
          <w:sz w:val="22"/>
          <w:szCs w:val="22"/>
          <w:vertAlign w:val="superscript"/>
          <w:rtl w:val="0"/>
        </w:rPr>
        <w:t xml:space="preserve">81</w:t>
      </w:r>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2. Soft supervision. One of the major outputs of ENCODE is the high quality GENCODE annotation, but this information is not currently exploited by our automated annotation engines. We already have the ability to perform semi-supervised learning, in which examples of a known type of functional element are constrained to be assigned a specified label; however, such an approach requires cell type-specific annotations of elements. We will therefore implement a “soft” semi-supervised learning scheme in which a given set of genomic loci are encouraged, but not required, to receive a specified label. Such an approach can be easily implemented in a probability model using a method known as “virtual evidence”</w:t>
      </w:r>
      <w:r w:rsidDel="00000000" w:rsidR="00000000" w:rsidRPr="00000000">
        <w:rPr>
          <w:rFonts w:ascii="Arial" w:cs="Arial" w:eastAsia="Arial" w:hAnsi="Arial"/>
          <w:sz w:val="22"/>
          <w:szCs w:val="22"/>
          <w:vertAlign w:val="superscript"/>
          <w:rtl w:val="0"/>
        </w:rPr>
        <w:t xml:space="preserve">82,83</w:t>
      </w:r>
      <w:r w:rsidDel="00000000" w:rsidR="00000000" w:rsidRPr="00000000">
        <w:rPr>
          <w:rFonts w:ascii="Arial" w:cs="Arial" w:eastAsia="Arial" w:hAnsi="Arial"/>
          <w:sz w:val="22"/>
          <w:szCs w:val="22"/>
          <w:rtl w:val="0"/>
        </w:rPr>
        <w:t xml:space="preserve">. Using this approach, for example, we might tell our annotation system about the existence of known TSSs without specifying whether any particular TSS is active in a given cell line or not.</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3. Improved learning. A probability model that attempts to summarize dozens or even hundreds of genome-wide datasets necessarily contains a large number of trainable parameters. Consequently, optimization of these parameters may be subject to local optima, and in the presence of very high-dimensional data, may occur with respect to unrealistically complex optimization surfaces. Measure propagation is a recently described algorithm for graph-based semi-supervised learning that propagates distributions over a graph</w:t>
      </w:r>
      <w:r w:rsidDel="00000000" w:rsidR="00000000" w:rsidRPr="00000000">
        <w:rPr>
          <w:rFonts w:ascii="Arial" w:cs="Arial" w:eastAsia="Arial" w:hAnsi="Arial"/>
          <w:sz w:val="22"/>
          <w:szCs w:val="22"/>
          <w:vertAlign w:val="superscript"/>
          <w:rtl w:val="0"/>
        </w:rPr>
        <w:t xml:space="preserve">84,85</w:t>
      </w:r>
      <w:r w:rsidDel="00000000" w:rsidR="00000000" w:rsidRPr="00000000">
        <w:rPr>
          <w:rFonts w:ascii="Arial" w:cs="Arial" w:eastAsia="Arial" w:hAnsi="Arial"/>
          <w:sz w:val="22"/>
          <w:szCs w:val="22"/>
          <w:rtl w:val="0"/>
        </w:rPr>
        <w:t xml:space="preserve">. It uses an objective function that consists of a sum of a number of KL-divergence terms. This objective is convex and is easily optimizable using a message-passing algorithm. We propose to interleave this measure propagation algorithm with our existing, expectation-maximization (EM) approach. In the measure propagation step, the graph will be formed from a similarity measure defined over loci in the genome, where the similarity may be based on a variety of types of biological knowledge or hypotheses. The output of the measure propagation would then be used as soft labels during the next round of EM training. This approach has the potential to vastly improve the learning power of our system by simultaneously integrating local context (via the Markov chain embedded in segmentation model) and global structure of the data (via the graph used in measure propagation). This computation is feasible: measure propagation scales to graphs of size 120 million nodes</w:t>
      </w:r>
      <w:r w:rsidDel="00000000" w:rsidR="00000000" w:rsidRPr="00000000">
        <w:rPr>
          <w:rFonts w:ascii="Arial" w:cs="Arial" w:eastAsia="Arial" w:hAnsi="Arial"/>
          <w:sz w:val="22"/>
          <w:szCs w:val="22"/>
          <w:vertAlign w:val="superscript"/>
          <w:rtl w:val="0"/>
        </w:rPr>
        <w:t xml:space="preserve">86</w:t>
      </w:r>
      <w:r w:rsidDel="00000000" w:rsidR="00000000" w:rsidRPr="00000000">
        <w:rPr>
          <w:rFonts w:ascii="Arial" w:cs="Arial" w:eastAsia="Arial" w:hAnsi="Arial"/>
          <w:sz w:val="22"/>
          <w:szCs w:val="22"/>
          <w:rtl w:val="0"/>
        </w:rPr>
        <w:t xml:space="preserve">. We will directly measure the improved performance by cross-validated testing of our ability to identify known functional elements.</w:t>
      </w:r>
    </w:p>
    <w:p w:rsidR="00000000" w:rsidDel="00000000" w:rsidP="00000000" w:rsidRDefault="00000000" w:rsidRPr="00000000">
      <w:pPr>
        <w:contextualSpacing w:val="0"/>
      </w:pPr>
      <w:r w:rsidDel="00000000" w:rsidR="00000000" w:rsidRPr="00000000">
        <w:rPr>
          <w:rFonts w:ascii="Arial" w:cs="Arial" w:eastAsia="Arial" w:hAnsi="Arial"/>
          <w:sz w:val="22"/>
          <w:szCs w:val="22"/>
          <w:u w:val="single"/>
          <w:rtl w:val="0"/>
        </w:rPr>
        <w:t xml:space="preserve">3.2.3.2 Continued development of </w:t>
      </w:r>
      <w:commentRangeStart w:id="36"/>
      <w:r w:rsidDel="00000000" w:rsidR="00000000" w:rsidRPr="00000000">
        <w:rPr>
          <w:rFonts w:ascii="Arial" w:cs="Arial" w:eastAsia="Arial" w:hAnsi="Arial"/>
          <w:sz w:val="22"/>
          <w:szCs w:val="22"/>
          <w:u w:val="single"/>
          <w:rtl w:val="0"/>
        </w:rPr>
        <w:t xml:space="preserve">Segway</w:t>
      </w:r>
      <w:commentRangeEnd w:id="36"/>
      <w:r w:rsidDel="00000000" w:rsidR="00000000" w:rsidRPr="00000000">
        <w:commentReference w:id="36"/>
      </w:r>
      <w:r w:rsidDel="00000000" w:rsidR="00000000" w:rsidRPr="00000000">
        <w:rPr>
          <w:rFonts w:ascii="Arial" w:cs="Arial" w:eastAsia="Arial" w:hAnsi="Arial"/>
          <w:sz w:val="22"/>
          <w:szCs w:val="22"/>
          <w:u w:val="single"/>
          <w:rtl w:val="0"/>
        </w:rPr>
        <w:t xml:space="preserve"> pipelines for discovery and characterization of chromatin states </w:t>
      </w:r>
      <w:r w:rsidDel="00000000" w:rsidR="00000000" w:rsidRPr="00000000">
        <w:rPr>
          <w:rtl w:val="0"/>
        </w:rPr>
      </w:r>
    </w:p>
    <w:tbl>
      <w:tblPr>
        <w:tblStyle w:val="Table3"/>
        <w:bidi w:val="0"/>
        <w:tblW w:w="689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
        <w:gridCol w:w="3650"/>
        <w:gridCol w:w="160"/>
        <w:gridCol w:w="2927.9999999999995"/>
        <w:tblGridChange w:id="0">
          <w:tblGrid>
            <w:gridCol w:w="160"/>
            <w:gridCol w:w="3650"/>
            <w:gridCol w:w="160"/>
            <w:gridCol w:w="2927.9999999999995"/>
          </w:tblGrid>
        </w:tblGridChange>
      </w:tblGrid>
      <w:tr>
        <w:tc>
          <w:tcPr>
            <w:tcMar>
              <w:left w:w="0.0" w:type="dxa"/>
              <w:right w:w="0.0" w:type="dxa"/>
            </w:tcMar>
          </w:tcPr>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A</w:t>
            </w:r>
          </w:p>
        </w:tc>
        <w:tc>
          <w:tcPr>
            <w:tcMar>
              <w:left w:w="0.0" w:type="dxa"/>
              <w:right w:w="0.0" w:type="dxa"/>
            </w:tcMar>
          </w:tcPr>
          <w:p w:rsidR="00000000" w:rsidDel="00000000" w:rsidP="00000000" w:rsidRDefault="00000000" w:rsidRPr="00000000">
            <w:pPr>
              <w:contextualSpacing w:val="0"/>
            </w:pPr>
            <w:r w:rsidDel="00000000" w:rsidR="00000000" w:rsidRPr="00000000">
              <w:drawing>
                <wp:inline distB="0" distT="0" distL="114300" distR="114300">
                  <wp:extent cx="2651760" cy="1325880"/>
                  <wp:effectExtent b="0" l="0" r="0" t="0"/>
                  <wp:docPr id="20" name="image72.png"/>
                  <a:graphic>
                    <a:graphicData uri="http://schemas.openxmlformats.org/drawingml/2006/picture">
                      <pic:pic>
                        <pic:nvPicPr>
                          <pic:cNvPr id="0" name="image72.png"/>
                          <pic:cNvPicPr preferRelativeResize="0"/>
                        </pic:nvPicPr>
                        <pic:blipFill>
                          <a:blip r:embed="rId63"/>
                          <a:srcRect b="0" l="0" r="0" t="0"/>
                          <a:stretch>
                            <a:fillRect/>
                          </a:stretch>
                        </pic:blipFill>
                        <pic:spPr>
                          <a:xfrm>
                            <a:off x="0" y="0"/>
                            <a:ext cx="2651760" cy="1325880"/>
                          </a:xfrm>
                          <a:prstGeom prst="rect"/>
                          <a:ln/>
                        </pic:spPr>
                      </pic:pic>
                    </a:graphicData>
                  </a:graphic>
                </wp:inline>
              </w:drawing>
            </w:r>
            <w:r w:rsidDel="00000000" w:rsidR="00000000" w:rsidRPr="00000000">
              <w:rPr>
                <w:rtl w:val="0"/>
              </w:rPr>
            </w:r>
          </w:p>
        </w:tc>
        <w:tc>
          <w:tcPr>
            <w:tcMar>
              <w:left w:w="0.0" w:type="dxa"/>
              <w:right w:w="0.0" w:type="dxa"/>
            </w:tcMar>
          </w:tcPr>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B</w:t>
            </w:r>
          </w:p>
        </w:tc>
        <w:tc>
          <w:tcPr>
            <w:tcMar>
              <w:left w:w="0.0" w:type="dxa"/>
              <w:right w:w="0.0" w:type="dxa"/>
            </w:tcMar>
          </w:tcPr>
          <w:p w:rsidR="00000000" w:rsidDel="00000000" w:rsidP="00000000" w:rsidRDefault="00000000" w:rsidRPr="00000000">
            <w:pPr>
              <w:contextualSpacing w:val="0"/>
            </w:pPr>
            <w:r w:rsidDel="00000000" w:rsidR="00000000" w:rsidRPr="00000000">
              <w:drawing>
                <wp:inline distB="0" distT="0" distL="114300" distR="114300">
                  <wp:extent cx="1284097" cy="1248791"/>
                  <wp:effectExtent b="0" l="0" r="0" t="0"/>
                  <wp:docPr id="10" name="image61.png"/>
                  <a:graphic>
                    <a:graphicData uri="http://schemas.openxmlformats.org/drawingml/2006/picture">
                      <pic:pic>
                        <pic:nvPicPr>
                          <pic:cNvPr id="0" name="image61.png"/>
                          <pic:cNvPicPr preferRelativeResize="0"/>
                        </pic:nvPicPr>
                        <pic:blipFill>
                          <a:blip r:embed="rId64"/>
                          <a:srcRect b="0" l="0" r="0" t="0"/>
                          <a:stretch>
                            <a:fillRect/>
                          </a:stretch>
                        </pic:blipFill>
                        <pic:spPr>
                          <a:xfrm>
                            <a:off x="0" y="0"/>
                            <a:ext cx="1284097" cy="1248791"/>
                          </a:xfrm>
                          <a:prstGeom prst="rect"/>
                          <a:ln/>
                        </pic:spPr>
                      </pic:pic>
                    </a:graphicData>
                  </a:graphic>
                </wp:inline>
              </w:drawing>
            </w:r>
            <w:r w:rsidDel="00000000" w:rsidR="00000000" w:rsidRPr="00000000">
              <w:rPr>
                <w:rtl w:val="0"/>
              </w:rPr>
            </w:r>
          </w:p>
        </w:tc>
      </w:tr>
    </w:tbl>
    <w:p w:rsidR="00000000" w:rsidDel="00000000" w:rsidP="00000000" w:rsidRDefault="00000000" w:rsidRPr="00000000">
      <w:pPr>
        <w:keepLines w:val="1"/>
        <w:spacing w:after="120" w:before="120" w:lineRule="auto"/>
        <w:contextualSpacing w:val="0"/>
      </w:pPr>
      <w:r w:rsidDel="00000000" w:rsidR="00000000" w:rsidRPr="00000000">
        <w:rPr>
          <w:rFonts w:ascii="Arial" w:cs="Arial" w:eastAsia="Arial" w:hAnsi="Arial"/>
          <w:sz w:val="22"/>
          <w:szCs w:val="22"/>
          <w:rtl w:val="0"/>
        </w:rPr>
        <w:t xml:space="preserve">Figure XXX: (A) Machine learning strategy for assigning human interpretable labels to Segway outputs. (B) 2D projection of the emission parameters of the labels from one cell type (GM12878), with mnemonic labels assigned by the classifier. Projection is done using t-SNE 38 (). The ten labels are P (promoter), PF (promoter flanking), E (enhancer), EB (bivalent enhancer), GE (enhancer inside a gene), TX (transcribed), CR (constitutively repressed region), FH (facultative heterochromatin), ZNF (zinc finger gene region) and Q (quiescent).</w:t>
      </w:r>
    </w:p>
    <w:p w:rsidR="00000000" w:rsidDel="00000000" w:rsidP="00000000" w:rsidRDefault="00000000" w:rsidRPr="00000000">
      <w:pPr>
        <w:spacing w:before="240" w:lineRule="auto"/>
        <w:contextualSpacing w:val="0"/>
      </w:pPr>
      <w:r w:rsidDel="00000000" w:rsidR="00000000" w:rsidRPr="00000000">
        <w:rPr>
          <w:rFonts w:ascii="Arial" w:cs="Arial" w:eastAsia="Arial" w:hAnsi="Arial"/>
          <w:sz w:val="22"/>
          <w:szCs w:val="22"/>
          <w:rtl w:val="0"/>
        </w:rPr>
        <w:t xml:space="preserve">As part of the current annotation effort, our Segway annotation incorporates several recent improvements, including the ability to train on the entire human genome using a minibatch training mode, and modeling of emission distributions within each state of the model using a mixture of Gaussians rather than a single Gaussian. In addition, we have developed and validated a method for automatically assigning human interpretable labels to an annotation (Figure 2A). The method leverages the observation that, by now, a relatively large number of manually interpreted SAGA annotations have been published. We therefore trained a supervised classification algorithm to automatically assign one of ten labels (“Enhancer,” “Promoter,” etc.) to an integer label produced by Segway, using as features the pattern of histone modifications and gene enrichments associated with the labeled segments. In a cross-validated setting, this approach achieves an accuracy of 98.3%, and similar learned labels tend to fall close togther in a 2D projection (Figure 2B).</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During the next phase of ENCODE, we intend to improve upon Segway in three significant ways.</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First, we will augment Segway with learned networks representing pairwise relationships between cell types and assay types. The idea here is to down-weight correlated contributions from related assay types and, in the context of multi-cell type annotation, to encourage related cell types to have similar annotations. The feasibility of this type of network learning has been demonstrated in recent work on learning complex chromatin states 39 (). A more scalable approach has also been outlined for large sets of histone modification assays 40 (). The Graphical Models Toolkit (GMTK) software with which Segway is implemented will allow us to easily augment Segway to incorporate priors derived from these learned networks. This will allow us to avoid the mean field approximation required by a previous method that infers a tree over cell types 34 ().</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Second, we will extend Segway to implement a hierarchical state space. Our current Segway annotation effort is being performed at three different resolutions, 10 bp, 100 bp and 10 kbp. These complementary annotations capture phenomena at different scales, from fine-scale phenomena such as regulatory elements up to large-scale domains 41 (). Several published reports describe hierarchical approaches that jointly capture phenomena at different scales 42 (), including methods that employ hierarchical probability models akin to the one used by Segway 32 (); 33 (). We will implement within Segway our previously described conjugate priors approach 35 (), in which the parameters of a substate are generated by the emissions from its parent state. Each top-level label is associated with some number of sub-labels. A top-level labels might be “enhancer,” whereas a low-level label might be “H3K27ac region upstream of enhancer TF binding site” or “enhancer nucleosome free TF binding site.” We will also experiment with applying hierarchical models in the context of multi-cell type annotation. In such a setting, the model might learn a latent “potential activity types” vector at each position that specifies a distribution over possible labels for each position. Doing so would discourage one cell type from calling a position, say, “promoter” if no other cell types show evidence for having an promoter in that position.</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Third, we will develop a variance stabilization method to cast the inputs to Segway into interpretable units. In general, the output of a genomics assay—the number of reads mapping to a given genomic position—has no natural units. In particular, a difference between 0 and 30 reads may have a very different statistical importance from a difference between 1,000 and 1,030 reads. This property is due to a relationship between the mean of the data-generating process (i.e. the genomics assay) and its variance. In practice, the different mean-variance relationships among the heterogeneous inputs to Segway make the statistical modeling problem much harder.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Currently, to attempt normalize for the mean-variance relationship of the sequencing read counts, we preprocess the inputs to Segway using an inverse hyperbolic sine transform. However, there is no theoretical basis for using this particular transformation. On the other hand, given a known mean-variance relationship, a data set can be put into interpretable units using the variance-stabilizing transformation , where σ(</w:t>
      </w:r>
      <w:r w:rsidDel="00000000" w:rsidR="00000000" w:rsidRPr="00000000">
        <w:rPr>
          <w:rFonts w:ascii="Arial" w:cs="Arial" w:eastAsia="Arial" w:hAnsi="Arial"/>
          <w:i w:val="1"/>
          <w:sz w:val="22"/>
          <w:szCs w:val="22"/>
          <w:rtl w:val="0"/>
        </w:rPr>
        <w:t xml:space="preserve">x</w:t>
      </w:r>
      <w:r w:rsidDel="00000000" w:rsidR="00000000" w:rsidRPr="00000000">
        <w:rPr>
          <w:rFonts w:ascii="Arial" w:cs="Arial" w:eastAsia="Arial" w:hAnsi="Arial"/>
          <w:sz w:val="22"/>
          <w:szCs w:val="22"/>
          <w:rtl w:val="0"/>
        </w:rPr>
        <w:t xml:space="preserve">) is the standard deviation of a variable with a mean of </w:t>
      </w:r>
      <w:r w:rsidDel="00000000" w:rsidR="00000000" w:rsidRPr="00000000">
        <w:rPr>
          <w:rFonts w:ascii="Arial" w:cs="Arial" w:eastAsia="Arial" w:hAnsi="Arial"/>
          <w:i w:val="1"/>
          <w:sz w:val="22"/>
          <w:szCs w:val="22"/>
          <w:rtl w:val="0"/>
        </w:rPr>
        <w:t xml:space="preserve">x</w:t>
      </w:r>
      <w:r w:rsidDel="00000000" w:rsidR="00000000" w:rsidRPr="00000000">
        <w:rPr>
          <w:rFonts w:ascii="Nova Mono" w:cs="Nova Mono" w:eastAsia="Nova Mono" w:hAnsi="Nova Mono"/>
          <w:sz w:val="22"/>
          <w:szCs w:val="22"/>
          <w:rtl w:val="0"/>
        </w:rPr>
        <w:t xml:space="preserve">. The resulting signal is in units of standard deviation, so it has the useful property that all data points have a 95% confidence intervals of ∼2 units.</w:t>
      </w:r>
    </w:p>
    <w:p w:rsidR="00000000" w:rsidDel="00000000" w:rsidP="00000000" w:rsidRDefault="00000000" w:rsidRPr="00000000">
      <w:pPr>
        <w:ind w:firstLine="340"/>
        <w:contextualSpacing w:val="0"/>
      </w:pPr>
      <w:r w:rsidDel="00000000" w:rsidR="00000000" w:rsidRPr="00000000">
        <w:rPr>
          <w:rFonts w:ascii="Arial" w:cs="Arial" w:eastAsia="Arial" w:hAnsi="Arial"/>
          <w:sz w:val="22"/>
          <w:szCs w:val="22"/>
          <w:rtl w:val="0"/>
        </w:rPr>
        <w:t xml:space="preserve">We will therefore investigate methods to learn the mean-variance relationship of functional genomics data sets using the variation among biological replicates. This problem involves optimizing an objective of the form , whereas most existing approaches for learning functions—such as using splines or Gaussian processes—are designed for a squared-error objective of the form . We will then use the learned mean-variance relationship in combination with a negative binomial distribution to place Segway inputs into interpretable units. We expect this transformation to significantly improve the robustness and interpretability of the resulting models and annotations. </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sz w:val="22"/>
          <w:szCs w:val="22"/>
          <w:highlight w:val="white"/>
          <w:rtl w:val="0"/>
        </w:rPr>
        <w:t xml:space="preserve">3.3 The top layer of annotations in the Encyclopedia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u w:val="single"/>
          <w:rtl w:val="0"/>
        </w:rPr>
        <w:t xml:space="preserve">3.3.1 Linking enhancers to their putative target genes</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Once we identified regulatory regions, we will construct gene regulatory networks.  For example, in the regulatory networks, the regulatory factors can connect to their target genes if they bind to the enhancers and/or promoters of the target genes. We will comprehensively define associations between many non-coding regulatory elements and their target protein-coding genes. The correlation between enhancer and promoter activity across the ENCODE cell-lines and different tissues will be used to identify significant associations between regulatory elements and candidate target genes, as done by Yip et al \cite{Yip, 2012 22950945}.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We then can further identify the key regulatory factors such as ‘hub’ enhancers by analyzing regulatory networks. Recently, large-scale efforts (e.g., the Epigenome Roadmap and GTEx projects) have also been directed toward annotating human epigenome data, as well as understanding the influence of genomic variation on the gene expression profiles. These Expression Quantitative Trait Loci (eQTL) can further be utilized to infer enhancer gene linkage. </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eQTL indicates the quantitative relationship between genomic variants and gene expression. It can be classified into two categories according to the underlining mechanism. eQTLs that affect the proximate gene are called cis- or local-eQTL, while eQTLs that stay far from its target gene are distal- or trans-eQTL. cis-eQTL usually tend to locate in promoter region of gene that have ASEs. trans-eQTLs act distantly by overlapping with distal regulatory elements and forming spatial chromatin structure, which can provide us a source to explore distal enhancer gene interaction pairs.  To incorporate the eQTL effect, we will incorporate an eQTL score as a part of spatial structure feature to predict enhancer gene linkage. The LD region of trans-eQTL will be considered, and the mediation effect of a trans-eQTL acting as cis-eQTL on the proximate gene will be exclude if the proximate gene has high correlation with its distal target genes.</w:t>
      </w:r>
    </w:p>
    <w:p w:rsidR="00000000" w:rsidDel="00000000" w:rsidP="00000000" w:rsidRDefault="00000000" w:rsidRPr="00000000">
      <w:pPr>
        <w:contextualSpacing w:val="0"/>
      </w:pPr>
      <w:r w:rsidDel="00000000" w:rsidR="00000000" w:rsidRPr="00000000">
        <w:rPr>
          <w:rFonts w:ascii="Arial" w:cs="Arial" w:eastAsia="Arial" w:hAnsi="Arial"/>
          <w:b w:val="1"/>
          <w:sz w:val="22"/>
          <w:szCs w:val="22"/>
          <w:highlight w:val="white"/>
          <w:rtl w:val="0"/>
        </w:rPr>
        <w:t xml:space="preserve">                    </w:t>
        <w:tab/>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We are further developing a new method called ENGINE (Enhancer Gene Interaction detection) to detect enhancer gene linkage (Fig.xxx). ENGINE will integrate structural, static and dynamic genomic information. The sequence features are denoted by K-mer profile and co-occurrence matrix, while the dynamic features include DNase I, histone modification and TF binding information. We do the transformation for histone mark/DNase signals and extract informative features that can tell positive from negative datasets. Meanwhile, gene expression variance, is also integrated as an additional feature into a statistical model to predict enhancer gene linkage.                  </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0" w:lineRule="auto"/>
        <w:contextualSpacing w:val="0"/>
      </w:pPr>
      <w:r w:rsidDel="00000000" w:rsidR="00000000" w:rsidRPr="00000000">
        <w:rPr>
          <w:rFonts w:ascii="Arial" w:cs="Arial" w:eastAsia="Arial" w:hAnsi="Arial"/>
          <w:sz w:val="22"/>
          <w:szCs w:val="22"/>
          <w:rtl w:val="0"/>
        </w:rPr>
        <w:t xml:space="preserve">The logic by which enhancers are linked to promoters of their target genes is still unclear. We will evaluate the role of insulator regions, spatial proximity, chromatin marks, binding of complementary or synergistic TFs, motif content, and association with general and specific TFs in determining enhancer-promoter specificity. The Kellis lab uses co-expression of regulators and their targets to tentatively assign enhancers to promoters, and search for additional features supporting these assignments</w:t>
      </w:r>
      <w:r w:rsidDel="00000000" w:rsidR="00000000" w:rsidRPr="00000000">
        <w:rPr>
          <w:rFonts w:ascii="Arial" w:cs="Arial" w:eastAsia="Arial" w:hAnsi="Arial"/>
          <w:sz w:val="22"/>
          <w:szCs w:val="22"/>
          <w:vertAlign w:val="superscript"/>
          <w:rtl w:val="0"/>
        </w:rPr>
        <w:t xml:space="preserve">68</w:t>
      </w:r>
      <w:r w:rsidDel="00000000" w:rsidR="00000000" w:rsidRPr="00000000">
        <w:rPr>
          <w:rFonts w:ascii="Arial" w:cs="Arial" w:eastAsia="Arial" w:hAnsi="Arial"/>
          <w:sz w:val="22"/>
          <w:szCs w:val="22"/>
          <w:rtl w:val="0"/>
        </w:rPr>
        <w:t xml:space="preserve">. The Gerstein lab has used ENCODE ChIP-seq data to identify enhancers and connect them to target transcripts</w:t>
      </w:r>
      <w:r w:rsidDel="00000000" w:rsidR="00000000" w:rsidRPr="00000000">
        <w:rPr>
          <w:rFonts w:ascii="Arial" w:cs="Arial" w:eastAsia="Arial" w:hAnsi="Arial"/>
          <w:sz w:val="22"/>
          <w:szCs w:val="22"/>
          <w:vertAlign w:val="superscript"/>
          <w:rtl w:val="0"/>
        </w:rPr>
        <w:t xml:space="preserve">69</w:t>
      </w:r>
      <w:r w:rsidDel="00000000" w:rsidR="00000000" w:rsidRPr="00000000">
        <w:rPr>
          <w:rFonts w:ascii="Arial" w:cs="Arial" w:eastAsia="Arial" w:hAnsi="Arial"/>
          <w:sz w:val="22"/>
          <w:szCs w:val="22"/>
          <w:rtl w:val="0"/>
        </w:rPr>
        <w:t xml:space="preserve">. Using TF binding regions as the gold standard, a statistical model was trained on chromatin features (e.g., histone modifications from ChIP-seq experiments, DNase I hypersensitivity assay) to discriminate TF-binding regions from non-TF-binding regions. TF-binding regions that are distal from TSSs, evolutionarily conserved, and exhibit specific enhancer histone modification signals (e.g., H3K4me1) are deemed enhancers. They can then be connected to transcripts based on statistically significant correlation of histone mark intensity and transcript expression values across cell lines. A fraction of these predicted enhancers were validated by in vivo transgenic assays</w:t>
      </w:r>
      <w:r w:rsidDel="00000000" w:rsidR="00000000" w:rsidRPr="00000000">
        <w:rPr>
          <w:rFonts w:ascii="Arial" w:cs="Arial" w:eastAsia="Arial" w:hAnsi="Arial"/>
          <w:sz w:val="22"/>
          <w:szCs w:val="22"/>
          <w:vertAlign w:val="superscript"/>
          <w:rtl w:val="0"/>
        </w:rPr>
        <w:t xml:space="preserve">69</w:t>
      </w:r>
      <w:r w:rsidDel="00000000" w:rsidR="00000000" w:rsidRPr="00000000">
        <w:rPr>
          <w:rFonts w:ascii="Arial" w:cs="Arial" w:eastAsia="Arial" w:hAnsi="Arial"/>
          <w:sz w:val="22"/>
          <w:szCs w:val="22"/>
          <w:rtl w:val="0"/>
        </w:rPr>
        <w:t xml:space="preserve">. We can apply these methods to ChIP-seq data in more tissues/cell-lines in human and in more organisms (mouse, worm, and fly). More ENCODE experiments in tissues/cell lines will help to increase the statistical power to pair enhancers and genes, which will facilitate better understanding on distal regulation of gene expression. Enhancers and other distal regulatory regions also drive evolution. We will apply the methods to more organisms to yield a valuable resource for cross-species dynamics comparison.</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37"/>
      <w:commentRangeStart w:id="38"/>
      <w:r w:rsidDel="00000000" w:rsidR="00000000" w:rsidRPr="00000000">
        <w:rPr>
          <w:rFonts w:ascii="Arial" w:cs="Arial" w:eastAsia="Arial" w:hAnsi="Arial"/>
          <w:sz w:val="22"/>
          <w:szCs w:val="22"/>
          <w:u w:val="single"/>
          <w:rtl w:val="0"/>
        </w:rPr>
        <w:t xml:space="preserve">3.3.2 Target genes of transcription factors</w:t>
      </w:r>
      <w:commentRangeEnd w:id="37"/>
      <w:r w:rsidDel="00000000" w:rsidR="00000000" w:rsidRPr="00000000">
        <w:commentReference w:id="37"/>
      </w:r>
      <w:commentRangeEnd w:id="38"/>
      <w:r w:rsidDel="00000000" w:rsidR="00000000" w:rsidRPr="00000000">
        <w:commentReference w:id="38"/>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rtl w:val="0"/>
        </w:rPr>
        <w:t xml:space="preserve">The volume of ChIP-seq data generated by the scientific community outside of ENCODE effort has been increasing exponentially over years. Data analysis involving the integration of ENCODE data with other public ChIP-seq data may yield more reliable biological insights. Under the support of U01 CA180980 by the National Cancer Institute Informatics Technology for Cancer Research (ITCR), the X. Shirley Liu Laboratory has developed a semi-automatic framework to collect and process publicly available ChIP-seq, DNase-seq and ATAC-seq data in human and mouse for the Cistrome collection (pilot interface http://cistrome.org/db/). As of Dec 31, 2015, there are ~23K such data available, excluding single-cell samples. The meta-data of the samples were automatically parsed from GEO and consortium data releases, followed by manual curation. All the samples were processed with a uniform processing pipeline which we developed, including BWA {} for read mapping, MACS2 {Zhang, 2008 18798982} for peak calling, SeqPos {Liu, 2011 21859476} for motif analysis, etc. We adopt a number of quality control (QC) measures to evaluate the quality of each ChIP-seq sample, mostly following ENCODE ChIP-seq QC standard with some additional criteria. They include sequence qualify (FASTQC), mapping quality (uniquely mapped read ratio), library complexity (PCR bottleneck coefficient), ChIP enrichment (number of ChIP-seq peaks passing false discovery rate and fold enrichment cutoffs), signal to noise (fraction of reads in peaks), regulatory region (overlap with union of all DNase-seq peaks), evolutionary conservation (PhastCons), and motif (enrichment in peak summit). Researchers could search ChIP-seq sample of interest, evaluate data quality on the site, browse the ChIP-seq signals on genome browsers, and download peaks and signals to their own computer for downstream analysis.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Out of the 23K ChIP/DNase/ATAC-seq samples, over 9,700 are for transcription factors (TF), which enable us to identify the target genes of each TF in a condition-specific manner. To this end, we will integrate TF ChIP-seq data in the Cistrome with large-scale gene expression cohorts from the Cancer Genome Atlas (TCGA) and Genotype-Tissue Expression Project (GTEx). We consider three factors in determining the strength of regulation between a TF and its putative target X: the level of TF expression in the tissue or tumor of interest, the Spearman correlation of gene expression between TF and X in the cohorts, and the level of TF binding near target gene X. To measure the level of TF binding near target gene X, we calculate a regulatory potential (RP) which is the sum of significant binding sites weighted by an exponential decay as a function of their distance to the transcription start site (TSS) of gene X {Wang, 2013 24263090}. The decay rate, empirically estimated based on long-range chromatin interactions and the level of differential gene expression observed when transcription factors are perturbed, is set so that a peak 10kb from the TSS contributes half of that at the TSS. Better HiC data from the ENCODE and 4D Nucleome consortia will generate better resolution and condition-specific topologically associated domain (TAD) information, which we could incorporate into the RP so binding in one TAD domain would not influence the RP of a gene in the next TAD domain. Intuitively, a TF has higher RP on putative target gene X if it has more binding sites that are near the TSS of gene X. To model the strength of TF regulation of gene X in tissue / tumor Y, we will use the following non-parametric statistic: </w:t>
      </w:r>
    </w:p>
    <w:p w:rsidR="00000000" w:rsidDel="00000000" w:rsidP="00000000" w:rsidRDefault="00000000" w:rsidRPr="00000000">
      <w:pPr>
        <w:widowControl w:val="0"/>
        <w:tabs>
          <w:tab w:val="left" w:pos="0"/>
        </w:tabs>
        <w:contextualSpacing w:val="0"/>
        <w:jc w:val="center"/>
      </w:pPr>
      <w:r w:rsidDel="00000000" w:rsidR="00000000" w:rsidRPr="00000000">
        <w:rPr>
          <w:rFonts w:ascii="Arial" w:cs="Arial" w:eastAsia="Arial" w:hAnsi="Arial"/>
          <w:sz w:val="22"/>
          <w:szCs w:val="22"/>
          <w:rtl w:val="0"/>
        </w:rPr>
        <w:t xml:space="preserve">Target</w:t>
      </w:r>
      <w:r w:rsidDel="00000000" w:rsidR="00000000" w:rsidRPr="00000000">
        <w:rPr>
          <w:rFonts w:ascii="Arial" w:cs="Arial" w:eastAsia="Arial" w:hAnsi="Arial"/>
          <w:sz w:val="22"/>
          <w:szCs w:val="22"/>
          <w:vertAlign w:val="subscript"/>
          <w:rtl w:val="0"/>
        </w:rPr>
        <w:t xml:space="preserve">TF gene X tissue Y </w:t>
      </w:r>
      <w:r w:rsidDel="00000000" w:rsidR="00000000" w:rsidRPr="00000000">
        <w:rPr>
          <w:rFonts w:ascii="Arial" w:cs="Arial" w:eastAsia="Arial" w:hAnsi="Arial"/>
          <w:sz w:val="22"/>
          <w:szCs w:val="22"/>
          <w:rtl w:val="0"/>
        </w:rPr>
        <w:t xml:space="preserve">= Rank</w:t>
      </w:r>
      <w:r w:rsidDel="00000000" w:rsidR="00000000" w:rsidRPr="00000000">
        <w:rPr>
          <w:rFonts w:ascii="Arial" w:cs="Arial" w:eastAsia="Arial" w:hAnsi="Arial"/>
          <w:sz w:val="22"/>
          <w:szCs w:val="22"/>
          <w:vertAlign w:val="subscript"/>
          <w:rtl w:val="0"/>
        </w:rPr>
        <w:t xml:space="preserve">Expr</w:t>
      </w:r>
      <w:r w:rsidDel="00000000" w:rsidR="00000000" w:rsidRPr="00000000">
        <w:rPr>
          <w:rFonts w:ascii="Arial" w:cs="Arial" w:eastAsia="Arial" w:hAnsi="Arial"/>
          <w:sz w:val="22"/>
          <w:szCs w:val="22"/>
          <w:rtl w:val="0"/>
        </w:rPr>
        <w:t xml:space="preserve"> • Rank</w:t>
      </w:r>
      <w:r w:rsidDel="00000000" w:rsidR="00000000" w:rsidRPr="00000000">
        <w:rPr>
          <w:rFonts w:ascii="Arial" w:cs="Arial" w:eastAsia="Arial" w:hAnsi="Arial"/>
          <w:sz w:val="22"/>
          <w:szCs w:val="22"/>
          <w:vertAlign w:val="subscript"/>
          <w:rtl w:val="0"/>
        </w:rPr>
        <w:t xml:space="preserve">Corr</w:t>
      </w:r>
      <w:r w:rsidDel="00000000" w:rsidR="00000000" w:rsidRPr="00000000">
        <w:rPr>
          <w:rFonts w:ascii="Arial" w:cs="Arial" w:eastAsia="Arial" w:hAnsi="Arial"/>
          <w:sz w:val="22"/>
          <w:szCs w:val="22"/>
          <w:rtl w:val="0"/>
        </w:rPr>
        <w:t xml:space="preserve"> • Rank</w:t>
      </w:r>
      <w:r w:rsidDel="00000000" w:rsidR="00000000" w:rsidRPr="00000000">
        <w:rPr>
          <w:rFonts w:ascii="Arial" w:cs="Arial" w:eastAsia="Arial" w:hAnsi="Arial"/>
          <w:sz w:val="22"/>
          <w:szCs w:val="22"/>
          <w:vertAlign w:val="subscript"/>
          <w:rtl w:val="0"/>
        </w:rPr>
        <w:t xml:space="preserve">RP</w:t>
      </w: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where Rank</w:t>
      </w:r>
      <w:r w:rsidDel="00000000" w:rsidR="00000000" w:rsidRPr="00000000">
        <w:rPr>
          <w:rFonts w:ascii="Arial" w:cs="Arial" w:eastAsia="Arial" w:hAnsi="Arial"/>
          <w:sz w:val="22"/>
          <w:szCs w:val="22"/>
          <w:vertAlign w:val="subscript"/>
          <w:rtl w:val="0"/>
        </w:rPr>
        <w:t xml:space="preserve">Expr</w:t>
      </w:r>
      <w:r w:rsidDel="00000000" w:rsidR="00000000" w:rsidRPr="00000000">
        <w:rPr>
          <w:rFonts w:ascii="Arial" w:cs="Arial" w:eastAsia="Arial" w:hAnsi="Arial"/>
          <w:sz w:val="22"/>
          <w:szCs w:val="22"/>
          <w:rtl w:val="0"/>
        </w:rPr>
        <w:t xml:space="preserve"> is the rank of TF expression in tissue Y compared to all other tissues and tumor types,</w:t>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Rank</w:t>
      </w:r>
      <w:r w:rsidDel="00000000" w:rsidR="00000000" w:rsidRPr="00000000">
        <w:rPr>
          <w:rFonts w:ascii="Arial" w:cs="Arial" w:eastAsia="Arial" w:hAnsi="Arial"/>
          <w:sz w:val="22"/>
          <w:szCs w:val="22"/>
          <w:vertAlign w:val="subscript"/>
          <w:rtl w:val="0"/>
        </w:rPr>
        <w:t xml:space="preserve">Corr</w:t>
      </w:r>
      <w:r w:rsidDel="00000000" w:rsidR="00000000" w:rsidRPr="00000000">
        <w:rPr>
          <w:rFonts w:ascii="Arial" w:cs="Arial" w:eastAsia="Arial" w:hAnsi="Arial"/>
          <w:sz w:val="22"/>
          <w:szCs w:val="22"/>
          <w:rtl w:val="0"/>
        </w:rPr>
        <w:t xml:space="preserve"> is the rank of Spearman correlation between the gene expression of TF and gene X in tissue Y,</w:t>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Rank</w:t>
      </w:r>
      <w:r w:rsidDel="00000000" w:rsidR="00000000" w:rsidRPr="00000000">
        <w:rPr>
          <w:rFonts w:ascii="Arial" w:cs="Arial" w:eastAsia="Arial" w:hAnsi="Arial"/>
          <w:sz w:val="22"/>
          <w:szCs w:val="22"/>
          <w:vertAlign w:val="subscript"/>
          <w:rtl w:val="0"/>
        </w:rPr>
        <w:t xml:space="preserve">RP</w:t>
      </w:r>
      <w:r w:rsidDel="00000000" w:rsidR="00000000" w:rsidRPr="00000000">
        <w:rPr>
          <w:rFonts w:ascii="Arial" w:cs="Arial" w:eastAsia="Arial" w:hAnsi="Arial"/>
          <w:sz w:val="22"/>
          <w:szCs w:val="22"/>
          <w:rtl w:val="0"/>
        </w:rPr>
        <w:t xml:space="preserve"> is the rank of TF ChIP-seq RP for gene X compared to other genes. If a TF has multiple ChIP-seq data, we will use logistic regression to select relevant samples whose collective RP has the best overlap with with the top 2000 Rank</w:t>
      </w:r>
      <w:r w:rsidDel="00000000" w:rsidR="00000000" w:rsidRPr="00000000">
        <w:rPr>
          <w:rFonts w:ascii="Arial" w:cs="Arial" w:eastAsia="Arial" w:hAnsi="Arial"/>
          <w:sz w:val="22"/>
          <w:szCs w:val="22"/>
          <w:vertAlign w:val="subscript"/>
          <w:rtl w:val="0"/>
        </w:rPr>
        <w:t xml:space="preserve">Corr</w:t>
      </w:r>
      <w:r w:rsidDel="00000000" w:rsidR="00000000" w:rsidRPr="00000000">
        <w:rPr>
          <w:rFonts w:ascii="Arial" w:cs="Arial" w:eastAsia="Arial" w:hAnsi="Arial"/>
          <w:sz w:val="22"/>
          <w:szCs w:val="22"/>
          <w:rtl w:val="0"/>
        </w:rPr>
        <w:t xml:space="preserve"> genes in tissue Y.</w:t>
      </w:r>
    </w:p>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Figure 1 shows the prototype results on how the top 50 AR target genes in prostate cancer are regulated over 28 TCGA cancer types. With ever increasing TF ChIP-seq and expression compendia become available, our efforts for TF target prediction will obtain increasing accuracy and tissue specificity. </w:t>
      </w:r>
      <w:r w:rsidDel="00000000" w:rsidR="00000000" w:rsidRPr="00000000">
        <w:rPr>
          <w:rFonts w:ascii="Arial" w:cs="Arial" w:eastAsia="Arial" w:hAnsi="Arial"/>
          <w:sz w:val="22"/>
          <w:szCs w:val="22"/>
          <w:highlight w:val="yellow"/>
          <w:rtl w:val="0"/>
        </w:rPr>
        <w:t xml:space="preserve">ENCODE4 profiles will be generated on limited number of cell types and conditions, and very often among the tens of thousands of binding sites identified for a transcription factor in one cell type, only a minority of the binding sites is functional in regulating gene expression in that cell. From gene expression similarity, we will identify the most relevant tissue (GTEX) or cancer (TCGA) for the cell where the ChIP-seq is conducted. Then our integrative efforts will enable us to not only use TF ChIP-seq from ENCODE4, but also other public ChIP-seq for the same factor and the relevant cancer or tissue cohort to identify the TF’s downstream target genes, whether activated or repressed, in that cell type. This target prediction could be validated by expression profiles conducted on ENCODE cell lines with TF knockdown {Cusanovich, 2014 </w:t>
      </w:r>
      <w:r w:rsidDel="00000000" w:rsidR="00000000" w:rsidRPr="00000000">
        <w:rPr>
          <w:rFonts w:ascii="Arial" w:cs="Arial" w:eastAsia="Arial" w:hAnsi="Arial"/>
          <w:sz w:val="22"/>
          <w:szCs w:val="22"/>
          <w:rtl w:val="0"/>
        </w:rPr>
        <w:t xml:space="preserve">24603674</w:t>
      </w:r>
      <w:r w:rsidDel="00000000" w:rsidR="00000000" w:rsidRPr="00000000">
        <w:rPr>
          <w:rFonts w:ascii="Arial" w:cs="Arial" w:eastAsia="Arial" w:hAnsi="Arial"/>
          <w:sz w:val="22"/>
          <w:szCs w:val="22"/>
          <w:highlight w:val="yellow"/>
          <w:rtl w:val="0"/>
        </w:rPr>
        <w:t xml:space="preserve">}. This would greatly increase the utility of ENCODE4 ChIP-seq data in understanding TF regulation in normal physiology processes and diseases, and interpreting the potential effect on non-coding SNPs.</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In addition, we have also proposed a probabilistic model, referred to as target identification from profiles (TIP), that identifies a given TF’s target genes based on ChIP-seq data \cite{Cheng, 2011 22039215 }. For each TF, our model builds a characteristic, averaged profile of binding around the TSS and then uses this to weight the sites associated with a given gene, providing a continuous-valued 'regulatory' score relating each TF and potential target. </w:t>
      </w:r>
    </w:p>
    <w:p w:rsidR="00000000" w:rsidDel="00000000" w:rsidP="00000000" w:rsidRDefault="00000000" w:rsidRPr="00000000">
      <w:pPr>
        <w:widowControl w:val="0"/>
        <w:tabs>
          <w:tab w:val="left" w:pos="0"/>
        </w:tabs>
        <w:contextualSpacing w:val="0"/>
      </w:pPr>
      <w:r w:rsidDel="00000000" w:rsidR="00000000" w:rsidRPr="00000000">
        <w:rPr>
          <w:rtl w:val="0"/>
        </w:rPr>
      </w:r>
    </w:p>
    <w:tbl>
      <w:tblPr>
        <w:tblStyle w:val="Table4"/>
        <w:bidi w:val="0"/>
        <w:tblW w:w="10800.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980"/>
        <w:gridCol w:w="2820"/>
        <w:tblGridChange w:id="0">
          <w:tblGrid>
            <w:gridCol w:w="7980"/>
            <w:gridCol w:w="2820"/>
          </w:tblGrid>
        </w:tblGridChange>
      </w:tblGrid>
      <w:tr>
        <w:tc>
          <w:tcPr>
            <w:vAlign w:val="center"/>
          </w:tcPr>
          <w:p w:rsidR="00000000" w:rsidDel="00000000" w:rsidP="00000000" w:rsidRDefault="00000000" w:rsidRPr="00000000">
            <w:pPr>
              <w:widowControl w:val="0"/>
              <w:tabs>
                <w:tab w:val="left" w:pos="0"/>
              </w:tabs>
              <w:contextualSpacing w:val="0"/>
            </w:pPr>
            <w:r w:rsidDel="00000000" w:rsidR="00000000" w:rsidRPr="00000000">
              <w:drawing>
                <wp:inline distB="0" distT="0" distL="0" distR="0">
                  <wp:extent cx="4960926" cy="5006672"/>
                  <wp:effectExtent b="0" l="0" r="0" t="0"/>
                  <wp:docPr id="12" name="image63.png"/>
                  <a:graphic>
                    <a:graphicData uri="http://schemas.openxmlformats.org/drawingml/2006/picture">
                      <pic:pic>
                        <pic:nvPicPr>
                          <pic:cNvPr id="0" name="image63.png"/>
                          <pic:cNvPicPr preferRelativeResize="0"/>
                        </pic:nvPicPr>
                        <pic:blipFill>
                          <a:blip r:embed="rId65"/>
                          <a:srcRect b="0" l="0" r="0" t="0"/>
                          <a:stretch>
                            <a:fillRect/>
                          </a:stretch>
                        </pic:blipFill>
                        <pic:spPr>
                          <a:xfrm>
                            <a:off x="0" y="0"/>
                            <a:ext cx="4960926" cy="5006672"/>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Figure 1. Prototype results on how the top 50 AR target genes (49 up-regulated and 1 down-regulated) in prostate cancer are regulated by AR in 28 TCGA cancer types. The expression level of AR in different cancer types is shown on the top. In the heatmap, the size of the square indicates the normalized RP of AR on each gene from the best matching AR ChIP-seq data, and the color of the square represents the Spearman correlation between AR and target gene in the corresponding cancer type. The final strength of AR regulation on the target depends on AR expression level in the cancer type, the size (AR binding regulatory potential) and color (expression correlation) of the corresponding square. Genes without the square are not called AR targets in the specific cancer type. </w:t>
            </w:r>
          </w:p>
        </w:tc>
      </w:tr>
    </w:tbl>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commentRangeStart w:id="39"/>
      <w:commentRangeStart w:id="40"/>
      <w:r w:rsidDel="00000000" w:rsidR="00000000" w:rsidRPr="00000000">
        <w:rPr>
          <w:rFonts w:ascii="Arial" w:cs="Arial" w:eastAsia="Arial" w:hAnsi="Arial"/>
          <w:sz w:val="22"/>
          <w:szCs w:val="22"/>
          <w:u w:val="single"/>
          <w:rtl w:val="0"/>
        </w:rPr>
        <w:t xml:space="preserve">3.3.3 Expand ENCODE data annotation using public ChIP/ATAC-seq data</w:t>
      </w:r>
      <w:commentRangeEnd w:id="39"/>
      <w:r w:rsidDel="00000000" w:rsidR="00000000" w:rsidRPr="00000000">
        <w:commentReference w:id="39"/>
      </w:r>
      <w:commentRangeEnd w:id="40"/>
      <w:r w:rsidDel="00000000" w:rsidR="00000000" w:rsidRPr="00000000">
        <w:commentReference w:id="40"/>
      </w: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One major achievement of the ENCODE consortium is the mapping and characterization of regulatory sequences in the human and mouse genomes. However, despite of the tremendous amount of efforts invested, the number of cell conditions that could be profiled is still limited. Therefore, the ability to use public histone mark ChIP-seq and ATAC-seq data to facilitate ENCODE regulatory sequence annotation will be very valuable. The X. Shirley Liu laboratory has used a uniform pipeline to collect, process, and QC all the ~23K ChIP/DNase/ATAC-seq samples in human and mouse. Among the ~23K public samples, there are ~2500 on H3K4me3, ~2000 on H3K27ac, ~1800 on H3K27me3, ~1200 on H3K4me1, ~600 on H3K4me2, ~1100 on DNase-seq. </w:t>
      </w:r>
      <w:r w:rsidDel="00000000" w:rsidR="00000000" w:rsidRPr="00000000">
        <w:rPr>
          <w:rFonts w:ascii="Arial" w:cs="Arial" w:eastAsia="Arial" w:hAnsi="Arial"/>
          <w:sz w:val="22"/>
          <w:szCs w:val="22"/>
          <w:highlight w:val="yellow"/>
          <w:rtl w:val="0"/>
        </w:rPr>
        <w:t xml:space="preserve">They, together with the fast-growing number of (currently ~150) ATAC-seq data, are very useful towards regulatory sequence annotation for ENCODE4.</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tabs>
          <w:tab w:val="left" w:pos="0"/>
        </w:tabs>
        <w:contextualSpacing w:val="0"/>
      </w:pPr>
      <w:r w:rsidDel="00000000" w:rsidR="00000000" w:rsidRPr="00000000">
        <w:rPr>
          <w:rtl w:val="0"/>
        </w:rPr>
      </w:r>
    </w:p>
    <w:tbl>
      <w:tblPr>
        <w:tblStyle w:val="Table5"/>
        <w:bidi w:val="0"/>
        <w:tblW w:w="10800.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80"/>
        <w:gridCol w:w="3720"/>
        <w:tblGridChange w:id="0">
          <w:tblGrid>
            <w:gridCol w:w="7080"/>
            <w:gridCol w:w="3720"/>
          </w:tblGrid>
        </w:tblGridChange>
      </w:tblGrid>
      <w:tr>
        <w:tc>
          <w:tcPr/>
          <w:p w:rsidR="00000000" w:rsidDel="00000000" w:rsidP="00000000" w:rsidRDefault="00000000" w:rsidRPr="00000000">
            <w:pPr>
              <w:widowControl w:val="0"/>
              <w:tabs>
                <w:tab w:val="left" w:pos="0"/>
              </w:tabs>
              <w:contextualSpacing w:val="0"/>
            </w:pPr>
            <w:r w:rsidDel="00000000" w:rsidR="00000000" w:rsidRPr="00000000">
              <w:drawing>
                <wp:inline distB="0" distT="0" distL="0" distR="0">
                  <wp:extent cx="4387850" cy="3740150"/>
                  <wp:effectExtent b="0" l="0" r="0" t="0"/>
                  <wp:docPr id="19" name="image71.png"/>
                  <a:graphic>
                    <a:graphicData uri="http://schemas.openxmlformats.org/drawingml/2006/picture">
                      <pic:pic>
                        <pic:nvPicPr>
                          <pic:cNvPr id="0" name="image71.png"/>
                          <pic:cNvPicPr preferRelativeResize="0"/>
                        </pic:nvPicPr>
                        <pic:blipFill>
                          <a:blip r:embed="rId66"/>
                          <a:srcRect b="59096" l="7469" r="24625" t="0"/>
                          <a:stretch>
                            <a:fillRect/>
                          </a:stretch>
                        </pic:blipFill>
                        <pic:spPr>
                          <a:xfrm>
                            <a:off x="0" y="0"/>
                            <a:ext cx="4387850" cy="3740150"/>
                          </a:xfrm>
                          <a:prstGeom prst="rect"/>
                          <a:ln/>
                        </pic:spPr>
                      </pic:pic>
                    </a:graphicData>
                  </a:graphic>
                </wp:inline>
              </w:drawing>
            </w:r>
            <w:r w:rsidDel="00000000" w:rsidR="00000000" w:rsidRPr="00000000">
              <w:rPr>
                <w:rtl w:val="0"/>
              </w:rPr>
            </w:r>
          </w:p>
        </w:tc>
        <w:tc>
          <w:tcPr/>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rtl w:val="0"/>
              </w:rPr>
              <w:t xml:space="preserve">Figure 2. Schematic of MARGE framework. (1) Regulatory potential calculation for each H3K27ac ChIP-seq. (2) A stepwise regression to select informative H3K27ac ChIP-seq samples for user provided input gene set. (3) H3K27ac read counts in 1kb regions centered on UDHS on selected samples in a matrix. (4) A semi-supervised method to re-weight selected H3K27ac ChIP-seq profiles and predict cis-elements for the gene set.</w:t>
            </w:r>
          </w:p>
        </w:tc>
      </w:tr>
    </w:tbl>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bookmarkStart w:colFirst="0" w:colLast="0" w:name="h.gjdgxs" w:id="0"/>
      <w:bookmarkEnd w:id="0"/>
      <w:r w:rsidDel="00000000" w:rsidR="00000000" w:rsidRPr="00000000">
        <w:rPr>
          <w:rFonts w:ascii="Arial" w:cs="Arial" w:eastAsia="Arial" w:hAnsi="Arial"/>
          <w:sz w:val="22"/>
          <w:szCs w:val="22"/>
          <w:rtl w:val="0"/>
        </w:rPr>
        <w:t xml:space="preserve">In the following, we present a prototype algorithm (Figure 2), Model-based Analysis of Regulation of Gene Expression (MARGE{Wang, submitted}), which was developed in the Liu laboratory using 365 human and 267 mouse H3K27ac ChIP-seq profiles. Previous epigenomics studies have shown that H3K27ac ChIP-seq correlates with gene expression levels in matched samples {Karlić, 2010 20133639; Cotney, 2012 22421546}, MARGE instead aims to use a compendium of H3K27ac ChIP-seq to make predictions on differential expression without using explicitly matched samples, which is useful when epigenetic profiles in the differential conditions are unavailable. First, MARGE defines a regulatory potential (RP) for each gene as the sum of H3K27ac ChIP-seq signals weighted by a function of genomic distance from gene TSS with 10kb decay. Given a user input of differentially expressed genes, MARGE uses logistic regression to retrieve relevant H3K27ac profiles from the compendium based on the RP. Tested against 671 molecular signature-based gene sets (MSigDB {Liberzon, 2011 21546393}) with over 200 genes, MARGE can indeed make accurate predictions for most gene sets and select H3K27ac ChIP-seq samples derived from the relevant tissue type as the top profiles. From all the DNase-seq data generated by the ENCODE / Roadmap consortia {Thurman, 2012 22955617; Neph, 2012 22955618; Stergachis, 2014 25409825}, we summarized the DNase-seq peaks into ~4.8M and ~2M non-redundant union DNase hypersensitive sites (UDHS) as the full repertoires of putative regulatory sequences in human and mouse, respectively. MARGE extracts the normalized read count within 1kb of each selected H3K27ac ChIP-seq centered at each UDHS, then uses a novel semi-supervised learning method to predict relevant enhancers. Specifically, MARGE conducts a k-means (k=7) of the H3K27ac signals on UDHS in the selected samples, identifies the cluster whose centroid is most associated with the differentially expressed genes, and use that cluster centroid to reweight the H3K27ac profiles and predict enhancers for the differential genes. </w:t>
      </w:r>
      <w:r w:rsidDel="00000000" w:rsidR="00000000" w:rsidRPr="00000000">
        <w:rPr>
          <w:rFonts w:ascii="Arial" w:cs="Arial" w:eastAsia="Arial" w:hAnsi="Arial"/>
          <w:sz w:val="22"/>
          <w:szCs w:val="22"/>
          <w:highlight w:val="yellow"/>
          <w:rtl w:val="0"/>
        </w:rPr>
        <w:t xml:space="preserve">For ENCODE4, we will incorporate other histone mark profiles and ATAC-seq into the MARGE model to better predict enhancers relevant to a user defined gene list of interest, and the robustness of the model will be evaluated using cross-validation.</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widowControl w:val="0"/>
        <w:tabs>
          <w:tab w:val="left" w:pos="0"/>
        </w:tabs>
        <w:contextualSpacing w:val="0"/>
      </w:pPr>
      <w:r w:rsidDel="00000000" w:rsidR="00000000" w:rsidRPr="00000000">
        <w:rPr>
          <w:rFonts w:ascii="Arial" w:cs="Arial" w:eastAsia="Arial" w:hAnsi="Arial"/>
          <w:sz w:val="22"/>
          <w:szCs w:val="22"/>
          <w:highlight w:val="yellow"/>
          <w:rtl w:val="0"/>
        </w:rPr>
        <w:t xml:space="preserve">The ever-increasing number of public H3K27ac ChIP-seq, ATAC-seq and DNase-seq profiles also enables us to establish much more robust promoter and cis-element signal correlations. For each ENCODE4-defined cis-elements (e.g. UDHS), we could use this correlation to predict its effect on target genes. This association could be combined with CTCF binding and Hi-C data to improve the resolution of insulators and TAD boundaries, since cis-elements are less likely to be associated with genes across insulators. Special attention will be paid to cis-elements whose DNase-seq signal is negatively correlated with cis-element H3K27ac and target gene H3K27ac levels, since they are likely to be cis-silencers of gene expression. Last but not least, public data could help annotate trans-activating cis-elements in ENCODE4. It has been reported that cis-elements surrounding a TF could have small effect on the TF expression, but the effect could be amplified in the downstream targets of the TF {Li, 2013 23374354}. Therefore, for cis-elements surrounding TFs or CRs, we will examine the TF/CR downstream targets </w:t>
      </w:r>
      <w:r w:rsidDel="00000000" w:rsidR="00000000" w:rsidRPr="00000000">
        <w:rPr>
          <w:rFonts w:ascii="Arial" w:cs="Arial" w:eastAsia="Arial" w:hAnsi="Arial"/>
          <w:b w:val="1"/>
          <w:sz w:val="22"/>
          <w:szCs w:val="22"/>
          <w:highlight w:val="yellow"/>
          <w:rtl w:val="0"/>
        </w:rPr>
        <w:t xml:space="preserve">(Section 2 above) </w:t>
      </w:r>
      <w:r w:rsidDel="00000000" w:rsidR="00000000" w:rsidRPr="00000000">
        <w:rPr>
          <w:rFonts w:ascii="Arial" w:cs="Arial" w:eastAsia="Arial" w:hAnsi="Arial"/>
          <w:sz w:val="22"/>
          <w:szCs w:val="22"/>
          <w:highlight w:val="yellow"/>
          <w:rtl w:val="0"/>
        </w:rPr>
        <w:t xml:space="preserve">and use the signal correlation between the target transcript and the cis-element to annotate the trans-effect of the cis-elements and enhance the cis-effect of the element on the TF / CR. These predictions could be experimentally validated by in vivo CRISPR enhancer screens by experimental laboratories within or without the ENCODE4 consortium.</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tabs>
          <w:tab w:val="left" w:pos="0"/>
        </w:tabs>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rtl w:val="0"/>
        </w:rPr>
        <w:t xml:space="preserve">Aim 3. Serving as an informatics resource by supporting the activities of the ENCODE Analysis Working Group (AWG)</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3.1 Assist the AWG in defining and prioritizing integrative analysis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With the large amount of data generated by the ENCODE production groups, it is particularly important to prioritize and accurately define the types of computational analyses performed by the Consortium. Therefore, we will work very closely with the AWG to coordinate activity of the DAC. The AWG will formulate the most important and informative biological questions and the DAC will assist with the prioritization by providing feedback on resource and time requirements.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Following directions set by the AWG and coordinating with the DCC, data producers, and other Consortium members involved in computational analysis, the DAC will develop infrastructure for processing, analysis, and integration of ENCODE data. The leadership will assign new AWG requests to one or more components of the DAC. Depending on the type of analysis and data, the DAC investigation groups will assess existing or develop new tools and build computational frameworks for processing and analysis of the data. The DAC will provide the DCC with robust pipelines for automated processing and analysis of subsequent datasets generated by the production groups.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To facilitate this close interaction with the AWG (as well as other members of the Consortium), we will organize bi-weekly conference calls. The DAC will report on progress on active tasks and receive new tasks from the AWG. For the latter, the DAC will provide assessments of resource requirements, suggest specific groups to work on the task, and estimate time-lines, thus assisting the AWG in prioritization of current and future analysis directions. The DAC will be entirely open to communication and collaborations with other Consortium members and allow their participation in any analysis.</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sz w:val="22"/>
          <w:szCs w:val="22"/>
          <w:highlight w:val="white"/>
          <w:rtl w:val="0"/>
        </w:rPr>
        <w:t xml:space="preserve">3.2 Define and further develop uniform processing pipelines for major ENCODE data types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Thousands</w:t>
      </w:r>
      <w:r w:rsidDel="00000000" w:rsidR="00000000" w:rsidRPr="00000000">
        <w:rPr>
          <w:rFonts w:ascii="Arial" w:cs="Arial" w:eastAsia="Arial" w:hAnsi="Arial"/>
          <w:sz w:val="22"/>
          <w:szCs w:val="22"/>
          <w:rtl w:val="0"/>
        </w:rPr>
        <w:t xml:space="preserve"> of functional genomic experiments have been performed as part of the ENCODE consortium. Gaining novel biological insights using integrative analyses of these data sets relies on the fact that they are  processed using an accurate and consistent pipeline. As part of these efforts, we have developed standardized pipelines for processing various functional genomic data sets such as RNA-seq and TF ChIP-Seq experiments during previous rounds of the ENCODE project. During this work, the DAC has developed guidelines and practises that are used to assess the accuracy and replicability of each experiment. These pipelines are developed in consultation with members of different working groups. The pipelines are available to the larger scientific community through a github portal as well as through Docker installations.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These pipelines and quality metrics will will continue to be evaluated and developed further with the new experimental data sets and the uniform processing pipelines will be used to process RNA-Seq, whole genome bisulfite-seq, and TF ChIP-Seq data sets during ENCODE4.  The DAC will also work with various working groups to develop new uniform processing pipelines and quality metrics for broad peak callers as well as other functional genomic experiments used in ENCODE4 such as CLIP-seq and Hi-C.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In particular, t</w:t>
      </w:r>
      <w:r w:rsidDel="00000000" w:rsidR="00000000" w:rsidRPr="00000000">
        <w:rPr>
          <w:rFonts w:ascii="Arial" w:cs="Arial" w:eastAsia="Arial" w:hAnsi="Arial"/>
          <w:sz w:val="22"/>
          <w:szCs w:val="22"/>
          <w:rtl w:val="0"/>
        </w:rPr>
        <w:t xml:space="preserve">o facilitate the integrative analysis of the ENCODE datasets produced by different groups, we will develop and evaluate methods for uniform data processing for all common platforms, e.g., ChIP-seq, RNA-seq, DNase-seq, FRIP-seq, eCLIP-seq, and Hi-C.  We have already worked with various working groups during previous rounds of the ENCODE consortium to develop standardized reproducible pipelines for RNA-Seq, WGBS, and TF ChIP-Seq. During these efforts, we have developed various quality metrics to assess the accuracy of each assay as well as tested and developed various steps to accurately process each data set in a uniform fashion using standardized pipelines. While the RNA-seq processes the raw data and estimates transcript expression,  the ChIP-seq pipeline also calculates the reproducible peaks for TF binding based on the aligned reads.  </w:t>
      </w:r>
      <w:r w:rsidDel="00000000" w:rsidR="00000000" w:rsidRPr="00000000">
        <w:rPr>
          <w:rFonts w:ascii="Arial" w:cs="Arial" w:eastAsia="Arial" w:hAnsi="Arial"/>
          <w:sz w:val="22"/>
          <w:szCs w:val="22"/>
          <w:highlight w:val="white"/>
          <w:rtl w:val="0"/>
        </w:rPr>
        <w:t xml:space="preserve">The current guidelines also address antibody validation, experimental replication, sequencing depth, data and metadata reporting, and data quality assessment. </w:t>
      </w:r>
      <w:r w:rsidDel="00000000" w:rsidR="00000000" w:rsidRPr="00000000">
        <w:rPr>
          <w:rFonts w:ascii="Arial" w:cs="Arial" w:eastAsia="Arial" w:hAnsi="Arial"/>
          <w:sz w:val="22"/>
          <w:szCs w:val="22"/>
          <w:rtl w:val="0"/>
        </w:rPr>
        <w:t xml:space="preserve">We have also worked with other international consortia such as IHEC and ICGC to ensure that the data sets produced from different consortia are processed in a similar fashion and the data sets from different consortia are comparable to one another. The TF ChIP-Seq and RNA-Seq pipelines developed during ENCODE3 will be used to process all the ENCODE4 data sets as well after assessing their performance on the new data sets.</w:t>
      </w: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highlight w:val="white"/>
          <w:rtl w:val="0"/>
        </w:rPr>
        <w:t xml:space="preserve">Below we give an overview of the current state of ENCODE3 pipelines and the work that is planned for ENCODE4. </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sz w:val="22"/>
          <w:szCs w:val="22"/>
          <w:highlight w:val="white"/>
          <w:u w:val="single"/>
          <w:rtl w:val="0"/>
        </w:rPr>
        <w:t xml:space="preserve">3.2.1 RNA-seq pipeline </w:t>
      </w:r>
      <w:r w:rsidDel="00000000" w:rsidR="00000000" w:rsidRPr="00000000">
        <w:rPr>
          <w:rtl w:val="0"/>
        </w:rPr>
      </w:r>
    </w:p>
    <w:p w:rsidR="00000000" w:rsidDel="00000000" w:rsidP="00000000" w:rsidRDefault="00000000" w:rsidRPr="00000000">
      <w:pPr>
        <w:spacing w:after="280" w:before="0" w:line="240" w:lineRule="auto"/>
        <w:contextualSpacing w:val="0"/>
      </w:pPr>
      <w:r w:rsidDel="00000000" w:rsidR="00000000" w:rsidRPr="00000000">
        <w:rPr>
          <w:rFonts w:ascii="Arial" w:cs="Arial" w:eastAsia="Arial" w:hAnsi="Arial"/>
          <w:sz w:val="22"/>
          <w:szCs w:val="22"/>
          <w:rtl w:val="0"/>
        </w:rPr>
        <w:t xml:space="preserve">The Guigo lab has designed and implemented a number of tools complementary to those described above. Among these, the lab has recently focused on the development of GRAPE, a robust, efficient and scalable open source software system for the storage, organization, access, and analysis of RNASeq data [Knowles D.G., 2013 PMID: 23329413] (</w:t>
      </w:r>
      <w:hyperlink r:id="rId67">
        <w:r w:rsidDel="00000000" w:rsidR="00000000" w:rsidRPr="00000000">
          <w:rPr>
            <w:rFonts w:ascii="Arial" w:cs="Arial" w:eastAsia="Arial" w:hAnsi="Arial"/>
            <w:sz w:val="22"/>
            <w:szCs w:val="22"/>
            <w:rtl w:val="0"/>
          </w:rPr>
          <w:t xml:space="preserve">https://github.com/guigolab/grape-nf</w:t>
        </w:r>
      </w:hyperlink>
      <w:r w:rsidDel="00000000" w:rsidR="00000000" w:rsidRPr="00000000">
        <w:rPr>
          <w:rFonts w:ascii="Arial" w:cs="Arial" w:eastAsia="Arial" w:hAnsi="Arial"/>
          <w:sz w:val="22"/>
          <w:szCs w:val="22"/>
          <w:rtl w:val="0"/>
        </w:rPr>
        <w:t xml:space="preserve">). The most recent version of GRAPE has been implemented using the Nextflow (</w:t>
      </w:r>
      <w:hyperlink r:id="rId68">
        <w:r w:rsidDel="00000000" w:rsidR="00000000" w:rsidRPr="00000000">
          <w:rPr>
            <w:rFonts w:ascii="Arial" w:cs="Arial" w:eastAsia="Arial" w:hAnsi="Arial"/>
            <w:color w:val="1155cc"/>
            <w:sz w:val="22"/>
            <w:szCs w:val="22"/>
            <w:rtl w:val="0"/>
          </w:rPr>
          <w:t xml:space="preserve">http://www.nextflow.io</w:t>
        </w:r>
      </w:hyperlink>
      <w:r w:rsidDel="00000000" w:rsidR="00000000" w:rsidRPr="00000000">
        <w:rPr>
          <w:rFonts w:ascii="Arial" w:cs="Arial" w:eastAsia="Arial" w:hAnsi="Arial"/>
          <w:sz w:val="22"/>
          <w:szCs w:val="22"/>
          <w:rtl w:val="0"/>
        </w:rPr>
        <w:t xml:space="preserve">) and the Docker (</w:t>
      </w:r>
      <w:hyperlink r:id="rId69">
        <w:r w:rsidDel="00000000" w:rsidR="00000000" w:rsidRPr="00000000">
          <w:rPr>
            <w:rFonts w:ascii="Arial" w:cs="Arial" w:eastAsia="Arial" w:hAnsi="Arial"/>
            <w:color w:val="1155cc"/>
            <w:sz w:val="22"/>
            <w:szCs w:val="22"/>
            <w:rtl w:val="0"/>
          </w:rPr>
          <w:t xml:space="preserve">https://www.docker.com/</w:t>
        </w:r>
      </w:hyperlink>
      <w:r w:rsidDel="00000000" w:rsidR="00000000" w:rsidRPr="00000000">
        <w:rPr>
          <w:rFonts w:ascii="Arial" w:cs="Arial" w:eastAsia="Arial" w:hAnsi="Arial"/>
          <w:sz w:val="22"/>
          <w:szCs w:val="22"/>
          <w:rtl w:val="0"/>
        </w:rPr>
        <w:t xml:space="preserve">) technologies. Nextflow is a domain specific language (DSL) for computational pipelines based on the Dataflow concurrency model which allows implicit task parallelization. Moreover, it supports the Docker container technology for improved reproducibility and software deployment, which allows effortless distribution and installation of the pipelines to different environments. The ENCODE3 pipeline, based on STAR [Dobin A., 2015 PMID: 26334920 ] for read mapping and RSEM [Li B., 2011 PubMed PMID: 21816040] for transcript quantification has been implemented within GRAPE, and can be seamesly deployed at any site supporting Docker. </w:t>
      </w:r>
    </w:p>
    <w:p w:rsidR="00000000" w:rsidDel="00000000" w:rsidP="00000000" w:rsidRDefault="00000000" w:rsidRPr="00000000">
      <w:pPr>
        <w:spacing w:after="280" w:line="240" w:lineRule="auto"/>
        <w:contextualSpacing w:val="0"/>
      </w:pPr>
      <w:r w:rsidDel="00000000" w:rsidR="00000000" w:rsidRPr="00000000">
        <w:rPr>
          <w:rFonts w:ascii="Arial" w:cs="Arial" w:eastAsia="Arial" w:hAnsi="Arial"/>
          <w:sz w:val="22"/>
          <w:szCs w:val="22"/>
          <w:rtl w:val="0"/>
        </w:rPr>
        <w:t xml:space="preserve">During ENCODE3, the Guigo and Gerstein labs have been very active in the development of the ENCODE3 pipeline itself. The prototype of the pipeline was developed, working closely with the ENCODE DCC and with Alex Dobin from CSHL. Extensive testing was done to guarantee reproducibility of the pipeline results independently from the computational platform used. The lab participated actively in the initial benchmark of the pipeline and it participates on its ongoing evaluation. The Gerstein, Guigo, and Irizarry labs worked closely with the RNA working group (co-chaired by Tom Gingeras and Brenton Graveley) and organized a benchmarking experiment to evaluate the RNA-seq pipeline for ENCODE3. The lab is currently involved on modulating these metrics depending on the biological nature of the samples analyzed. It is becoming clear that the criteria for reproducibility should not be identical when comparing replicates from isogenic samples, such as those originated from cell lines, than when comparing replicates  of more different biological source, such as those from tissues obtained in different individuals. To develop the appropriate metrics threshold, the Guigo lab is extensively analyzing data produced by the GTEx project, where RNASeq is produced in tissue samples from multiple donors (Figure XX). The aim is to produce the appropriate background distribution for the metrics depending on the biological source. </w:t>
      </w:r>
    </w:p>
    <w:p w:rsidR="00000000" w:rsidDel="00000000" w:rsidP="00000000" w:rsidRDefault="00000000" w:rsidRPr="00000000">
      <w:pPr>
        <w:spacing w:after="280" w:line="240" w:lineRule="auto"/>
        <w:contextualSpacing w:val="0"/>
      </w:pPr>
      <w:r w:rsidDel="00000000" w:rsidR="00000000" w:rsidRPr="00000000">
        <w:rPr>
          <w:rtl w:val="0"/>
        </w:rPr>
      </w:r>
    </w:p>
    <w:p w:rsidR="00000000" w:rsidDel="00000000" w:rsidP="00000000" w:rsidRDefault="00000000" w:rsidRPr="00000000">
      <w:pPr>
        <w:spacing w:after="280" w:line="240" w:lineRule="auto"/>
        <w:contextualSpacing w:val="0"/>
      </w:pPr>
      <w:r w:rsidDel="00000000" w:rsidR="00000000" w:rsidRPr="00000000">
        <w:rPr>
          <w:rtl w:val="0"/>
        </w:rPr>
      </w:r>
    </w:p>
    <w:p w:rsidR="00000000" w:rsidDel="00000000" w:rsidP="00000000" w:rsidRDefault="00000000" w:rsidRPr="00000000">
      <w:pPr>
        <w:spacing w:after="280" w:line="240" w:lineRule="auto"/>
        <w:contextualSpacing w:val="0"/>
      </w:pPr>
      <w:r w:rsidDel="00000000" w:rsidR="00000000" w:rsidRPr="00000000">
        <w:rPr>
          <w:rtl w:val="0"/>
        </w:rPr>
      </w:r>
    </w:p>
    <w:p w:rsidR="00000000" w:rsidDel="00000000" w:rsidP="00000000" w:rsidRDefault="00000000" w:rsidRPr="00000000">
      <w:pPr>
        <w:spacing w:after="280" w:line="240" w:lineRule="auto"/>
        <w:contextualSpacing w:val="0"/>
      </w:pPr>
      <w:r w:rsidDel="00000000" w:rsidR="00000000" w:rsidRPr="00000000">
        <w:rPr>
          <w:rtl w:val="0"/>
        </w:rPr>
      </w:r>
    </w:p>
    <w:p w:rsidR="00000000" w:rsidDel="00000000" w:rsidP="00000000" w:rsidRDefault="00000000" w:rsidRPr="00000000">
      <w:pPr>
        <w:spacing w:after="280" w:before="280" w:lineRule="auto"/>
        <w:contextualSpacing w:val="0"/>
      </w:pPr>
      <w:r w:rsidDel="00000000" w:rsidR="00000000" w:rsidRPr="00000000">
        <w:rPr>
          <w:rtl w:val="0"/>
        </w:rPr>
      </w:r>
    </w:p>
    <w:p w:rsidR="00000000" w:rsidDel="00000000" w:rsidP="00000000" w:rsidRDefault="00000000" w:rsidRPr="00000000">
      <w:pPr>
        <w:spacing w:after="280" w:before="280" w:lineRule="auto"/>
        <w:contextualSpacing w:val="0"/>
      </w:pPr>
      <w:r w:rsidDel="00000000" w:rsidR="00000000" w:rsidRPr="00000000">
        <w:rPr>
          <w:rtl w:val="0"/>
        </w:rPr>
      </w:r>
    </w:p>
    <w:p w:rsidR="00000000" w:rsidDel="00000000" w:rsidP="00000000" w:rsidRDefault="00000000" w:rsidRPr="00000000">
      <w:pPr>
        <w:spacing w:after="280" w:before="280" w:lineRule="auto"/>
        <w:contextualSpacing w:val="0"/>
      </w:pPr>
      <w:r w:rsidDel="00000000" w:rsidR="00000000" w:rsidRPr="00000000">
        <w:drawing>
          <wp:inline distB="114300" distT="114300" distL="114300" distR="114300">
            <wp:extent cx="2395538" cy="3826770"/>
            <wp:effectExtent b="0" l="0" r="0" t="0"/>
            <wp:docPr descr="madscore.plot.png" id="2" name="image53.png"/>
            <a:graphic>
              <a:graphicData uri="http://schemas.openxmlformats.org/drawingml/2006/picture">
                <pic:pic>
                  <pic:nvPicPr>
                    <pic:cNvPr descr="madscore.plot.png" id="0" name="image53.png"/>
                    <pic:cNvPicPr preferRelativeResize="0"/>
                  </pic:nvPicPr>
                  <pic:blipFill>
                    <a:blip r:embed="rId70"/>
                    <a:srcRect b="0" l="0" r="0" t="0"/>
                    <a:stretch>
                      <a:fillRect/>
                    </a:stretch>
                  </pic:blipFill>
                  <pic:spPr>
                    <a:xfrm>
                      <a:off x="0" y="0"/>
                      <a:ext cx="2395538" cy="3826770"/>
                    </a:xfrm>
                    <a:prstGeom prst="rect"/>
                    <a:ln/>
                  </pic:spPr>
                </pic:pic>
              </a:graphicData>
            </a:graphic>
          </wp:inline>
        </w:drawing>
      </w:r>
      <w:r w:rsidDel="00000000" w:rsidR="00000000" w:rsidRPr="00000000">
        <w:rPr>
          <w:rtl w:val="0"/>
        </w:rPr>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F</w:t>
      </w:r>
      <w:r w:rsidDel="00000000" w:rsidR="00000000" w:rsidRPr="00000000">
        <w:rPr>
          <w:rFonts w:ascii="Arial" w:cs="Arial" w:eastAsia="Arial" w:hAnsi="Arial"/>
          <w:b w:val="1"/>
          <w:sz w:val="22"/>
          <w:szCs w:val="22"/>
          <w:rtl w:val="0"/>
        </w:rPr>
        <w:t xml:space="preserve">igure XX.</w:t>
      </w:r>
      <w:r w:rsidDel="00000000" w:rsidR="00000000" w:rsidRPr="00000000">
        <w:rPr>
          <w:rFonts w:ascii="Arial" w:cs="Arial" w:eastAsia="Arial" w:hAnsi="Arial"/>
          <w:sz w:val="22"/>
          <w:szCs w:val="22"/>
          <w:rtl w:val="0"/>
        </w:rPr>
        <w:t xml:space="preserve"> Distribution </w:t>
      </w:r>
      <w:r w:rsidDel="00000000" w:rsidR="00000000" w:rsidRPr="00000000">
        <w:rPr>
          <w:rFonts w:ascii="Arial" w:cs="Arial" w:eastAsia="Arial" w:hAnsi="Arial"/>
          <w:sz w:val="22"/>
          <w:szCs w:val="22"/>
          <w:rtl w:val="0"/>
        </w:rPr>
        <w:t xml:space="preserve">of MAD scores (a measure of inter-replica reproducibility). The MAD score is lower for immortalized cell lines than primary cells than tissues, where the distribution is comparable to that of GTEx.  The dashed red line indicates the median.</w:t>
      </w:r>
    </w:p>
    <w:p w:rsidR="00000000" w:rsidDel="00000000" w:rsidP="00000000" w:rsidRDefault="00000000" w:rsidRPr="00000000">
      <w:pPr>
        <w:spacing w:after="280" w:line="240" w:lineRule="auto"/>
        <w:contextualSpacing w:val="0"/>
      </w:pPr>
      <w:r w:rsidDel="00000000" w:rsidR="00000000" w:rsidRPr="00000000">
        <w:rPr>
          <w:rFonts w:ascii="Arial" w:cs="Arial" w:eastAsia="Arial" w:hAnsi="Arial"/>
          <w:sz w:val="22"/>
          <w:szCs w:val="22"/>
          <w:rtl w:val="0"/>
        </w:rPr>
        <w:t xml:space="preserve">In addition, work is being done to harmonize RNA-seq processing pipelines across different projects.  Thus, the Gerstein lab is working closely with the transcriptome working group in the ICGC/PCAWG project and is harmonizing the processing of RNA-seq data sets across the ENCODE and ICGC consortia. The distribution of the reproducibility metrics scores across these samples can also be used, as in the case of GTEx,  as a guide to set the appropriate reproducibility thresholds for the ENCODE samples. Similarly, the Guigo lab, on the other hand, has been working with the Blueprint consortium (the European component of IHEC) to compare RNA-seq pipelines, and as a results, the consortium has adopted the ENCODE RNA-seq pipeline. </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rtl w:val="0"/>
        </w:rPr>
        <w:t xml:space="preserve">The current RNA-seq pipeline focus on gene (and transcript) quantification. However, there are other biologically relevant measures that can be extracted from RNA-seq data, such as the use of alternative Transcription Start and Termination Sites (TSS and TTS), but most notably, the usage of alternative exons. The Guigo lab has been involved in the implementation of the Integrated Pipeline for Splicing Analysis (IPSA) pipeline for detection and quantification of splice junctions (</w:t>
      </w:r>
      <w:hyperlink r:id="rId71">
        <w:r w:rsidDel="00000000" w:rsidR="00000000" w:rsidRPr="00000000">
          <w:rPr>
            <w:rFonts w:ascii="Arial" w:cs="Arial" w:eastAsia="Arial" w:hAnsi="Arial"/>
            <w:color w:val="1155cc"/>
            <w:sz w:val="22"/>
            <w:szCs w:val="22"/>
            <w:u w:val="single"/>
            <w:rtl w:val="0"/>
          </w:rPr>
          <w:t xml:space="preserve">https://github.com/pervouchine/ipsa</w:t>
        </w:r>
      </w:hyperlink>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sz w:val="22"/>
          <w:szCs w:val="22"/>
          <w:rtl w:val="0"/>
        </w:rPr>
        <w:t xml:space="preserve">IPSA is designed to provide a uniform and standardized processing protocol for different types of RNA-seq data, including stranded and unstranded data, data with or without biological replicates, etc. Its mission is to count split-mapped alignments corresponding to annotated and novel introns in a position-specific manner. Read counts are aggregated over offsets for each intron using Shannon entropy to control for the support level by distinct staggered positions and to exclude artefactual large counts. Introns receive a number of descriptors reflecting the annotation status, splice site nucleotides, and read counts in support of splicing as well as local intron retention at each splice site. These descriptors are used to compute PSI (percent-spliced-in) metric for exons and introns and coSI (completeness of splicing index). The results of ISPA were compared to exon inclusion rates computed by the MISO software on the set of ~15K human cassette exons and the results were consistent (Pearson correlation r=0.91). An earlier branch of the pipeline was applied to the comparative analysis of conservation of splicing events between human and mouse by using ENCODE2 and Mouse ENCODE data (</w:t>
      </w:r>
      <w:hyperlink r:id="rId72">
        <w:r w:rsidDel="00000000" w:rsidR="00000000" w:rsidRPr="00000000">
          <w:rPr>
            <w:rFonts w:ascii="Arial" w:cs="Arial" w:eastAsia="Arial" w:hAnsi="Arial"/>
            <w:color w:val="1155cc"/>
            <w:sz w:val="22"/>
            <w:szCs w:val="22"/>
            <w:u w:val="single"/>
            <w:rtl w:val="0"/>
          </w:rPr>
          <w:t xml:space="preserve">https://github.com/pervouchine/hm-splice-pipe</w:t>
        </w:r>
      </w:hyperlink>
      <w:r w:rsidDel="00000000" w:rsidR="00000000" w:rsidRPr="00000000">
        <w:rPr>
          <w:rFonts w:ascii="Arial" w:cs="Arial" w:eastAsia="Arial" w:hAnsi="Arial"/>
          <w:sz w:val="22"/>
          <w:szCs w:val="22"/>
          <w:rtl w:val="0"/>
        </w:rPr>
        <w:t xml:space="preserve">).</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3.2.2 Pipeline for analyzing ChIP-seq data of transcription factors</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During ENCODE3, the DAC has worked closely with the Binding Working Group in ENCODE to define and prototype a state-of-the-art computational analysis pipelines for transcription factor (TF) ChIP-seq data. Changes in protocols for generating and methods for analyzing TF ChIP-seq data required us to revise the well-established and robust ENCODE2 pipeline. Particularly, the pipeline needed to be updated to analyze paired-end (PE) data which was not generated in ENCODE2. We also updated the pipeline to include some of the latest computational peak calling algorithms that substantially improve the resolution and accuracy of TF binding site identification. The DAC (Kundaje) in collaboration with the Bickel lab also developed a new implementation of the Irreproducible Discovery Rate (IDR) framework {Li, 2011, </w:t>
      </w:r>
      <w:hyperlink r:id="rId73">
        <w:r w:rsidDel="00000000" w:rsidR="00000000" w:rsidRPr="00000000">
          <w:rPr>
            <w:rFonts w:ascii="Arial" w:cs="Arial" w:eastAsia="Arial" w:hAnsi="Arial"/>
            <w:color w:val="1155cc"/>
            <w:sz w:val="22"/>
            <w:szCs w:val="22"/>
            <w:u w:val="single"/>
            <w:rtl w:val="0"/>
          </w:rPr>
          <w:t xml:space="preserve">http://projecteuclid.org/euclid.aoas/1318514284</w:t>
        </w:r>
      </w:hyperlink>
      <w:r w:rsidDel="00000000" w:rsidR="00000000" w:rsidRPr="00000000">
        <w:rPr>
          <w:rFonts w:ascii="Arial" w:cs="Arial" w:eastAsia="Arial" w:hAnsi="Arial"/>
          <w:sz w:val="22"/>
          <w:szCs w:val="22"/>
          <w:rtl w:val="0"/>
        </w:rPr>
        <w:t xml:space="preserve">} for evaluating and thresholding datasets based on reproducibility (</w:t>
      </w:r>
      <w:hyperlink r:id="rId74">
        <w:r w:rsidDel="00000000" w:rsidR="00000000" w:rsidRPr="00000000">
          <w:rPr>
            <w:rFonts w:ascii="Arial" w:cs="Arial" w:eastAsia="Arial" w:hAnsi="Arial"/>
            <w:color w:val="1155cc"/>
            <w:sz w:val="22"/>
            <w:szCs w:val="22"/>
            <w:u w:val="single"/>
            <w:rtl w:val="0"/>
          </w:rPr>
          <w:t xml:space="preserve">https://github.com/nboley/idr</w:t>
        </w:r>
      </w:hyperlink>
      <w:r w:rsidDel="00000000" w:rsidR="00000000" w:rsidRPr="00000000">
        <w:rPr>
          <w:rFonts w:ascii="Arial" w:cs="Arial" w:eastAsia="Arial" w:hAnsi="Arial"/>
          <w:sz w:val="22"/>
          <w:szCs w:val="22"/>
          <w:rtl w:val="0"/>
        </w:rPr>
        <w:t xml:space="preserve">). The implementation is a significant refactoring of the older implementation and is over 100x faster. An average run (comparison of 300K peaks across 2 replicates) now takes less than 2 minutes. This collaboration is just one example of the many productive interactions between the DAC and computational groups and will be continued in DAC4 (see the support letter from Drs. Bickel and Brown, and the support letter from Dr. Keles, the PI of another computational PI).</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drawing>
          <wp:inline distB="114300" distT="114300" distL="114300" distR="114300">
            <wp:extent cx="3034937" cy="2082800"/>
            <wp:effectExtent b="0" l="0" r="0" t="0"/>
            <wp:docPr id="27" name="image79.png"/>
            <a:graphic>
              <a:graphicData uri="http://schemas.openxmlformats.org/drawingml/2006/picture">
                <pic:pic>
                  <pic:nvPicPr>
                    <pic:cNvPr id="0" name="image79.png"/>
                    <pic:cNvPicPr preferRelativeResize="0"/>
                  </pic:nvPicPr>
                  <pic:blipFill>
                    <a:blip r:embed="rId75"/>
                    <a:srcRect b="0" l="0" r="0" t="0"/>
                    <a:stretch>
                      <a:fillRect/>
                    </a:stretch>
                  </pic:blipFill>
                  <pic:spPr>
                    <a:xfrm>
                      <a:off x="0" y="0"/>
                      <a:ext cx="3034937" cy="2082800"/>
                    </a:xfrm>
                    <a:prstGeom prst="rect"/>
                    <a:ln/>
                  </pic:spPr>
                </pic:pic>
              </a:graphicData>
            </a:graphic>
          </wp:inline>
        </w:drawing>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b w:val="1"/>
          <w:sz w:val="18"/>
          <w:szCs w:val="18"/>
          <w:rtl w:val="0"/>
        </w:rPr>
        <w:t xml:space="preserve">Fig. XXRep: The Irreproducible Discovery Rate (IDR) framework stabilizes peak calls across most peak callers. </w:t>
      </w:r>
      <w:r w:rsidDel="00000000" w:rsidR="00000000" w:rsidRPr="00000000">
        <w:rPr>
          <w:rFonts w:ascii="Arial" w:cs="Arial" w:eastAsia="Arial" w:hAnsi="Arial"/>
          <w:sz w:val="18"/>
          <w:szCs w:val="18"/>
          <w:rtl w:val="0"/>
        </w:rPr>
        <w:t xml:space="preserve">The results of peak calling with and without IDR for several popular peak callers are shown for a Pol2 ChIP-seq dataset in H1 embryonic stem cells. The default thresholds (shown in blue) for a majority of peak callers are highly unstable and indicate vast differences between peak callers. After IDR (shown in red), the results are significantly more similar across the peak callers.</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DAC (Kundaje) led a coordinated effort across multiple labs and the ENCODE Binding Working Group to systematically compare and evaluate 10 peak calling algorithms (</w:t>
      </w:r>
      <w:r w:rsidDel="00000000" w:rsidR="00000000" w:rsidRPr="00000000">
        <w:rPr>
          <w:rFonts w:ascii="Arial" w:cs="Arial" w:eastAsia="Arial" w:hAnsi="Arial"/>
          <w:b w:val="1"/>
          <w:rtl w:val="0"/>
        </w:rPr>
        <w:t xml:space="preserve">Fig XXRep)</w:t>
      </w:r>
      <w:r w:rsidDel="00000000" w:rsidR="00000000" w:rsidRPr="00000000">
        <w:rPr>
          <w:rFonts w:ascii="Arial" w:cs="Arial" w:eastAsia="Arial" w:hAnsi="Arial"/>
          <w:sz w:val="22"/>
          <w:szCs w:val="22"/>
          <w:rtl w:val="0"/>
        </w:rPr>
        <w:t xml:space="preserve">. A collection of benchmarking datasets were selected so as to span a diversity of TFs with different binding characteristics and data quality. The peak callers were evaluated based on 3 criteria: (1) reproducibility of peak calls across replicate datasets; (2) accuracy and resolution of peak calls by comparing predicted point binding sites to known motif locations; (3) the ability to deconvolve closely spaced and overlapping binding events. The evaluation analysis was conducted by Kundaje and two Computational groups (Keles and Gifford). After extensive analyses and discussions, the Binding Working Group converged on three robust peak callers (SPP, PeakSeq and GEM) that all scored well in the evaluations. Each of these have complementary properties. SPP (from Peter Park’s lab) and PeakSeq (from the Gerstein lab in the DAC) are both backward compatible with ENCODE2 and have been heavily tested. SPP explicitly takes into account read distributions accounting for peak shape. GEM (from the Gifford lab) explicitly deconvolves closely spaced binding events and integrates peak calling with motif discovery. PeakSeq uses a relatively different peak calling algorithm that adjusts well to highly punctate binding events and broader regions of enrichment.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In addition to reproducible, high precision peak calls, the ENCODE3 pipeline generates numerous quality control measures and normalized signal tracks (</w:t>
      </w:r>
      <w:r w:rsidDel="00000000" w:rsidR="00000000" w:rsidRPr="00000000">
        <w:rPr>
          <w:rFonts w:ascii="Arial" w:cs="Arial" w:eastAsia="Arial" w:hAnsi="Arial"/>
          <w:b w:val="1"/>
          <w:sz w:val="22"/>
          <w:szCs w:val="22"/>
          <w:rtl w:val="0"/>
        </w:rPr>
        <w:t xml:space="preserve">Fig. XXChIP</w:t>
      </w:r>
      <w:r w:rsidDel="00000000" w:rsidR="00000000" w:rsidRPr="00000000">
        <w:rPr>
          <w:rFonts w:ascii="Arial" w:cs="Arial" w:eastAsia="Arial" w:hAnsi="Arial"/>
          <w:sz w:val="22"/>
          <w:szCs w:val="22"/>
          <w:rtl w:val="0"/>
        </w:rPr>
        <w:t xml:space="preserve">). The Kundaje lab developed a free, open-source implementation of the pipeline specification </w:t>
      </w:r>
      <w:hyperlink r:id="rId76">
        <w:r w:rsidDel="00000000" w:rsidR="00000000" w:rsidRPr="00000000">
          <w:rPr>
            <w:rFonts w:ascii="Arial" w:cs="Arial" w:eastAsia="Arial" w:hAnsi="Arial"/>
            <w:color w:val="1155cc"/>
            <w:sz w:val="22"/>
            <w:szCs w:val="22"/>
            <w:u w:val="single"/>
            <w:rtl w:val="0"/>
          </w:rPr>
          <w:t xml:space="preserve">https://github.com/kundajelab/TF_chipseq_pipeline</w:t>
        </w:r>
      </w:hyperlink>
      <w:r w:rsidDel="00000000" w:rsidR="00000000" w:rsidRPr="00000000">
        <w:rPr>
          <w:rFonts w:ascii="Arial" w:cs="Arial" w:eastAsia="Arial" w:hAnsi="Arial"/>
          <w:sz w:val="22"/>
          <w:szCs w:val="22"/>
          <w:rtl w:val="0"/>
        </w:rPr>
        <w:t xml:space="preserve"> which is a mirror of the open-source official pipeline implemented by the Data Coordination Center on the cloud-based DNAnexus platform. A publication on the protocol specification of the ENCODE3 TF ChIP-seq pipeline is currently in revision at </w:t>
      </w:r>
      <w:r w:rsidDel="00000000" w:rsidR="00000000" w:rsidRPr="00000000">
        <w:rPr>
          <w:rFonts w:ascii="Arial" w:cs="Arial" w:eastAsia="Arial" w:hAnsi="Arial"/>
          <w:i w:val="1"/>
          <w:sz w:val="22"/>
          <w:szCs w:val="22"/>
          <w:rtl w:val="0"/>
        </w:rPr>
        <w:t xml:space="preserve">Nature Protocols</w:t>
      </w:r>
      <w:r w:rsidDel="00000000" w:rsidR="00000000" w:rsidRPr="00000000">
        <w:rPr>
          <w:rFonts w:ascii="Arial" w:cs="Arial" w:eastAsia="Arial" w:hAnsi="Arial"/>
          <w:sz w:val="22"/>
          <w:szCs w:val="22"/>
          <w:rtl w:val="0"/>
        </w:rPr>
        <w:t xml:space="preserve">. The key steps of the pipeline are summarized in </w:t>
      </w:r>
      <w:r w:rsidDel="00000000" w:rsidR="00000000" w:rsidRPr="00000000">
        <w:rPr>
          <w:rFonts w:ascii="Arial" w:cs="Arial" w:eastAsia="Arial" w:hAnsi="Arial"/>
          <w:b w:val="1"/>
          <w:sz w:val="22"/>
          <w:szCs w:val="22"/>
          <w:rtl w:val="0"/>
        </w:rPr>
        <w:t xml:space="preserve">Fig. XXXChIP</w:t>
      </w:r>
      <w:r w:rsidDel="00000000" w:rsidR="00000000" w:rsidRPr="00000000">
        <w:rPr>
          <w:rFonts w:ascii="Arial" w:cs="Arial" w:eastAsia="Arial" w:hAnsi="Arial"/>
          <w:sz w:val="22"/>
          <w:szCs w:val="22"/>
          <w:rtl w:val="0"/>
        </w:rPr>
        <w:t xml:space="preserve">.</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114300" distT="114300" distL="114300" distR="114300">
            <wp:extent cx="4513235" cy="2654300"/>
            <wp:effectExtent b="0" l="0" r="0" t="0"/>
            <wp:docPr id="49" name="image103.png"/>
            <a:graphic>
              <a:graphicData uri="http://schemas.openxmlformats.org/drawingml/2006/picture">
                <pic:pic>
                  <pic:nvPicPr>
                    <pic:cNvPr id="0" name="image103.png"/>
                    <pic:cNvPicPr preferRelativeResize="0"/>
                  </pic:nvPicPr>
                  <pic:blipFill>
                    <a:blip r:embed="rId77"/>
                    <a:srcRect b="0" l="0" r="0" t="0"/>
                    <a:stretch>
                      <a:fillRect/>
                    </a:stretch>
                  </pic:blipFill>
                  <pic:spPr>
                    <a:xfrm>
                      <a:off x="0" y="0"/>
                      <a:ext cx="4513235" cy="2654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color w:val="333333"/>
          <w:sz w:val="20"/>
          <w:szCs w:val="20"/>
          <w:highlight w:val="white"/>
          <w:rtl w:val="0"/>
        </w:rPr>
        <w:t xml:space="preserve">Fig. XXChIP: Schematic of TF ChIP-seq pipeline.</w:t>
      </w:r>
      <w:r w:rsidDel="00000000" w:rsidR="00000000" w:rsidRPr="00000000">
        <w:rPr>
          <w:rFonts w:ascii="Arial" w:cs="Arial" w:eastAsia="Arial" w:hAnsi="Arial"/>
          <w:color w:val="333333"/>
          <w:sz w:val="20"/>
          <w:szCs w:val="20"/>
          <w:highlight w:val="white"/>
          <w:rtl w:val="0"/>
        </w:rPr>
        <w:t xml:space="preserve"> </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Briefly, FASTQC is used to check read quality in FASTQ files. ChIP and control FASTQ files are aligned to a reference genome with the BWA aligner. Reads are filtered based on mapping quality. PICARD is used to filter PCR and optical duplicate reads. Three peak callers are used with relaxed thresholds to call a large number of peaks that span true signal as well as noise. Peaks are ranked using the signal score computed by SPP, which combines enrichment of ChIP over control with a penalty for binding site shape. The IDR framework is then used to obtain optimal thresholds for determining high-confidence peaks, which are the peaks that are ranked at the top based on signal scores and are have consistent ranks across all replicates. Because the IDR thresholds are bound by the lowest quality replicate, we have designed a rescue strategy in case one replicate in a dataset is significantly worse than other replicates. We first </w:t>
      </w:r>
      <w:r w:rsidDel="00000000" w:rsidR="00000000" w:rsidRPr="00000000">
        <w:rPr>
          <w:rFonts w:ascii="Arial" w:cs="Arial" w:eastAsia="Arial" w:hAnsi="Arial"/>
          <w:sz w:val="22"/>
          <w:szCs w:val="22"/>
          <w:highlight w:val="white"/>
          <w:rtl w:val="0"/>
        </w:rPr>
        <w:t xml:space="preserve">pooled mapped reads across all replicates of a data set, and then randomly sampled (without replacement) to generate two pseudo-replicates with equal numbers of reads. These pseudo-replicates are then processed using the IDR. For data sets with replicates of differing data quality, the thresholds computed using pseudo-replicates are able to capture more peaks that showed statistically significant and visually compelling ChIP-seq signal in one replicate but not in the other. All peaks are then screened against specially curated empirical blacklists of genomic regions which have extremely high signal in input and other control data sets, open chromatin in all cell types, and extremely high ratios of multi-mapping to unique mapping reads in most datasets. A number of quality metrics for all replicate experiments of each data set are computed (green boxes in </w:t>
      </w:r>
      <w:r w:rsidDel="00000000" w:rsidR="00000000" w:rsidRPr="00000000">
        <w:rPr>
          <w:rFonts w:ascii="Arial" w:cs="Arial" w:eastAsia="Arial" w:hAnsi="Arial"/>
          <w:b w:val="1"/>
          <w:sz w:val="22"/>
          <w:szCs w:val="22"/>
          <w:highlight w:val="white"/>
          <w:rtl w:val="0"/>
        </w:rPr>
        <w:t xml:space="preserve">Fig. XXXChIP</w:t>
      </w:r>
      <w:r w:rsidDel="00000000" w:rsidR="00000000" w:rsidRPr="00000000">
        <w:rPr>
          <w:rFonts w:ascii="Arial" w:cs="Arial" w:eastAsia="Arial" w:hAnsi="Arial"/>
          <w:sz w:val="22"/>
          <w:szCs w:val="22"/>
          <w:highlight w:val="white"/>
          <w:rtl w:val="0"/>
        </w:rPr>
        <w:t xml:space="preserve">)</w:t>
      </w:r>
      <w:r w:rsidDel="00000000" w:rsidR="00000000" w:rsidRPr="00000000">
        <w:rPr>
          <w:rFonts w:ascii="Arial" w:cs="Arial" w:eastAsia="Arial" w:hAnsi="Arial"/>
          <w:sz w:val="22"/>
          <w:szCs w:val="22"/>
          <w:highlight w:val="white"/>
          <w:rtl w:val="0"/>
        </w:rPr>
        <w:t xml:space="preserve">. These metrics measure ChIP enrichment and signal-to-noise ratios, sequencing depth and library complexity and reproducibility of binding site identification. Finally we generate input/control normalized genome-wide signal track files for each ChIP-seq experiment using MACS2 (available at </w:t>
      </w:r>
      <w:hyperlink r:id="rId78">
        <w:r w:rsidDel="00000000" w:rsidR="00000000" w:rsidRPr="00000000">
          <w:rPr>
            <w:rFonts w:ascii="Arial" w:cs="Arial" w:eastAsia="Arial" w:hAnsi="Arial"/>
            <w:sz w:val="22"/>
            <w:szCs w:val="22"/>
            <w:highlight w:val="white"/>
            <w:u w:val="single"/>
            <w:rtl w:val="0"/>
          </w:rPr>
          <w:t xml:space="preserve">https://github.com/taoliu/MACS/</w:t>
        </w:r>
      </w:hyperlink>
      <w:r w:rsidDel="00000000" w:rsidR="00000000" w:rsidRPr="00000000">
        <w:rPr>
          <w:rFonts w:ascii="Arial" w:cs="Arial" w:eastAsia="Arial" w:hAnsi="Arial"/>
          <w:sz w:val="22"/>
          <w:szCs w:val="22"/>
          <w:highlight w:val="white"/>
          <w:rtl w:val="0"/>
        </w:rPr>
        <w:t xml:space="preserve">) on individual replicates and pooled data.</w:t>
        <w:br w:type="textWrapping"/>
      </w:r>
    </w:p>
    <w:p w:rsidR="00000000" w:rsidDel="00000000" w:rsidP="00000000" w:rsidRDefault="00000000" w:rsidRPr="00000000">
      <w:pPr>
        <w:contextualSpacing w:val="0"/>
        <w:jc w:val="both"/>
      </w:pPr>
      <w:commentRangeStart w:id="41"/>
      <w:r w:rsidDel="00000000" w:rsidR="00000000" w:rsidRPr="00000000">
        <w:rPr>
          <w:rFonts w:ascii="Arial" w:cs="Arial" w:eastAsia="Arial" w:hAnsi="Arial"/>
          <w:b w:val="1"/>
          <w:sz w:val="22"/>
          <w:szCs w:val="22"/>
          <w:highlight w:val="white"/>
          <w:rtl w:val="0"/>
        </w:rPr>
        <w:t xml:space="preserve">ChIP-seq quality control</w:t>
      </w:r>
      <w:commentRangeEnd w:id="41"/>
      <w:r w:rsidDel="00000000" w:rsidR="00000000" w:rsidRPr="00000000">
        <w:commentReference w:id="41"/>
      </w:r>
      <w:r w:rsidDel="00000000" w:rsidR="00000000" w:rsidRPr="00000000">
        <w:rPr>
          <w:rFonts w:ascii="Arial" w:cs="Arial" w:eastAsia="Arial" w:hAnsi="Arial"/>
          <w:sz w:val="22"/>
          <w:szCs w:val="22"/>
          <w:highlight w:val="white"/>
          <w:rtl w:val="0"/>
        </w:rPr>
        <w:br w:type="textWrapping"/>
        <w:t xml:space="preserve">A number of quality metrics for all replicate experiments of each data set are computed. In brief, these metrics measure ChIP enrichment and signal-to-noise ratios, sequencing depth and library complexity and reproducibility of binding site identification. Experiments that do not pass ENCODE standards are discarded and repeated unless the sample is deemed infeasible. The key quality control metrics are as follows</w:t>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i w:val="1"/>
          <w:sz w:val="22"/>
          <w:szCs w:val="22"/>
          <w:highlight w:val="white"/>
          <w:rtl w:val="0"/>
        </w:rPr>
        <w:t xml:space="preserve">Rescue Ratio N</w:t>
      </w:r>
      <w:r w:rsidDel="00000000" w:rsidR="00000000" w:rsidRPr="00000000">
        <w:rPr>
          <w:rFonts w:ascii="Arial" w:cs="Arial" w:eastAsia="Arial" w:hAnsi="Arial"/>
          <w:i w:val="1"/>
          <w:sz w:val="22"/>
          <w:szCs w:val="22"/>
          <w:highlight w:val="white"/>
          <w:vertAlign w:val="subscript"/>
          <w:rtl w:val="0"/>
        </w:rPr>
        <w:t xml:space="preserve">P</w:t>
      </w:r>
      <w:r w:rsidDel="00000000" w:rsidR="00000000" w:rsidRPr="00000000">
        <w:rPr>
          <w:rFonts w:ascii="Arial" w:cs="Arial" w:eastAsia="Arial" w:hAnsi="Arial"/>
          <w:i w:val="1"/>
          <w:sz w:val="22"/>
          <w:szCs w:val="22"/>
          <w:highlight w:val="white"/>
          <w:rtl w:val="0"/>
        </w:rPr>
        <w:t xml:space="preserve">/N</w:t>
      </w:r>
      <w:r w:rsidDel="00000000" w:rsidR="00000000" w:rsidRPr="00000000">
        <w:rPr>
          <w:rFonts w:ascii="Arial" w:cs="Arial" w:eastAsia="Arial" w:hAnsi="Arial"/>
          <w:i w:val="1"/>
          <w:sz w:val="22"/>
          <w:szCs w:val="22"/>
          <w:highlight w:val="white"/>
          <w:vertAlign w:val="subscript"/>
          <w:rtl w:val="0"/>
        </w:rPr>
        <w:t xml:space="preserve">T</w:t>
      </w:r>
      <w:r w:rsidDel="00000000" w:rsidR="00000000" w:rsidRPr="00000000">
        <w:rPr>
          <w:rFonts w:ascii="Arial" w:cs="Arial" w:eastAsia="Arial" w:hAnsi="Arial"/>
          <w:sz w:val="22"/>
          <w:szCs w:val="22"/>
          <w:highlight w:val="white"/>
          <w:rtl w:val="0"/>
        </w:rPr>
        <w:t xml:space="preserve">. This is a measure of reproducibility. It is the ratio of the number of peaks passing 5% IDR thresholds based on comparison of pairs of pooled pseudo-replicates to pairs of biological replicates. A high </w:t>
      </w:r>
      <w:r w:rsidDel="00000000" w:rsidR="00000000" w:rsidRPr="00000000">
        <w:rPr>
          <w:rFonts w:ascii="Arial" w:cs="Arial" w:eastAsia="Arial" w:hAnsi="Arial"/>
          <w:i w:val="1"/>
          <w:sz w:val="22"/>
          <w:szCs w:val="22"/>
          <w:highlight w:val="white"/>
          <w:rtl w:val="0"/>
        </w:rPr>
        <w:t xml:space="preserve">N</w:t>
      </w:r>
      <w:r w:rsidDel="00000000" w:rsidR="00000000" w:rsidRPr="00000000">
        <w:rPr>
          <w:rFonts w:ascii="Arial" w:cs="Arial" w:eastAsia="Arial" w:hAnsi="Arial"/>
          <w:i w:val="1"/>
          <w:sz w:val="22"/>
          <w:szCs w:val="22"/>
          <w:highlight w:val="white"/>
          <w:vertAlign w:val="subscript"/>
          <w:rtl w:val="0"/>
        </w:rPr>
        <w:t xml:space="preserve">P</w:t>
      </w:r>
      <w:r w:rsidDel="00000000" w:rsidR="00000000" w:rsidRPr="00000000">
        <w:rPr>
          <w:rFonts w:ascii="Arial" w:cs="Arial" w:eastAsia="Arial" w:hAnsi="Arial"/>
          <w:i w:val="1"/>
          <w:sz w:val="22"/>
          <w:szCs w:val="22"/>
          <w:highlight w:val="white"/>
          <w:rtl w:val="0"/>
        </w:rPr>
        <w:t xml:space="preserve">/N</w:t>
      </w:r>
      <w:r w:rsidDel="00000000" w:rsidR="00000000" w:rsidRPr="00000000">
        <w:rPr>
          <w:rFonts w:ascii="Arial" w:cs="Arial" w:eastAsia="Arial" w:hAnsi="Arial"/>
          <w:i w:val="1"/>
          <w:sz w:val="22"/>
          <w:szCs w:val="22"/>
          <w:highlight w:val="white"/>
          <w:vertAlign w:val="subscript"/>
          <w:rtl w:val="0"/>
        </w:rPr>
        <w:t xml:space="preserve">T</w:t>
      </w:r>
      <w:r w:rsidDel="00000000" w:rsidR="00000000" w:rsidRPr="00000000">
        <w:rPr>
          <w:rFonts w:ascii="Arial" w:cs="Arial" w:eastAsia="Arial" w:hAnsi="Arial"/>
          <w:sz w:val="22"/>
          <w:szCs w:val="22"/>
          <w:highlight w:val="white"/>
          <w:rtl w:val="0"/>
        </w:rPr>
        <w:t xml:space="preserve"> ratio indicates that pooling replicates and subsampling substantially increased reproducibility in comparison to true replicates. This usually implies that at least one of the replicates has significantly higher enrichment as compared to others. </w:t>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i w:val="1"/>
          <w:sz w:val="22"/>
          <w:szCs w:val="22"/>
          <w:highlight w:val="white"/>
          <w:rtl w:val="0"/>
        </w:rPr>
        <w:t xml:space="preserve">Normalized strand cross-correlation (NSC):.</w:t>
      </w:r>
      <w:r w:rsidDel="00000000" w:rsidR="00000000" w:rsidRPr="00000000">
        <w:rPr>
          <w:rFonts w:ascii="Nova Mono" w:cs="Nova Mono" w:eastAsia="Nova Mono" w:hAnsi="Nova Mono"/>
          <w:sz w:val="22"/>
          <w:szCs w:val="22"/>
          <w:highlight w:val="white"/>
          <w:rtl w:val="0"/>
        </w:rPr>
        <w:t xml:space="preserve"> A genome-wide measure of ChIP enrichment or signal-to-noise ratio measure. A strand cross-correlation profile is computed as the Pearson correlation (y-axis) between per-base read-start count vectors on the + and − strand over a wide range of strand shifts (x axis). The cross-correlation profile peaks at the predominant ChIP fragment length. The NSC is computed as the ratio of this maximal strand cross-correlation at the estimated fragment length (signal) to the minimum background cross-correlation over all shifts (noise). Samples for which both replicates had NSC &lt; 1.03 are flagged as low signal-to-noise data sets.</w:t>
        <w:br w:type="textWrapping"/>
      </w:r>
    </w:p>
    <w:p w:rsidR="00000000" w:rsidDel="00000000" w:rsidP="00000000" w:rsidRDefault="00000000" w:rsidRPr="00000000">
      <w:pPr>
        <w:contextualSpacing w:val="0"/>
        <w:jc w:val="both"/>
      </w:pPr>
      <w:r w:rsidDel="00000000" w:rsidR="00000000" w:rsidRPr="00000000">
        <w:rPr>
          <w:rFonts w:ascii="Arial" w:cs="Arial" w:eastAsia="Arial" w:hAnsi="Arial"/>
          <w:i w:val="1"/>
          <w:sz w:val="22"/>
          <w:szCs w:val="22"/>
          <w:highlight w:val="white"/>
          <w:rtl w:val="0"/>
        </w:rPr>
        <w:t xml:space="preserve">Fraction of Reads in peaks (FRiP)</w:t>
      </w:r>
      <w:r w:rsidDel="00000000" w:rsidR="00000000" w:rsidRPr="00000000">
        <w:rPr>
          <w:rFonts w:ascii="Arial" w:cs="Arial" w:eastAsia="Arial" w:hAnsi="Arial"/>
          <w:sz w:val="22"/>
          <w:szCs w:val="22"/>
          <w:highlight w:val="white"/>
          <w:rtl w:val="0"/>
        </w:rPr>
        <w:t xml:space="preserve">: Another measure of enrichment computed as the proportion of reads that fall within IDR optimal peaks.</w:t>
        <w:br w:type="textWrapping"/>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3.2.</w:t>
      </w:r>
      <w:r w:rsidDel="00000000" w:rsidR="00000000" w:rsidRPr="00000000">
        <w:rPr>
          <w:rFonts w:ascii="Arial" w:cs="Arial" w:eastAsia="Arial" w:hAnsi="Arial"/>
          <w:sz w:val="22"/>
          <w:szCs w:val="22"/>
          <w:u w:val="single"/>
          <w:rtl w:val="0"/>
        </w:rPr>
        <w:t xml:space="preserve">3 </w:t>
      </w:r>
      <w:r w:rsidDel="00000000" w:rsidR="00000000" w:rsidRPr="00000000">
        <w:rPr>
          <w:rFonts w:ascii="Arial" w:cs="Arial" w:eastAsia="Arial" w:hAnsi="Arial"/>
          <w:sz w:val="22"/>
          <w:szCs w:val="22"/>
          <w:u w:val="single"/>
          <w:rtl w:val="0"/>
        </w:rPr>
        <w:t xml:space="preserve">The pipeline</w:t>
      </w:r>
      <w:r w:rsidDel="00000000" w:rsidR="00000000" w:rsidRPr="00000000">
        <w:rPr>
          <w:rFonts w:ascii="Arial" w:cs="Arial" w:eastAsia="Arial" w:hAnsi="Arial"/>
          <w:sz w:val="22"/>
          <w:szCs w:val="22"/>
          <w:u w:val="single"/>
          <w:rtl w:val="0"/>
        </w:rPr>
        <w:t xml:space="preserve"> for analyzing ChIP-seq data of histone modifications</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Histone modification ChIP-seq data has substantially different properties compared to TF ChIP-seq data requiring a unique analysis pipeline. The ENCODE2 Chromatin ChIP-seq pipeline was relatively underdeveloped due to the lack of effective peak callers and statistical methods for evaluating the highly variable sizes and patterns of thus called peaks. Also, the IDR method that is highly effective at adaptively thresholding TF ChIP-seq data does not transfer directly to the analysis of histone marks due to a broad range of peak sizes and the instability of peak callers to sequencing depth differences between replicates. The DAC had to develop a new method for evaluating the reproducibility of histone mark ChIP-seq data.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A collaborative effort including DAC and Binding Group members led by Anshul Kundaje evaluated six histone ChIP-seq peak callers to define a uniform histone ChIP-seq analysis pipeline. High quality, deeply sequenced benchmark datasets for six key histone modifications with narrow (H3K27ac, H3K4me3, H3K4me1) and broad (H3K27me3, H3K36me3 and H3K9me3) regions of enrichment in the human GM12878 lymphoblastoid cell line were obtained from the Snyder lab. These were distributed to the participating peak caller groups and peak calls were generated and analyzed. The peak callers were evaluated based on (1) reproducibility of identifications, (2) stability of the peak calls to sequencing depth fluctuations (splitting and merging of peaks) and (3) accuracy and resolution by comparing with gold standards (e.g., H3K4me3 peaks compared with promoters, H3K36me3 peaks compared with transcribed gene bodies identified using RNA-seq data). After careful evaluations, MACS2 and MoSAICS-HMM were found to be the top performing peak callers.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ENCODE3 histone ChIP-seq pipeline is similar to the ENCODE3 TF ChIP-seq pipeline outlined in the previous section with several key differences. MACS2 and MoSAICS-HMM are the peak callers for calling narrow peaks and broad domains respectively. Instead of using IDR, we have designed a simpler heuristic procedure to identify reproducible peaks and domains. For each sample, peaks/domains are called using reads pooled across replicates as well as those from individual replicates and pseudo-replicates generated using all pooled reads. We only retain peaks from the pooled data that significantly overlap (&gt;50%) peaks in both biological replicates or in both pseudo-replicates. The reproducibility measures are computed using these reproducible peaks.</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3.2.</w:t>
      </w:r>
      <w:r w:rsidDel="00000000" w:rsidR="00000000" w:rsidRPr="00000000">
        <w:rPr>
          <w:rFonts w:ascii="Arial" w:cs="Arial" w:eastAsia="Arial" w:hAnsi="Arial"/>
          <w:sz w:val="22"/>
          <w:szCs w:val="22"/>
          <w:u w:val="single"/>
          <w:rtl w:val="0"/>
        </w:rPr>
        <w:t xml:space="preserve">4 A m</w:t>
      </w:r>
      <w:r w:rsidDel="00000000" w:rsidR="00000000" w:rsidRPr="00000000">
        <w:rPr>
          <w:rFonts w:ascii="Arial" w:cs="Arial" w:eastAsia="Arial" w:hAnsi="Arial"/>
          <w:sz w:val="22"/>
          <w:szCs w:val="22"/>
          <w:u w:val="single"/>
          <w:rtl w:val="0"/>
        </w:rPr>
        <w:t xml:space="preserve">otif pipeline for analyzing TF ChIP-seq data</w:t>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w:t>
      </w:r>
      <w:r w:rsidDel="00000000" w:rsidR="00000000" w:rsidRPr="00000000">
        <w:rPr>
          <w:rFonts w:ascii="Arial" w:cs="Arial" w:eastAsia="Arial" w:hAnsi="Arial"/>
          <w:sz w:val="22"/>
          <w:szCs w:val="22"/>
          <w:rtl w:val="0"/>
        </w:rPr>
        <w:t xml:space="preserve">DAC led a coordinated effort with the Binding Working Group to establish an analysis pipeline for sequence motif discovery and transcription factor binding sites in ChIP-seq datasets. We discussed several topics: (1) motif representations: Position weight matrix models compared to more generalizable and predictive k-mer based representations</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(2)   Methods to combine motifs learned from different methods and external repositories into a unified database of ENCODE motifs</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(3)   A unified ‘motif instance’ track representing a non-redundant set of potential binding sites for all TFs.</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(4)   Methods for using motif-discovery as a secondary validation for TF ChIP-seq data</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These discussions culminated in the development of a motif-based QC pipeline, as a secondary validation for TF ChIP-seq data, implemented by the Kellis lab. The developed computational pipeline evaluates the enrichment of known motifs in a given ChIP-seq dataset and provides a probabilistic assessment about how well those enrichments match the labeled antibody. The pipeline consists of the following steps.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(1) The motif models (Position weight matrix) are collected from public databases: TRANSFAC, JASPAR, PBM (Buylk Lab), HT-SELEX (Wei Lab).</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(2) The motif instances are defined by scanning the reference genome using 4^-8 p-value cutoff and the regions of repeats, transposons, CDS and 3’UTR are excluded.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(3) Three types of motif enrichment scores are computed by overlapping the motif instances with the given ChIP-seq peak locations, which includes global enrichment score (compare the actual motif with the shuffled-version motif), positional bias score (compare peak center to the peak flanking region), and peak rank bias score (compare the high peak score regions to the low peak score regions). Then, a combined enrichment score can be derived from taking average of three enrichment scores listed above.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(4) The known motifs are grouped by their PWM similarities and each motif group is ranked by the highest combined enrichment scores within group.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We found the corresponding known motifs rank top2 in 80% of TF ChIP-seq in ENCODE2 and ~8% TF ChIP-seq with corresponding known motifs fail to enrich, which are due to known/unknown antibody problem or indirect binding mechanism of those TFs. Because different TFs may share the same motif and one TF may use multiple motif, we proposed a Bayesian framework for antibody validation by taking into account this ambiguity of motif enrichment.  Instead of setting a uniform hard cutoff for different TFs, this Bayesian approach sets the cutoff according to the characteristics for each TF and corresponding motifs, and it can also point out which TFs cannot be validated by motif enrichment due to their diverse binding preferences.</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3.2.5 </w:t>
      </w:r>
      <w:r w:rsidDel="00000000" w:rsidR="00000000" w:rsidRPr="00000000">
        <w:rPr>
          <w:rFonts w:ascii="Arial" w:cs="Arial" w:eastAsia="Arial" w:hAnsi="Arial"/>
          <w:sz w:val="22"/>
          <w:szCs w:val="22"/>
          <w:u w:val="single"/>
          <w:rtl w:val="0"/>
        </w:rPr>
        <w:t xml:space="preserve">The pipeline</w:t>
      </w:r>
      <w:r w:rsidDel="00000000" w:rsidR="00000000" w:rsidRPr="00000000">
        <w:rPr>
          <w:rFonts w:ascii="Arial" w:cs="Arial" w:eastAsia="Arial" w:hAnsi="Arial"/>
          <w:sz w:val="22"/>
          <w:szCs w:val="22"/>
          <w:u w:val="single"/>
          <w:rtl w:val="0"/>
        </w:rPr>
        <w:t xml:space="preserve"> for analyzing Bisulfite-seq data</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Weng lab continued to work the ENCODE3 uniform analysis pipeline for single-end and paired-end whole genome bisulfite sequencing (WGBS).  Last year, the Weng lab tested 96 analysis patterns composed of three types of pre-processing methods, three widely used WGBS mapping tools (Bismark with Bowtie, BSMAP, and GSNAP) with two different parameters of seed length for Bismark with Bowtie (l=28 and 50), and 5 types of post-processing criteria based on cytosine coverage and quality scores of mapping reads.  This year, the Weng lab further benchmarked 96 additional analysis patterns (192 pipelines in total) by incorporating three additional WGBS mapping tools (Bismark with Bowtie2, LAST, and BRAT) with two different parameters of seed length for Bismark + Bowtie2 (L=20 and 22).</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Our results showed that Bismark with Bowtie and Bismark with Bowtie2 were the accurate mapping algorithms throughout single-end and paired-end simulated datasets respectively.  LAST showed comparable performance to Bismark.  Because of the larger memory requirement for LAST, we selected Bismark with Bowtie and Bismark with Bowtie2 pipelines for the single-end and paired-end WGBS uniform pipelines.</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To assistant the DCC in implementing the WGBS pipelines on DNAnexus, we tested memory usage, disk usage and run time for several human and mouse libraries. We also advised the DCC on the file format required for DNAnexus and the use of the lambda genome for quality control. Based on our comprehensive evaluation, the DCC finalized the uniform WGBS analysis pipeline on DNAnexus and placed the source code of the pipeline on github. The source code can be found at</w:t>
      </w:r>
      <w:hyperlink r:id="rId79">
        <w:r w:rsidDel="00000000" w:rsidR="00000000" w:rsidRPr="00000000">
          <w:rPr>
            <w:rFonts w:ascii="Arial" w:cs="Arial" w:eastAsia="Arial" w:hAnsi="Arial"/>
            <w:sz w:val="22"/>
            <w:szCs w:val="22"/>
            <w:rtl w:val="0"/>
          </w:rPr>
          <w:t xml:space="preserve"> </w:t>
        </w:r>
      </w:hyperlink>
      <w:hyperlink r:id="rId80">
        <w:r w:rsidDel="00000000" w:rsidR="00000000" w:rsidRPr="00000000">
          <w:rPr>
            <w:rFonts w:ascii="Arial" w:cs="Arial" w:eastAsia="Arial" w:hAnsi="Arial"/>
            <w:color w:val="1155cc"/>
            <w:sz w:val="22"/>
            <w:szCs w:val="22"/>
            <w:u w:val="single"/>
            <w:rtl w:val="0"/>
          </w:rPr>
          <w:t xml:space="preserve">https://github.com/ENCODE-DCC/dna-me-pipeline</w:t>
        </w:r>
      </w:hyperlink>
      <w:r w:rsidDel="00000000" w:rsidR="00000000" w:rsidRPr="00000000">
        <w:rPr>
          <w:rFonts w:ascii="Arial" w:cs="Arial" w:eastAsia="Arial" w:hAnsi="Arial"/>
          <w:sz w:val="22"/>
          <w:szCs w:val="22"/>
          <w:rtl w:val="0"/>
        </w:rPr>
        <w:t xml:space="preserve"> and</w:t>
      </w:r>
      <w:hyperlink r:id="rId81">
        <w:r w:rsidDel="00000000" w:rsidR="00000000" w:rsidRPr="00000000">
          <w:rPr>
            <w:rFonts w:ascii="Arial" w:cs="Arial" w:eastAsia="Arial" w:hAnsi="Arial"/>
            <w:sz w:val="22"/>
            <w:szCs w:val="22"/>
            <w:rtl w:val="0"/>
          </w:rPr>
          <w:t xml:space="preserve"> </w:t>
        </w:r>
      </w:hyperlink>
      <w:hyperlink r:id="rId82">
        <w:r w:rsidDel="00000000" w:rsidR="00000000" w:rsidRPr="00000000">
          <w:rPr>
            <w:rFonts w:ascii="Arial" w:cs="Arial" w:eastAsia="Arial" w:hAnsi="Arial"/>
            <w:color w:val="1155cc"/>
            <w:sz w:val="22"/>
            <w:szCs w:val="22"/>
            <w:u w:val="single"/>
            <w:rtl w:val="0"/>
          </w:rPr>
          <w:t xml:space="preserve">https://github.com/ENCODE-DCC/Bismark-ENCODE-WGBS</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spacing w:before="240" w:line="240" w:lineRule="auto"/>
        <w:ind w:firstLine="0"/>
        <w:contextualSpacing w:val="0"/>
      </w:pPr>
      <w:commentRangeStart w:id="42"/>
      <w:commentRangeStart w:id="43"/>
      <w:r w:rsidDel="00000000" w:rsidR="00000000" w:rsidRPr="00000000">
        <w:rPr>
          <w:rFonts w:ascii="Arial" w:cs="Arial" w:eastAsia="Arial" w:hAnsi="Arial"/>
          <w:sz w:val="22"/>
          <w:szCs w:val="22"/>
          <w:u w:val="single"/>
          <w:rtl w:val="0"/>
        </w:rPr>
        <w:t xml:space="preserve">3.2.6 Detection of Differentially Methylated Regions</w:t>
      </w:r>
      <w:commentRangeEnd w:id="42"/>
      <w:r w:rsidDel="00000000" w:rsidR="00000000" w:rsidRPr="00000000">
        <w:commentReference w:id="42"/>
      </w:r>
      <w:commentRangeEnd w:id="43"/>
      <w:r w:rsidDel="00000000" w:rsidR="00000000" w:rsidRPr="00000000">
        <w:commentReference w:id="43"/>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will develop methodology to identify statistically significant differentially methylated regions (DMRs) from whole-genome bisulfite sequencing (WGBS) data.  We will develop a method that can provide uncertainty assessment even in the presence of only two replicates.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Several existing methods generally identify individual differentially methylated CpGs, then group these, in some ad-hoc way, into regions</w:t>
      </w:r>
      <w:r w:rsidDel="00000000" w:rsidR="00000000" w:rsidRPr="00000000">
        <w:rPr>
          <w:rFonts w:ascii="Arial" w:cs="Arial" w:eastAsia="Arial" w:hAnsi="Arial"/>
          <w:sz w:val="22"/>
          <w:szCs w:val="22"/>
          <w:highlight w:val="white"/>
          <w:rtl w:val="0"/>
        </w:rPr>
        <w:t xml:space="preserve"> (PMID 23034175, PMID 26184873, </w:t>
      </w:r>
      <w:r w:rsidDel="00000000" w:rsidR="00000000" w:rsidRPr="00000000">
        <w:rPr>
          <w:rFonts w:ascii="Arial" w:cs="Arial" w:eastAsia="Arial" w:hAnsi="Arial"/>
          <w:sz w:val="22"/>
          <w:szCs w:val="22"/>
          <w:highlight w:val="white"/>
          <w:rtl w:val="0"/>
        </w:rPr>
        <w:t xml:space="preserve">PMID 24565500, PMID 26559505, PMID 24962134</w:t>
      </w:r>
      <w:r w:rsidDel="00000000" w:rsidR="00000000" w:rsidRPr="00000000">
        <w:rPr>
          <w:rFonts w:ascii="Arial" w:cs="Arial" w:eastAsia="Arial" w:hAnsi="Arial"/>
          <w:sz w:val="22"/>
          <w:szCs w:val="22"/>
          <w:highlight w:val="white"/>
          <w:rtl w:val="0"/>
        </w:rPr>
        <w:t xml:space="preserve">). Although for some of these approaches adjusted p-values are attached to the single CpGs, the methods do not offer a rigorous assessment of uncertainty for the regions themselves. Existing methods that do attach uncertainty assessments to regions require large sample sizes due to parametric assumptions</w:t>
      </w:r>
      <w:r w:rsidDel="00000000" w:rsidR="00000000" w:rsidRPr="00000000">
        <w:rPr>
          <w:rFonts w:ascii="Arial" w:cs="Arial" w:eastAsia="Arial" w:hAnsi="Arial"/>
          <w:sz w:val="22"/>
          <w:szCs w:val="22"/>
          <w:highlight w:val="white"/>
          <w:vertAlign w:val="superscript"/>
          <w:rtl w:val="0"/>
        </w:rPr>
        <w:t xml:space="preserve"> </w:t>
      </w:r>
      <w:r w:rsidDel="00000000" w:rsidR="00000000" w:rsidRPr="00000000">
        <w:rPr>
          <w:rFonts w:ascii="Arial" w:cs="Arial" w:eastAsia="Arial" w:hAnsi="Arial"/>
          <w:sz w:val="22"/>
          <w:szCs w:val="22"/>
          <w:highlight w:val="white"/>
          <w:rtl w:val="0"/>
        </w:rPr>
        <w:t xml:space="preserve">(PMID 23034175, PMID 24962134, PMI</w:t>
      </w:r>
      <w:r w:rsidDel="00000000" w:rsidR="00000000" w:rsidRPr="00000000">
        <w:rPr>
          <w:rFonts w:ascii="Arial" w:cs="Arial" w:eastAsia="Arial" w:hAnsi="Arial"/>
          <w:sz w:val="22"/>
          <w:szCs w:val="22"/>
          <w:highlight w:val="white"/>
          <w:rtl w:val="0"/>
        </w:rPr>
        <w:t xml:space="preserve">D 23658421).  Others ignore biological variability from sample to sample (PMID 24423865, PMID 23034086</w:t>
      </w:r>
      <w:r w:rsidDel="00000000" w:rsidR="00000000" w:rsidRPr="00000000">
        <w:rPr>
          <w:rFonts w:ascii="Arial" w:cs="Arial" w:eastAsia="Arial" w:hAnsi="Arial"/>
          <w:sz w:val="22"/>
          <w:szCs w:val="22"/>
          <w:highlight w:val="white"/>
          <w:rtl w:val="0"/>
        </w:rPr>
        <w:t xml:space="preserve">) all together or correlation of methylation states of nearby loci</w:t>
      </w:r>
      <w:r w:rsidDel="00000000" w:rsidR="00000000" w:rsidRPr="00000000">
        <w:rPr>
          <w:rFonts w:ascii="Arial" w:cs="Arial" w:eastAsia="Arial" w:hAnsi="Arial"/>
          <w:sz w:val="22"/>
          <w:szCs w:val="22"/>
          <w:highlight w:val="white"/>
          <w:vertAlign w:val="superscript"/>
          <w:rtl w:val="0"/>
        </w:rPr>
        <w:t xml:space="preserve"> </w:t>
      </w:r>
      <w:r w:rsidDel="00000000" w:rsidR="00000000" w:rsidRPr="00000000">
        <w:rPr>
          <w:rFonts w:ascii="Arial" w:cs="Arial" w:eastAsia="Arial" w:hAnsi="Arial"/>
          <w:sz w:val="22"/>
          <w:szCs w:val="22"/>
          <w:highlight w:val="white"/>
          <w:rtl w:val="0"/>
        </w:rPr>
        <w:t xml:space="preserve">(PMID 24836530)</w:t>
      </w:r>
      <w:r w:rsidDel="00000000" w:rsidR="00000000" w:rsidRPr="00000000">
        <w:rPr>
          <w:rFonts w:ascii="Arial" w:cs="Arial" w:eastAsia="Arial" w:hAnsi="Arial"/>
          <w:sz w:val="22"/>
          <w:szCs w:val="22"/>
          <w:highlight w:val="white"/>
          <w:rtl w:val="0"/>
        </w:rPr>
        <w:t xml:space="preserve"> which might provide misleading conclusions or result in loss of power. We propose a new two-step approach that first groups loci into candidate regions and then explicitly evaluates statistical significance at the region level while accounting for biological variability within sample groups.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Accounting for natural biological variability in methylation studies is crucial if we are to report DMRs that are replicable and reproducible  [Figure 1, </w:t>
      </w:r>
      <w:r w:rsidDel="00000000" w:rsidR="00000000" w:rsidRPr="00000000">
        <w:rPr>
          <w:rFonts w:ascii="Arial" w:cs="Arial" w:eastAsia="Arial" w:hAnsi="Arial"/>
          <w:color w:val="575757"/>
          <w:sz w:val="22"/>
          <w:szCs w:val="22"/>
          <w:highlight w:val="white"/>
          <w:rtl w:val="0"/>
        </w:rPr>
        <w:t xml:space="preserve">23034175</w:t>
      </w:r>
      <w:r w:rsidDel="00000000" w:rsidR="00000000" w:rsidRPr="00000000">
        <w:rPr>
          <w:rFonts w:ascii="Arial" w:cs="Arial" w:eastAsia="Arial" w:hAnsi="Arial"/>
          <w:sz w:val="22"/>
          <w:szCs w:val="22"/>
          <w:highlight w:val="white"/>
          <w:rtl w:val="0"/>
        </w:rPr>
        <w:t xml:space="preserve">]. However, although WGBS is the current gold standard for probing the methylation state of the entire genome</w:t>
      </w:r>
      <w:r w:rsidDel="00000000" w:rsidR="00000000" w:rsidRPr="00000000">
        <w:rPr>
          <w:rFonts w:ascii="Arial" w:cs="Arial" w:eastAsia="Arial" w:hAnsi="Arial"/>
          <w:sz w:val="22"/>
          <w:szCs w:val="22"/>
          <w:highlight w:val="white"/>
          <w:vertAlign w:val="superscript"/>
          <w:rtl w:val="0"/>
        </w:rPr>
        <w:t xml:space="preserve"> </w:t>
      </w:r>
      <w:r w:rsidDel="00000000" w:rsidR="00000000" w:rsidRPr="00000000">
        <w:rPr>
          <w:rFonts w:ascii="Arial" w:cs="Arial" w:eastAsia="Arial" w:hAnsi="Arial"/>
          <w:sz w:val="22"/>
          <w:szCs w:val="22"/>
          <w:highlight w:val="white"/>
          <w:rtl w:val="0"/>
        </w:rPr>
        <w:t xml:space="preserve">(PMID 26820544), cost limitations are still a barrier to acquiring more than a few individuals per biological condition in many studies (PMID 25362363).  For example, the WGBS experiments in mice carried out as part of the ENCODE project are limited to two biological replicates per tissue type and developmental time point combination.  As such, we aim to achieve reasonable power and Type I error control even with very small sample sizes (as few as two samples per condition).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will develop a two-step procedure identify regions that have a significant difference in methylation levels among two or more conditions: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In the first step, we detect candidate regions that contain multiple loci showing evidence of a difference in the smoothed pooled methylation proportion between biological conditions.  Briefly, we will estimate the mean proportion in one condition be the sum of methylated reads from all samples in that condition divided by the sum of all reads (methylated and unmethylated; i.e. the coverage) from all samples in that condition. Note that this estimate ignores variability from sample to sample, but with only two or three replicates is robust to the influence of observations based on low coverage.  We are able to address biological variability in step 2, where multiple loci are considered at once.  The individual loci estimates are then smoothed to further reduce the influence of low coverage observations and because methylation signals are strongly correlated across the genome (PMID 23034175).  Finally, candidate regions are defined by segmenting the genome into groups of at least 5 CpG loci that are spaced apart by a user-defined value (small values target local signals; larger values can detect long-range signals), where each loci has a smoothed pooled proportion difference in the same direction that is greater than some threshold value (say 0.10) in absolute value. Note that from this procedure we extract many candidate regions that if reported as statistically significant will result in a list with a high false discover rate. In the next step we apply develop a filtering procedure that permits us to control false discoveries.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In the second step, for each candidate region we compute a test statistic, defined as the t-statistic for the weighted linear regression coefficient for the effect of interest on the logit-transformed methylation proportions.  Weights proportional to the coverage are used to diminish the influence of observations based on very few reads.  In addition, the model is also fit in the presence of a spline function (of genomic position) in order to account for variability introduced by overall trends in the region.  A set of statistics is generated under the null hypothesis by first permuting the group labels, and then repeating step 1 in order to identify candidate regions.  The empirical p-value is calculated by comparing the observed test statistic to the entire null set of statistics from all permutations.  Control of FDR is carried out by adjusting the p-values using Benjamini-Hochberg.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To demonstrate the feasibility of this approach we used methylation measurements of developing mouse embryos from the ENCODE portal as preliminary data. We selected four illustrative comparisons from the available tissue types at various developmental stages.  We compared the same tissue type at early and late developmental stages (Comparison 1: Late hindbrain development, </w:t>
      </w:r>
      <w:commentRangeStart w:id="44"/>
      <w:commentRangeStart w:id="45"/>
      <w:r w:rsidDel="00000000" w:rsidR="00000000" w:rsidRPr="00000000">
        <w:rPr>
          <w:rFonts w:ascii="Arial" w:cs="Arial" w:eastAsia="Arial" w:hAnsi="Arial"/>
          <w:sz w:val="22"/>
          <w:szCs w:val="22"/>
          <w:highlight w:val="white"/>
          <w:rtl w:val="0"/>
        </w:rPr>
        <w:t xml:space="preserve">embryonic day 16.5 (E16.5) versus postnatal day 0 (P0)</w:t>
      </w:r>
      <w:commentRangeEnd w:id="44"/>
      <w:r w:rsidDel="00000000" w:rsidR="00000000" w:rsidRPr="00000000">
        <w:commentReference w:id="44"/>
      </w:r>
      <w:commentRangeEnd w:id="45"/>
      <w:r w:rsidDel="00000000" w:rsidR="00000000" w:rsidRPr="00000000">
        <w:commentReference w:id="45"/>
      </w:r>
      <w:r w:rsidDel="00000000" w:rsidR="00000000" w:rsidRPr="00000000">
        <w:rPr>
          <w:rFonts w:ascii="Arial" w:cs="Arial" w:eastAsia="Arial" w:hAnsi="Arial"/>
          <w:sz w:val="22"/>
          <w:szCs w:val="22"/>
          <w:highlight w:val="white"/>
          <w:rtl w:val="0"/>
        </w:rPr>
        <w:t xml:space="preserve">, Comparison 2: Early hindbrain development, E11.5 versus E16.5), </w:t>
      </w:r>
      <w:commentRangeStart w:id="46"/>
      <w:commentRangeStart w:id="47"/>
      <w:r w:rsidDel="00000000" w:rsidR="00000000" w:rsidRPr="00000000">
        <w:rPr>
          <w:rFonts w:ascii="Arial" w:cs="Arial" w:eastAsia="Arial" w:hAnsi="Arial"/>
          <w:sz w:val="22"/>
          <w:szCs w:val="22"/>
          <w:highlight w:val="white"/>
          <w:rtl w:val="0"/>
        </w:rPr>
        <w:t xml:space="preserve"> two similar tissue types from the same organ (Comparison 3: hindbrain versus forebrain at E11.5), and two completely distinct tissue types (Comparison 4: forebrain versus liver at E11.5). </w:t>
      </w:r>
      <w:commentRangeEnd w:id="46"/>
      <w:r w:rsidDel="00000000" w:rsidR="00000000" w:rsidRPr="00000000">
        <w:commentReference w:id="46"/>
      </w:r>
      <w:commentRangeEnd w:id="47"/>
      <w:r w:rsidDel="00000000" w:rsidR="00000000" w:rsidRPr="00000000">
        <w:commentReference w:id="47"/>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For each comparison, there are two biological replicates.  Using a preliminary version of our approach we identified DMRs between these pair-wise comparisons. As expected, more DMRs were identified as the difference between cell-types was larger. </w:t>
      </w:r>
      <w:commentRangeStart w:id="48"/>
      <w:r w:rsidDel="00000000" w:rsidR="00000000" w:rsidRPr="00000000">
        <w:rPr>
          <w:rFonts w:ascii="Arial" w:cs="Arial" w:eastAsia="Arial" w:hAnsi="Arial"/>
          <w:sz w:val="22"/>
          <w:szCs w:val="22"/>
          <w:highlight w:val="yellow"/>
          <w:rtl w:val="0"/>
        </w:rPr>
        <w:t xml:space="preserve">SAY SOMEthING ABOUT p-value approach</w:t>
      </w:r>
      <w:r w:rsidDel="00000000" w:rsidR="00000000" w:rsidRPr="00000000">
        <w:rPr>
          <w:rFonts w:ascii="Arial" w:cs="Arial" w:eastAsia="Arial" w:hAnsi="Arial"/>
          <w:sz w:val="22"/>
          <w:szCs w:val="22"/>
          <w:highlight w:val="white"/>
          <w:rtl w:val="0"/>
        </w:rPr>
        <w:t xml:space="preserve">. The gain in power comes from statistically borrowing strength across adjacent CpG include those with low coverage.  In three of the four comparisons, the number of CpGs covered by significant DMRs is far greater than the number of significant loci when analyzed individually using the beta-binomial approach of PMID </w:t>
      </w:r>
      <w:r w:rsidDel="00000000" w:rsidR="00000000" w:rsidRPr="00000000">
        <w:rPr>
          <w:rFonts w:ascii="Arial" w:cs="Arial" w:eastAsia="Arial" w:hAnsi="Arial"/>
          <w:sz w:val="22"/>
          <w:szCs w:val="22"/>
          <w:highlight w:val="white"/>
          <w:rtl w:val="0"/>
        </w:rPr>
        <w:t xml:space="preserve">23925113</w:t>
      </w:r>
      <w:r w:rsidDel="00000000" w:rsidR="00000000" w:rsidRPr="00000000">
        <w:rPr>
          <w:rFonts w:ascii="Arial" w:cs="Arial" w:eastAsia="Arial" w:hAnsi="Arial"/>
          <w:sz w:val="22"/>
          <w:szCs w:val="22"/>
          <w:highlight w:val="white"/>
          <w:rtl w:val="0"/>
        </w:rPr>
        <w:t xml:space="preserve">)</w:t>
      </w:r>
      <w:commentRangeEnd w:id="48"/>
      <w:r w:rsidDel="00000000" w:rsidR="00000000" w:rsidRPr="00000000">
        <w:commentReference w:id="48"/>
      </w:r>
      <w:r w:rsidDel="00000000" w:rsidR="00000000" w:rsidRPr="00000000">
        <w:rPr>
          <w:rFonts w:ascii="Arial" w:cs="Arial" w:eastAsia="Arial" w:hAnsi="Arial"/>
          <w:sz w:val="22"/>
          <w:szCs w:val="22"/>
          <w:highlight w:val="white"/>
          <w:rtl w:val="0"/>
        </w:rPr>
        <w:t xml:space="preserve">.  Note that the first comparison did no show any differences at an FDR of 0.05. However, considering that we only have two replicates, statistical power is very much limited and this should not be taken to mean no differences are present. One of the advantages of this approach is that we can control error rates. So, for example, if more power is desired we can increase the FDR. Note that with an FDR of 0.25 we identify 11,713 differences in Comparison 1 of late hindbrain development.</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Table 1: Comparison of two similar tissue types at 11.5 days embryonic stage</w:t>
      </w:r>
    </w:p>
    <w:tbl>
      <w:tblPr>
        <w:tblStyle w:val="Table6"/>
        <w:bidi w:val="0"/>
        <w:tblW w:w="1071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935"/>
        <w:gridCol w:w="1260"/>
        <w:gridCol w:w="1365"/>
        <w:gridCol w:w="1590"/>
        <w:gridCol w:w="1650"/>
        <w:gridCol w:w="1275"/>
        <w:gridCol w:w="1635"/>
        <w:tblGridChange w:id="0">
          <w:tblGrid>
            <w:gridCol w:w="1935"/>
            <w:gridCol w:w="1260"/>
            <w:gridCol w:w="1365"/>
            <w:gridCol w:w="1590"/>
            <w:gridCol w:w="1650"/>
            <w:gridCol w:w="1275"/>
            <w:gridCol w:w="1635"/>
          </w:tblGrid>
        </w:tblGridChange>
      </w:tblGrid>
      <w:t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Comparison</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Median Coverage range</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Number of CpG Loci</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yellow"/>
                <w:rtl w:val="0"/>
              </w:rPr>
              <w:t xml:space="preserve">Statistically significant</w:t>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yellow"/>
                <w:rtl w:val="0"/>
              </w:rPr>
              <w:t xml:space="preserve"> CpGs </w:t>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yellow"/>
                <w:rtl w:val="0"/>
              </w:rPr>
              <w:t xml:space="preserve">(FDR &lt; 0.05) </w:t>
            </w:r>
            <w:r w:rsidDel="00000000" w:rsidR="00000000" w:rsidRPr="00000000">
              <w:rPr>
                <w:rFonts w:ascii="Arial" w:cs="Arial" w:eastAsia="Arial" w:hAnsi="Arial"/>
                <w:sz w:val="22"/>
                <w:szCs w:val="22"/>
                <w:highlight w:val="white"/>
                <w:rtl w:val="0"/>
              </w:rPr>
              <w:t xml:space="preserve"> </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Statistically significant </w:t>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DMRs </w:t>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rtl w:val="0"/>
              </w:rPr>
              <w:t xml:space="preserve">(</w:t>
            </w:r>
            <w:r w:rsidDel="00000000" w:rsidR="00000000" w:rsidRPr="00000000">
              <w:rPr>
                <w:rFonts w:ascii="Arial" w:cs="Arial" w:eastAsia="Arial" w:hAnsi="Arial"/>
                <w:sz w:val="22"/>
                <w:szCs w:val="22"/>
                <w:rtl w:val="0"/>
              </w:rPr>
              <w:t xml:space="preserve">FDR &lt; 0.05)</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Number of CpGs covered by DMRs</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Proportion demethylated</w:t>
            </w:r>
          </w:p>
        </w:tc>
      </w:tr>
      <w:tr>
        <w:trPr>
          <w:trHeight w:val="50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1: Late hindbrain development</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30 – 35</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19,183,528</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yellow"/>
                <w:rtl w:val="0"/>
              </w:rPr>
              <w:t xml:space="preserve">1,026</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0 </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rtl w:val="0"/>
              </w:rPr>
              <w:t xml:space="preserve">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w:t>
            </w:r>
          </w:p>
        </w:tc>
      </w:tr>
      <w:tr>
        <w:trPr>
          <w:trHeight w:val="50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2: Early hindbrain development</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27 – 32</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19,174,998</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yellow"/>
                <w:rtl w:val="0"/>
              </w:rPr>
              <w:t xml:space="preserve">147,344</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63,036</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rtl w:val="0"/>
              </w:rPr>
              <w:t xml:space="preserve">864,613</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white"/>
                <w:rtl w:val="0"/>
              </w:rPr>
              <w:t xml:space="preserve">0.957</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3: Hindbrain v Forebrain </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32 – 33</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19,178,801</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ind w:left="-40" w:firstLine="0"/>
              <w:contextualSpacing w:val="0"/>
              <w:jc w:val="center"/>
            </w:pPr>
            <w:r w:rsidDel="00000000" w:rsidR="00000000" w:rsidRPr="00000000">
              <w:rPr>
                <w:rFonts w:ascii="Arial" w:cs="Arial" w:eastAsia="Arial" w:hAnsi="Arial"/>
                <w:sz w:val="22"/>
                <w:szCs w:val="22"/>
                <w:highlight w:val="yellow"/>
                <w:rtl w:val="0"/>
              </w:rPr>
              <w:t xml:space="preserve">83,935</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31,233</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rtl w:val="0"/>
              </w:rPr>
              <w:t xml:space="preserve">409,238</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0.408</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4: Forebrain v Liver </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32 – 42</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19,192,488</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yellow"/>
                <w:rtl w:val="0"/>
              </w:rPr>
              <w:t xml:space="preserve">1,441,500</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313,937</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rtl w:val="0"/>
              </w:rPr>
              <w:t xml:space="preserve">3,713,058</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0.885</w:t>
            </w:r>
          </w:p>
        </w:tc>
      </w:tr>
    </w:tbl>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highlight w:val="white"/>
          <w:rtl w:val="0"/>
        </w:rPr>
        <w:t xml:space="preserve">One of the advantages of our proposed approach is that it reports regions instead of single loci which facilitate downstream tasks such as biologial interpretation  and integration. In Figure XX below we show the regions with smallest q-values for the four comparisons above along with their closes promoter and gene name. Note that the difference seen in Comparison 1 of Figure XX does not appear as striking as the others. This demonstrate the advantages of uncertainty assessments since the region in question has has a relatively high q-value of 0.16. </w:t>
      </w:r>
    </w:p>
    <w:p w:rsidR="00000000" w:rsidDel="00000000" w:rsidP="00000000" w:rsidRDefault="00000000" w:rsidRPr="00000000">
      <w:pPr>
        <w:spacing w:after="100" w:before="0" w:line="240" w:lineRule="auto"/>
        <w:contextualSpacing w:val="0"/>
      </w:pPr>
      <w:r w:rsidDel="00000000" w:rsidR="00000000" w:rsidRPr="00000000">
        <w:drawing>
          <wp:inline distB="114300" distT="114300" distL="114300" distR="114300">
            <wp:extent cx="6858000" cy="1143000"/>
            <wp:effectExtent b="0" l="0" r="0" t="0"/>
            <wp:docPr descr="dmrplot.smooth.topRegions.large.png" id="53" name="image107.png"/>
            <a:graphic>
              <a:graphicData uri="http://schemas.openxmlformats.org/drawingml/2006/picture">
                <pic:pic>
                  <pic:nvPicPr>
                    <pic:cNvPr descr="dmrplot.smooth.topRegions.large.png" id="0" name="image107.png"/>
                    <pic:cNvPicPr preferRelativeResize="0"/>
                  </pic:nvPicPr>
                  <pic:blipFill>
                    <a:blip r:embed="rId83"/>
                    <a:srcRect b="0" l="0" r="0" t="0"/>
                    <a:stretch>
                      <a:fillRect/>
                    </a:stretch>
                  </pic:blipFill>
                  <pic:spPr>
                    <a:xfrm>
                      <a:off x="0" y="0"/>
                      <a:ext cx="6858000" cy="1143000"/>
                    </a:xfrm>
                    <a:prstGeom prst="rect"/>
                    <a:ln/>
                  </pic:spPr>
                </pic:pic>
              </a:graphicData>
            </a:graphic>
          </wp:inline>
        </w:drawing>
      </w:r>
      <w:commentRangeStart w:id="49"/>
      <w:commentRangeEnd w:id="49"/>
      <w:r w:rsidDel="00000000" w:rsidR="00000000" w:rsidRPr="00000000">
        <w:commentReference w:id="49"/>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sz w:val="22"/>
          <w:szCs w:val="22"/>
          <w:highlight w:val="white"/>
          <w:rtl w:val="0"/>
        </w:rPr>
        <w:t xml:space="preserve">Yet another advantage of the proposed approach is that the statistical inference is based on a well defined parametrized function. Therefore extending the approach to cases in which we are interested in comparing multiple conditions are possible. Also possible are extending the model to include terms that explain batch effect or systematic errors.</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u w:val="single"/>
          <w:rtl w:val="0"/>
        </w:rPr>
        <w:t xml:space="preserve">3.2.7 Future developments of uniform precessing pipelines in ENCODE4</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rtl w:val="0"/>
        </w:rPr>
        <w:t xml:space="preserve">During ENCODE4, we will continue to assess the performance of various uniform processing pipelines on the new experimental datasets. In collaboration with members of various working groups, we will make minor updates to the quality metrics as well as assess the accuracy of the long RNA-seq, whole genome bisulfite-seq and TF ChIP-seq pipelines on the new data. In addition, we will further develop new pipelines to uniformly process broad peak histone marks as well as other functional genomic experiments such as Hi-C, small RNA-seq, and CLIP-seq data sets.  </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u w:val="single"/>
          <w:rtl w:val="0"/>
        </w:rPr>
        <w:t xml:space="preserve">3.2.7.1 Future Developments to RNA-seq pipelines</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rtl w:val="0"/>
        </w:rPr>
        <w:t xml:space="preserve">During the next ENCODE phase, the Guigo lab will continue the efforts on pipeline prototype, benchmarking and implementation</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1. Developing, benchmarking and implementing pipelines for different RNA types.</w:t>
      </w:r>
      <w:r w:rsidDel="00000000" w:rsidR="00000000" w:rsidRPr="00000000">
        <w:rPr>
          <w:rFonts w:ascii="Arial" w:cs="Arial" w:eastAsia="Arial" w:hAnsi="Arial"/>
          <w:sz w:val="22"/>
          <w:szCs w:val="22"/>
          <w:rtl w:val="0"/>
        </w:rPr>
        <w:t xml:space="preserve"> While substantial effort has been devoted to the long RNASeq pipeline, pipelines for other RNA types are less developed. This includes pipelines for small RNAs and RAMPAGE, Clip-seq, and other technologies that are currently in use in ENCODE, as well as other technologies that could be eventually in use, such as nascent RNA-seq, Ribosomal profiling, etc. Two technolgoical develpopments appear to be particularly relevant in the field of RNA sequencing: single cell sequencing and sequencing of longer reads. We will thus pay particular effort to these areas, in which we have already started to investigate. In particular, we present next the pipeline being developed at the Guigo lab for long RNA-seq reads (i.e. those produced by technologies such as PacBio, Oxford Nanopore, 10x and others). </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A pipeline for long RNA-seq reads</w:t>
      </w:r>
      <w:r w:rsidDel="00000000" w:rsidR="00000000" w:rsidRPr="00000000">
        <w:rPr>
          <w:rFonts w:ascii="Arial" w:cs="Arial" w:eastAsia="Arial" w:hAnsi="Arial"/>
          <w:sz w:val="22"/>
          <w:szCs w:val="22"/>
          <w:rtl w:val="0"/>
        </w:rPr>
        <w:t xml:space="preserve">. The pipeline includes the following steps (Fig x)</w:t>
      </w:r>
      <w:r w:rsidDel="00000000" w:rsidR="00000000" w:rsidRPr="00000000">
        <w:rPr>
          <w:rtl w:val="0"/>
        </w:rPr>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Calling Reads-of-Insert (ROI). </w:t>
      </w:r>
      <w:r w:rsidDel="00000000" w:rsidR="00000000" w:rsidRPr="00000000">
        <w:rPr>
          <w:rFonts w:ascii="Arial" w:cs="Arial" w:eastAsia="Arial" w:hAnsi="Arial"/>
          <w:sz w:val="22"/>
          <w:szCs w:val="22"/>
          <w:highlight w:val="white"/>
          <w:rtl w:val="0"/>
        </w:rPr>
        <w:t xml:space="preserve">Reads of Insert will be extracted directly from the raw sequences delivered by Zero-mode waveguides (ZWMs) using Pacific Biosciences’ SMRT analysis software (v.2.1+). Only reads with predicted consensus accuracy over a given threshold will generate an ROI in the output FASTQ file. We will keep only those reads fulfilling the “full-length” Iso-Seq criterion (</w:t>
      </w:r>
      <w:r w:rsidDel="00000000" w:rsidR="00000000" w:rsidRPr="00000000">
        <w:rPr>
          <w:rFonts w:ascii="Arial" w:cs="Arial" w:eastAsia="Arial" w:hAnsi="Arial"/>
          <w:i w:val="1"/>
          <w:sz w:val="22"/>
          <w:szCs w:val="22"/>
          <w:highlight w:val="white"/>
          <w:rtl w:val="0"/>
        </w:rPr>
        <w:t xml:space="preserve">i.e.</w:t>
      </w:r>
      <w:r w:rsidDel="00000000" w:rsidR="00000000" w:rsidRPr="00000000">
        <w:rPr>
          <w:rFonts w:ascii="Arial" w:cs="Arial" w:eastAsia="Arial" w:hAnsi="Arial"/>
          <w:sz w:val="22"/>
          <w:szCs w:val="22"/>
          <w:highlight w:val="white"/>
          <w:rtl w:val="0"/>
        </w:rPr>
        <w:t xml:space="preserve"> reads bounded by a library adapter at each end) for further analysis.</w:t>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Mapping ROIs. </w:t>
      </w:r>
      <w:r w:rsidDel="00000000" w:rsidR="00000000" w:rsidRPr="00000000">
        <w:rPr>
          <w:rFonts w:ascii="Arial" w:cs="Arial" w:eastAsia="Arial" w:hAnsi="Arial"/>
          <w:sz w:val="22"/>
          <w:szCs w:val="22"/>
          <w:highlight w:val="white"/>
          <w:rtl w:val="0"/>
        </w:rPr>
        <w:t xml:space="preserve">Mapping of ROIs to the reference genome will be carried out using the STAR software (which our tests have shown to be very efficitine) or a comparable mapper. </w:t>
      </w:r>
      <w:r w:rsidDel="00000000" w:rsidR="00000000" w:rsidRPr="00000000">
        <w:rPr>
          <w:rFonts w:ascii="Arial" w:cs="Arial" w:eastAsia="Arial" w:hAnsi="Arial"/>
          <w:sz w:val="22"/>
          <w:szCs w:val="22"/>
          <w:rtl w:val="0"/>
        </w:rPr>
        <w:t xml:space="preserve">To improve splice junctions mapping accuracy, a current GENCODE reference annotation will be provided as a guide to the aligner. </w:t>
      </w:r>
      <w:r w:rsidDel="00000000" w:rsidR="00000000" w:rsidRPr="00000000">
        <w:rPr>
          <w:rtl w:val="0"/>
        </w:rPr>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Splice junctions. </w:t>
      </w:r>
      <w:r w:rsidDel="00000000" w:rsidR="00000000" w:rsidRPr="00000000">
        <w:rPr>
          <w:rFonts w:ascii="Arial" w:cs="Arial" w:eastAsia="Arial" w:hAnsi="Arial"/>
          <w:sz w:val="22"/>
          <w:szCs w:val="22"/>
          <w:highlight w:val="white"/>
          <w:rtl w:val="0"/>
        </w:rPr>
        <w:t xml:space="preserve">Given the relatively high error rate of the SMRT technology, we will analyze further only those spliced ROIs that are composed entirely of canonical introns (GC/AG or GT/AG), and take advantage of these splicing motifs to ‘strand’ the transcript</w:t>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Calling Poly-adenylated ROIs and polyA sites. </w:t>
      </w:r>
      <w:r w:rsidDel="00000000" w:rsidR="00000000" w:rsidRPr="00000000">
        <w:rPr>
          <w:rFonts w:ascii="Arial" w:cs="Arial" w:eastAsia="Arial" w:hAnsi="Arial"/>
          <w:sz w:val="22"/>
          <w:szCs w:val="22"/>
          <w:highlight w:val="white"/>
          <w:rtl w:val="0"/>
        </w:rPr>
        <w:t xml:space="preserve">Poly-adenylated ROIs are characterized by a terminal polyA/polyT stretch that cannot be mapped to the genome. Mapped ROIs with polyA/polyT stretches longer than 20 nucleotides (10% mismatches allowed) with no immediate upstream A-rich genomic sequence will be further analyzed, and used together with the splice junctions to infer the genomic strand of the corresponding transcript.</w:t>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highlight w:val="white"/>
          <w:rtl w:val="0"/>
        </w:rPr>
        <w:t xml:space="preserve">Calling transcription start sites (TSSs). </w:t>
      </w:r>
      <w:r w:rsidDel="00000000" w:rsidR="00000000" w:rsidRPr="00000000">
        <w:rPr>
          <w:rFonts w:ascii="Arial" w:cs="Arial" w:eastAsia="Arial" w:hAnsi="Arial"/>
          <w:sz w:val="22"/>
          <w:szCs w:val="22"/>
          <w:highlight w:val="white"/>
          <w:rtl w:val="0"/>
        </w:rPr>
        <w:t xml:space="preserve">The 5’ ends of ROIs will be collapsed into TSS clusters. The 5’ ends of ROIs that are located &lt; 20 nt away from each other will be clustered together. Next, the ROI TSS clusters will be compared against a set of FANTOM5 strict TSS peaks from matched tissues. The ROI TSSs that are located within 20 nucleotides from the closest FANTOM5 strict TSS on the same chromosome strand will be considered as genuine.</w:t>
      </w:r>
    </w:p>
    <w:p w:rsidR="00000000" w:rsidDel="00000000" w:rsidP="00000000" w:rsidRDefault="00000000" w:rsidRPr="00000000">
      <w:pPr>
        <w:numPr>
          <w:ilvl w:val="0"/>
          <w:numId w:val="10"/>
        </w:numPr>
        <w:spacing w:after="280" w:before="280" w:lineRule="auto"/>
        <w:ind w:left="720" w:hanging="360"/>
        <w:contextualSpacing w:val="1"/>
        <w:rPr>
          <w:rFonts w:ascii="Arial" w:cs="Arial" w:eastAsia="Arial" w:hAnsi="Arial"/>
          <w:sz w:val="22"/>
          <w:szCs w:val="22"/>
          <w:highlight w:val="white"/>
          <w:u w:val="none"/>
        </w:rPr>
      </w:pP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b w:val="1"/>
          <w:sz w:val="22"/>
          <w:szCs w:val="22"/>
          <w:highlight w:val="white"/>
          <w:rtl w:val="0"/>
        </w:rPr>
        <w:t xml:space="preserve">Extracting full-length transcripts and comparing them to existing annotations. </w:t>
      </w:r>
      <w:r w:rsidDel="00000000" w:rsidR="00000000" w:rsidRPr="00000000">
        <w:rPr>
          <w:rFonts w:ascii="Arial" w:cs="Arial" w:eastAsia="Arial" w:hAnsi="Arial"/>
          <w:sz w:val="22"/>
          <w:szCs w:val="22"/>
          <w:highlight w:val="white"/>
          <w:rtl w:val="0"/>
        </w:rPr>
        <w:t xml:space="preserve">The ROI reads will be merged into full-length transcripts using in-house developed pipeline (</w:t>
      </w:r>
      <w:r w:rsidDel="00000000" w:rsidR="00000000" w:rsidRPr="00000000">
        <w:rPr>
          <w:rFonts w:ascii="Arial" w:cs="Arial" w:eastAsia="Arial" w:hAnsi="Arial"/>
          <w:i w:val="1"/>
          <w:sz w:val="22"/>
          <w:szCs w:val="22"/>
          <w:highlight w:val="white"/>
          <w:rtl w:val="0"/>
        </w:rPr>
        <w:t xml:space="preserve">compmerge</w:t>
      </w:r>
      <w:r w:rsidDel="00000000" w:rsidR="00000000" w:rsidRPr="00000000">
        <w:rPr>
          <w:rFonts w:ascii="Arial" w:cs="Arial" w:eastAsia="Arial" w:hAnsi="Arial"/>
          <w:sz w:val="22"/>
          <w:szCs w:val="22"/>
          <w:highlight w:val="white"/>
          <w:rtl w:val="0"/>
        </w:rPr>
        <w:t xml:space="preserve">) similar to </w:t>
      </w:r>
      <w:r w:rsidDel="00000000" w:rsidR="00000000" w:rsidRPr="00000000">
        <w:rPr>
          <w:rFonts w:ascii="Arial" w:cs="Arial" w:eastAsia="Arial" w:hAnsi="Arial"/>
          <w:i w:val="1"/>
          <w:sz w:val="22"/>
          <w:szCs w:val="22"/>
          <w:highlight w:val="white"/>
          <w:rtl w:val="0"/>
        </w:rPr>
        <w:t xml:space="preserve">cuffmerge</w:t>
      </w:r>
      <w:r w:rsidDel="00000000" w:rsidR="00000000" w:rsidRPr="00000000">
        <w:rPr>
          <w:rFonts w:ascii="Arial" w:cs="Arial" w:eastAsia="Arial" w:hAnsi="Arial"/>
          <w:sz w:val="22"/>
          <w:szCs w:val="22"/>
          <w:highlight w:val="white"/>
          <w:rtl w:val="0"/>
        </w:rPr>
        <w:t xml:space="preserve">. Merging is based on the intron structure: only ROIs displaying compatible intron structure will be merged into single full-length transcripts. Next, the set of full-length Iso-Seq transcripts will be compared to existing annotations by comparing their intron structures, TSSs and TTSs.</w:t>
      </w:r>
    </w:p>
    <w:p w:rsidR="00000000" w:rsidDel="00000000" w:rsidP="00000000" w:rsidRDefault="00000000" w:rsidRPr="00000000">
      <w:pPr>
        <w:spacing w:after="280" w:before="280" w:lineRule="auto"/>
        <w:contextualSpacing w:val="0"/>
      </w:pPr>
      <w:r w:rsidDel="00000000" w:rsidR="00000000" w:rsidRPr="00000000">
        <w:drawing>
          <wp:inline distB="114300" distT="114300" distL="114300" distR="114300">
            <wp:extent cx="4871659" cy="3403600"/>
            <wp:effectExtent b="0" l="0" r="0" t="0"/>
            <wp:docPr descr="pacbio.pipeline.v2.png" id="1" name="image10.png"/>
            <a:graphic>
              <a:graphicData uri="http://schemas.openxmlformats.org/drawingml/2006/picture">
                <pic:pic>
                  <pic:nvPicPr>
                    <pic:cNvPr descr="pacbio.pipeline.v2.png" id="0" name="image10.png"/>
                    <pic:cNvPicPr preferRelativeResize="0"/>
                  </pic:nvPicPr>
                  <pic:blipFill>
                    <a:blip r:embed="rId84"/>
                    <a:srcRect b="0" l="0" r="0" t="0"/>
                    <a:stretch>
                      <a:fillRect/>
                    </a:stretch>
                  </pic:blipFill>
                  <pic:spPr>
                    <a:xfrm>
                      <a:off x="0" y="0"/>
                      <a:ext cx="4871659" cy="3403600"/>
                    </a:xfrm>
                    <a:prstGeom prst="rect"/>
                    <a:ln/>
                  </pic:spPr>
                </pic:pic>
              </a:graphicData>
            </a:graphic>
          </wp:inline>
        </w:drawing>
      </w:r>
      <w:r w:rsidDel="00000000" w:rsidR="00000000" w:rsidRPr="00000000">
        <w:rPr>
          <w:rtl w:val="0"/>
        </w:rPr>
      </w:r>
    </w:p>
    <w:p w:rsidR="00000000" w:rsidDel="00000000" w:rsidP="00000000" w:rsidRDefault="00000000" w:rsidRPr="00000000">
      <w:pPr>
        <w:spacing w:after="280" w:before="280" w:lineRule="auto"/>
        <w:ind w:left="0" w:firstLine="0"/>
        <w:contextualSpacing w:val="0"/>
      </w:pPr>
      <w:r w:rsidDel="00000000" w:rsidR="00000000" w:rsidRPr="00000000">
        <w:rPr>
          <w:rFonts w:ascii="Arial" w:cs="Arial" w:eastAsia="Arial" w:hAnsi="Arial"/>
          <w:b w:val="1"/>
          <w:sz w:val="22"/>
          <w:szCs w:val="22"/>
          <w:rtl w:val="0"/>
        </w:rPr>
        <w:t xml:space="preserve">Figure X.</w:t>
      </w:r>
      <w:r w:rsidDel="00000000" w:rsidR="00000000" w:rsidRPr="00000000">
        <w:rPr>
          <w:rFonts w:ascii="Arial" w:cs="Arial" w:eastAsia="Arial" w:hAnsi="Arial"/>
          <w:sz w:val="22"/>
          <w:szCs w:val="22"/>
          <w:rtl w:val="0"/>
        </w:rPr>
        <w:t xml:space="preserve"> Long read RNA-seq pipeline. See text for details.</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2.</w:t>
      </w:r>
      <w:r w:rsidDel="00000000" w:rsidR="00000000" w:rsidRPr="00000000">
        <w:rPr>
          <w:rFonts w:ascii="Arial" w:cs="Arial" w:eastAsia="Arial" w:hAnsi="Arial"/>
          <w:sz w:val="22"/>
          <w:szCs w:val="22"/>
          <w:rtl w:val="0"/>
        </w:rPr>
        <w:t xml:space="preserve"> </w:t>
      </w:r>
      <w:r w:rsidDel="00000000" w:rsidR="00000000" w:rsidRPr="00000000">
        <w:rPr>
          <w:rFonts w:ascii="Arial" w:cs="Arial" w:eastAsia="Arial" w:hAnsi="Arial"/>
          <w:b w:val="1"/>
          <w:sz w:val="22"/>
          <w:szCs w:val="22"/>
          <w:rtl w:val="0"/>
        </w:rPr>
        <w:t xml:space="preserve">Continuous benchmarking of the RNA-seq pipelines.</w:t>
      </w:r>
      <w:r w:rsidDel="00000000" w:rsidR="00000000" w:rsidRPr="00000000">
        <w:rPr>
          <w:rFonts w:ascii="Arial" w:cs="Arial" w:eastAsia="Arial" w:hAnsi="Arial"/>
          <w:sz w:val="22"/>
          <w:szCs w:val="22"/>
          <w:rtl w:val="0"/>
        </w:rPr>
        <w:t xml:space="preserve"> The RNA-seq pipelines will be continuously benchmarked in response to new developments in software methods and sequencing technologies. Moreover, many large scale functional genomics projects, other than ENCODE, are currently generating overall tens of thousands of RNA-seq samples. Each project (i.e. BluePrint, the Epigenomics RoadMap, TCGA, GTEx, FANTOM, …) uses slightly different experimental and computational protocols, which makes cross-project analysis difficult. The Guigo Lab will 1) produce comparative benchmarkings of the pipelines used across these projects 2) reach out the projects’ leadership in an effort to harmonize pipelines and 3) develop methods for normalization across projects. The Guigo lab is collaborating with the Group of Alvis Brazma, the team leader at Functional Genomics at the European Bioinformatics Institute, and who oversees ArrayExpress (</w:t>
      </w:r>
      <w:hyperlink r:id="rId85">
        <w:r w:rsidDel="00000000" w:rsidR="00000000" w:rsidRPr="00000000">
          <w:rPr>
            <w:rFonts w:ascii="Arial" w:cs="Arial" w:eastAsia="Arial" w:hAnsi="Arial"/>
            <w:sz w:val="22"/>
            <w:szCs w:val="22"/>
            <w:rtl w:val="0"/>
          </w:rPr>
          <w:t xml:space="preserve">https://www.ebi.ac.uk/arrayexpress/</w:t>
        </w:r>
      </w:hyperlink>
      <w:r w:rsidDel="00000000" w:rsidR="00000000" w:rsidRPr="00000000">
        <w:rPr>
          <w:rFonts w:ascii="Arial" w:cs="Arial" w:eastAsia="Arial" w:hAnsi="Arial"/>
          <w:sz w:val="22"/>
          <w:szCs w:val="22"/>
          <w:rtl w:val="0"/>
        </w:rPr>
        <w:t xml:space="preserve">) and the Expression Atlas (</w:t>
      </w:r>
      <w:hyperlink r:id="rId86">
        <w:r w:rsidDel="00000000" w:rsidR="00000000" w:rsidRPr="00000000">
          <w:rPr>
            <w:rFonts w:ascii="Arial" w:cs="Arial" w:eastAsia="Arial" w:hAnsi="Arial"/>
            <w:sz w:val="22"/>
            <w:szCs w:val="22"/>
            <w:rtl w:val="0"/>
          </w:rPr>
          <w:t xml:space="preserve">https://www.ebi.ac.uk/gxa/home</w:t>
        </w:r>
      </w:hyperlink>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b w:val="1"/>
          <w:sz w:val="22"/>
          <w:szCs w:val="22"/>
          <w:rtl w:val="0"/>
        </w:rPr>
        <w:t xml:space="preserve">3. Recomputing gene expression levels in a new genome assembly.</w:t>
      </w:r>
      <w:r w:rsidDel="00000000" w:rsidR="00000000" w:rsidRPr="00000000">
        <w:rPr>
          <w:rFonts w:ascii="Arial" w:cs="Arial" w:eastAsia="Arial" w:hAnsi="Arial"/>
          <w:sz w:val="22"/>
          <w:szCs w:val="22"/>
          <w:rtl w:val="0"/>
        </w:rPr>
        <w:t xml:space="preserve"> An important challenge that all genome-reference data faces is the updating to new release of the human genome sequence. Moving from one assembly to the next involves the mapping of all primary raw read sequence data to the new assembly, which is time consuming and requires an increasing amount of resources. The Guigo Lab will explore methods to lift-over transcript quantifications across human genome assemblies that will not require remapping of the reads. The underlying idea is that only reads originating from altered regions of the genome will need to be remapped, while the quantifications of genes and transcripts located in other regions can be updated without read remapping. Related to this, the Gerstein lab will continue to develop methods that make use of a personal genome approach for the analysis of function genomic data such as RNA-Seq data in terms of running the RNA-Seq analysis pipeline using reads mapping to the diploid personal genome sequence corresponding to the individual from whom the samples was sourced when possible (such as the ENTex samples). </w:t>
      </w:r>
      <w:r w:rsidDel="00000000" w:rsidR="00000000" w:rsidRPr="00000000">
        <w:rPr>
          <w:rtl w:val="0"/>
        </w:rPr>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u w:val="single"/>
          <w:rtl w:val="0"/>
        </w:rPr>
        <w:t xml:space="preserve">3.2.7.2 Further development of the ChIP-seq pipeline for histone marks and DNase</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Weng and Kundaje labs are also collaborating on a larger systematic evaluation of histone ChIP-seq and DNase-seq peak callers. We expect this work to be in review by the end of 2016.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Gerstein lab has recently developed a histone ChIP-seq multi-scale peak caller called MUSIC{Harmanci:2014gx}. MUSIC utilizes  multiscale decomposition of the ChIP-Seq signal profile in conjunction with a novel mappability correction for mediating the effects of the data. MUSIC outperforms other methods in terms of identifying enriched regions within broad histone marks such as H3K36me3 and in terms of correlating these enriched regions with expression profiles measured in the ENCODE project.</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For ENCODE4, we plan to develop a principled measure for evaluating reproducibility of histone ChIP-seq data using a multi-scale binning approach (similar to MUSIC) coupled with the IDR framework. This approach will be less sensitive to the problems that plague most histone ChIP-seq peak callers - instability of peak boundaries and the effects of peak splitting and merging across replicates. The method will compute signal enrichment scores in replicate datasets for non-overlapping bins at different scales. The IDR method will then be used to evaluate the number of reproducible and rank consistent bins across the true replicates. Contiguous reproducible bins will be merged and reproducible bins across multiple scales will be reconciled using a hierachical merging strategy to obtain narrow and broad regions of variable size. These regions will then be refined using signal processing methods for boundary detection. An analogous analysis will be performed on pairs of pseudo-replicates obtained by randomly subsampling reads from each replicate or by subsampling reads pooled across all true replicates. The reproducible peaks identified across true replicates will then be compared to those obtained from the pseudo-replicates to obtain a robust measure of reproducibility.</w:t>
      </w:r>
      <w:r w:rsidDel="00000000" w:rsidR="00000000" w:rsidRPr="00000000">
        <w:rPr>
          <w:rtl w:val="0"/>
        </w:rPr>
      </w:r>
    </w:p>
    <w:p w:rsidR="00000000" w:rsidDel="00000000" w:rsidP="00000000" w:rsidRDefault="00000000" w:rsidRPr="00000000">
      <w:pPr>
        <w:spacing w:after="280" w:before="280" w:lineRule="auto"/>
        <w:contextualSpacing w:val="0"/>
      </w:pPr>
      <w:r w:rsidDel="00000000" w:rsidR="00000000" w:rsidRPr="00000000">
        <w:rPr>
          <w:rFonts w:ascii="Arial" w:cs="Arial" w:eastAsia="Arial" w:hAnsi="Arial"/>
          <w:sz w:val="22"/>
          <w:szCs w:val="22"/>
          <w:u w:val="single"/>
          <w:rtl w:val="0"/>
        </w:rPr>
        <w:t xml:space="preserve">3.2.7.3 Development of a Uniform Processing Pipeline for Hi-C in ENCODE4</w:t>
      </w:r>
      <w:r w:rsidDel="00000000" w:rsidR="00000000" w:rsidRPr="00000000">
        <w:rPr>
          <w:rtl w:val="0"/>
        </w:rPr>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22"/>
          <w:szCs w:val="22"/>
          <w:rtl w:val="0"/>
        </w:rPr>
        <w:t xml:space="preserve">A standard Hi-C pipeline was not part of ENCODE 3. In ENCODE 4 we plan to develop this. The Noble lab has been involved in the development of methods for high throughput characterization of chromatin 3D architecture since the publication in 2010 of our initial Hi-C-like method, developed collaboratively with several other labs in the Department of Genome Sciences at the University of Washington (Duan 2010 20436457). Subsequently, the Noble lab has collaborated on the development of several novel chromatin conformation assays (Ma 2015 25437436; Ay 2015 25887659), we have investigated the architecture of a variety of systems, including breast cancer (Zeitz 2013 24019942), 22q11.2 deletion syndrome (Zeitz 2013 24448439), the malaria parasite </w:t>
      </w:r>
      <w:r w:rsidDel="00000000" w:rsidR="00000000" w:rsidRPr="00000000">
        <w:rPr>
          <w:rFonts w:ascii="Arial" w:cs="Arial" w:eastAsia="Arial" w:hAnsi="Arial"/>
          <w:i w:val="1"/>
          <w:sz w:val="22"/>
          <w:szCs w:val="22"/>
          <w:rtl w:val="0"/>
        </w:rPr>
        <w:t xml:space="preserve">Plasmodium falciparum</w:t>
      </w:r>
      <w:r w:rsidDel="00000000" w:rsidR="00000000" w:rsidRPr="00000000">
        <w:rPr>
          <w:rFonts w:ascii="Arial" w:cs="Arial" w:eastAsia="Arial" w:hAnsi="Arial"/>
          <w:sz w:val="22"/>
          <w:szCs w:val="22"/>
          <w:rtl w:val="0"/>
        </w:rPr>
        <w:t xml:space="preserve"> (Ay 2014 24671853; Ay 2015 25394267), the mouse cell cycle (Dileep 2015 25995270), and the mouse X chromosome (Deng 2015 26248554), and we have developed analytical methods for identifying colocalized sets of genomic loci (Witten 2012 22266657), calling statistically significant contacts (Ay 2014 24501021), inferring centromere positions (Varoquaux 2015 25940625), and inferring 3D structures from Hi-C data (Varoquaux 2014 24931992).</w:t>
      </w:r>
      <w:r w:rsidDel="00000000" w:rsidR="00000000" w:rsidRPr="00000000">
        <w:rPr>
          <w:rtl w:val="0"/>
        </w:rPr>
      </w:r>
    </w:p>
    <w:p w:rsidR="00000000" w:rsidDel="00000000" w:rsidP="00000000" w:rsidRDefault="00000000" w:rsidRPr="00000000">
      <w:pPr>
        <w:keepLines w:val="1"/>
        <w:spacing w:before="240" w:lineRule="auto"/>
        <w:ind w:firstLine="340"/>
        <w:contextualSpacing w:val="0"/>
      </w:pPr>
      <w:r w:rsidDel="00000000" w:rsidR="00000000" w:rsidRPr="00000000">
        <w:rPr>
          <w:rtl w:val="0"/>
        </w:rPr>
      </w:r>
    </w:p>
    <w:p w:rsidR="00000000" w:rsidDel="00000000" w:rsidP="00000000" w:rsidRDefault="00000000" w:rsidRPr="00000000">
      <w:pPr>
        <w:keepLines w:val="1"/>
        <w:spacing w:after="120" w:before="120" w:lineRule="auto"/>
        <w:contextualSpacing w:val="0"/>
      </w:pPr>
      <w:r w:rsidDel="00000000" w:rsidR="00000000" w:rsidRPr="00000000">
        <w:drawing>
          <wp:inline distB="0" distT="0" distL="114300" distR="114300">
            <wp:extent cx="3897579" cy="1463040"/>
            <wp:effectExtent b="0" l="0" r="0" t="0"/>
            <wp:docPr id="41" name="image93.png"/>
            <a:graphic>
              <a:graphicData uri="http://schemas.openxmlformats.org/drawingml/2006/picture">
                <pic:pic>
                  <pic:nvPicPr>
                    <pic:cNvPr id="0" name="image93.png"/>
                    <pic:cNvPicPr preferRelativeResize="0"/>
                  </pic:nvPicPr>
                  <pic:blipFill>
                    <a:blip r:embed="rId87"/>
                    <a:srcRect b="0" l="0" r="0" t="0"/>
                    <a:stretch>
                      <a:fillRect/>
                    </a:stretch>
                  </pic:blipFill>
                  <pic:spPr>
                    <a:xfrm>
                      <a:off x="0" y="0"/>
                      <a:ext cx="3897579" cy="1463040"/>
                    </a:xfrm>
                    <a:prstGeom prst="rect"/>
                    <a:ln/>
                  </pic:spPr>
                </pic:pic>
              </a:graphicData>
            </a:graphic>
          </wp:inline>
        </w:drawing>
      </w:r>
      <w:r w:rsidDel="00000000" w:rsidR="00000000" w:rsidRPr="00000000">
        <w:rPr>
          <w:rFonts w:ascii="Arial" w:cs="Arial" w:eastAsia="Arial" w:hAnsi="Arial"/>
          <w:rtl w:val="0"/>
        </w:rPr>
        <w:t xml:space="preserve"> </w:t>
      </w:r>
    </w:p>
    <w:p w:rsidR="00000000" w:rsidDel="00000000" w:rsidP="00000000" w:rsidRDefault="00000000" w:rsidRPr="00000000">
      <w:pPr>
        <w:keepLines w:val="1"/>
        <w:spacing w:after="120" w:before="120" w:lineRule="auto"/>
        <w:contextualSpacing w:val="0"/>
      </w:pPr>
      <w:r w:rsidDel="00000000" w:rsidR="00000000" w:rsidRPr="00000000">
        <w:rPr>
          <w:rFonts w:ascii="Arial" w:cs="Arial" w:eastAsia="Arial" w:hAnsi="Arial"/>
          <w:sz w:val="18"/>
          <w:szCs w:val="18"/>
          <w:rtl w:val="0"/>
        </w:rPr>
        <w:t xml:space="preserve">Figure 1: Hi-C analysis pipeline. The 3D structure inference module will only be implemented if scalable inference methods become available.</w:t>
      </w:r>
    </w:p>
    <w:p w:rsidR="00000000" w:rsidDel="00000000" w:rsidP="00000000" w:rsidRDefault="00000000" w:rsidRPr="00000000">
      <w:pPr>
        <w:spacing w:before="240" w:lineRule="auto"/>
        <w:ind w:firstLine="340"/>
        <w:contextualSpacing w:val="0"/>
      </w:pPr>
      <w:r w:rsidDel="00000000" w:rsidR="00000000" w:rsidRPr="00000000">
        <w:rPr>
          <w:rFonts w:ascii="Arial" w:cs="Arial" w:eastAsia="Arial" w:hAnsi="Arial"/>
          <w:sz w:val="22"/>
          <w:szCs w:val="22"/>
          <w:rtl w:val="0"/>
        </w:rPr>
        <w:t xml:space="preserve">We will bring this expertise to bear in the development and deployment of an analysis pipeline for Hi-C data generated by the ENCODE Consortium. The details of this pipeline will necessarily be worked out in collaboration with other members of the AWG, and based upon the nascent pipelines being developed by the NIH’s 4D Nucleome Consortium. Nonetheless, we envision a pipeline with a number of core components (Figure 1, and see our recent review (Ay 2015 26328929)): a mapping module that incorporates sophisticated prior knowledge about sources of noise in Hi-C assays (Ay 2015 26328929), an efficient normalization procedure (</w:t>
      </w:r>
      <w:commentRangeStart w:id="50"/>
      <w:r w:rsidDel="00000000" w:rsidR="00000000" w:rsidRPr="00000000">
        <w:rPr>
          <w:rFonts w:ascii="Arial" w:cs="Arial" w:eastAsia="Arial" w:hAnsi="Arial"/>
          <w:sz w:val="22"/>
          <w:szCs w:val="22"/>
          <w:rtl w:val="0"/>
        </w:rPr>
        <w:t xml:space="preserve">15-21)</w:t>
      </w:r>
      <w:commentRangeEnd w:id="50"/>
      <w:r w:rsidDel="00000000" w:rsidR="00000000" w:rsidRPr="00000000">
        <w:commentReference w:id="50"/>
      </w:r>
      <w:r w:rsidDel="00000000" w:rsidR="00000000" w:rsidRPr="00000000">
        <w:rPr>
          <w:rFonts w:ascii="Arial" w:cs="Arial" w:eastAsia="Arial" w:hAnsi="Arial"/>
          <w:sz w:val="22"/>
          <w:szCs w:val="22"/>
          <w:rtl w:val="0"/>
        </w:rPr>
        <w:t xml:space="preserve">, a QC module that calculates various quality measures about the data, a method such as our own Fit-Hi-C 11 (Ay 2014 24501021) for identifying significant contacts at a specified false discovery rate threshold, a complementary method such as HICCUPS for identifying statistically significant chromatin loops (also known as “peaks”) (Rao 2014 25497547), and a method for calling domains at various scales, from fine-scale chromatin loops, through topologically associating domains up to chromatin compartments (Dixon 2012 22495300; Filippova 2014 24868242; Levy-Leduc 2014 25161224). Importantly, the pipeline will be connected to a powerful visualization engine. Our recent evaluation (presented on the 3D Nucleome subgroup call in August, 2015) suggests that the Wash U Epigenome Browser (Zhou 2011 22127213) is the best current visualization tool, though we will consider other alternatives as they develop. Current methods for inferring three-dimensional structures from Hi-C data do not scale to the full human genome and do not handle diploidy in a principled fashion. We and other groups are actively working on developing such methods, and if they become available, then they may be added to the pipeline. Note that selecting each of the modules in Figure 1 will require extensive validation of existing methods.</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3.2.7.3 Development of Uniform Processing Pipeline for analyzing CLIP-seq data</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Currently no standard pipelines from ENCODE production group have been proposed to predict the binding sites of RNA-binding proteins. If such projects are funded in the next round of ENCODE, the DAC will evaluate existing methods for such data, and will develop new methods if necessary. Depending on the protocol, these experiments involve the sequencing of the entire RNA molecule bound to the protein (for instance, those based on formaldehyde crosslinking). They can be considered RNA enrichment protocols, and standard RNA-seq analysis pipelines can be employed. Other protocols, such those based on UV crosslinking (i.e., CLIP), preferentially recover the RNA fragment specifically bound to the protein, and thus, are more similar to ChIP-seq assays. However, standard ChIP-seq processing pipelines, which rely on genome mapping of the reads, cannot be employed directly because of the split nature of RNA molecules and the prevalence of alternative splicing. Estimating the binding affinity of an RNA binding protein to the correct alternative splicing isoform (as estimated from CLIP-seq, for instance) is not a trivial problem. The DAC will collaborate with the groups eventually producing this novel data type to develop pipelines meeting the ENCODE standards, and ensure that the processing pipelines for such data are consistent with the ENCODE pipelines used for RNA-seq and ChIP-seq analysis.</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u w:val="single"/>
          <w:rtl w:val="0"/>
        </w:rPr>
        <w:t xml:space="preserve">3.2.7.4 Development of Uniform Processing Pipeline for analyzing ATAC-seq data</w:t>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114300" distT="114300" distL="114300" distR="114300">
            <wp:extent cx="3960258" cy="3854450"/>
            <wp:effectExtent b="0" l="0" r="0" t="0"/>
            <wp:docPr id="45" name="image99.png"/>
            <a:graphic>
              <a:graphicData uri="http://schemas.openxmlformats.org/drawingml/2006/picture">
                <pic:pic>
                  <pic:nvPicPr>
                    <pic:cNvPr id="0" name="image99.png"/>
                    <pic:cNvPicPr preferRelativeResize="0"/>
                  </pic:nvPicPr>
                  <pic:blipFill>
                    <a:blip r:embed="rId88"/>
                    <a:srcRect b="0" l="0" r="0" t="0"/>
                    <a:stretch>
                      <a:fillRect/>
                    </a:stretch>
                  </pic:blipFill>
                  <pic:spPr>
                    <a:xfrm>
                      <a:off x="0" y="0"/>
                      <a:ext cx="3960258" cy="38544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i w:val="1"/>
          <w:sz w:val="18"/>
          <w:szCs w:val="18"/>
          <w:highlight w:val="white"/>
          <w:rtl w:val="0"/>
        </w:rPr>
        <w:t xml:space="preserve">Figure ATAC: Quality control measures from the ATAC-seq pipeline. </w:t>
      </w:r>
      <w:r w:rsidDel="00000000" w:rsidR="00000000" w:rsidRPr="00000000">
        <w:rPr>
          <w:rFonts w:ascii="Arial" w:cs="Arial" w:eastAsia="Arial" w:hAnsi="Arial"/>
          <w:i w:val="1"/>
          <w:sz w:val="18"/>
          <w:szCs w:val="18"/>
          <w:highlight w:val="white"/>
          <w:rtl w:val="0"/>
        </w:rPr>
        <w:t xml:space="preserve">(A) Mapping statistics from Bowtie and Samtools (B) Read Filtering Statistics (C) Library complexity measures and Preseq library complexity estimate (D) Fragment length distribution including estimation of nucleosome free fraction (NFR) and mononucleosomal fraction (E) TSS enrichment plot (F) Estimation of nearest cell type based on similarity to reference DNase-seq datasets.</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The assay for transposase-accessible chromatin using sequencing (ATAC-seq) </w:t>
      </w:r>
      <w:r w:rsidDel="00000000" w:rsidR="00000000" w:rsidRPr="00000000">
        <w:rPr>
          <w:rFonts w:ascii="Arial" w:cs="Arial" w:eastAsia="Arial" w:hAnsi="Arial"/>
          <w:sz w:val="22"/>
          <w:szCs w:val="22"/>
          <w:highlight w:val="white"/>
          <w:rtl w:val="0"/>
        </w:rPr>
        <w:t xml:space="preserve">{Buenrostro, 2013}</w:t>
      </w:r>
      <w:r w:rsidDel="00000000" w:rsidR="00000000" w:rsidRPr="00000000">
        <w:rPr>
          <w:rFonts w:ascii="Arial" w:cs="Arial" w:eastAsia="Arial" w:hAnsi="Arial"/>
          <w:color w:val="222222"/>
          <w:sz w:val="19"/>
          <w:szCs w:val="19"/>
          <w:highlight w:val="white"/>
          <w:rtl w:val="0"/>
        </w:rPr>
        <w:t xml:space="preserve"> </w:t>
      </w:r>
      <w:r w:rsidDel="00000000" w:rsidR="00000000" w:rsidRPr="00000000">
        <w:rPr>
          <w:rFonts w:ascii="Arial" w:cs="Arial" w:eastAsia="Arial" w:hAnsi="Arial"/>
          <w:sz w:val="22"/>
          <w:szCs w:val="22"/>
          <w:highlight w:val="white"/>
          <w:rtl w:val="0"/>
        </w:rPr>
        <w:t xml:space="preserve">was recently developed to profile chromatin accessibility in low input samples. We anticipate ATAC-seq experiments will be generated in ENCODE4. The Kundaje lab in collaboration with the Greenleaf and Chang labs (the inventors of ATAC-seq) have developed a prototype of a new ATAC-seq analysis pipeline. The pipeline requires as input raw FASTQ files from the sequencer and generates appropriately mapped and filtered alignment files, peak calls, genome-wide signal coverage tracks as well as a detailed HTML report containing mapping and several novel quality control measures.</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Fonts w:ascii="Arial" w:cs="Arial" w:eastAsia="Arial" w:hAnsi="Arial"/>
          <w:b w:val="1"/>
          <w:i w:val="1"/>
          <w:sz w:val="22"/>
          <w:szCs w:val="22"/>
          <w:highlight w:val="white"/>
          <w:rtl w:val="0"/>
        </w:rPr>
        <w:t xml:space="preserve">Alignment, Peak Calling and genome-wide signal coverage tracks</w:t>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First, we pre-process the FASTQ files to trim adapters using custom scripts.</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The trimmed reads/read-pairs are aligned to a reference genome using the Bowtie2 aligner {cite} allowing a maximum insert size of 2Kb. We filter the alignments to remove reads that are unmapped, unpaired, multimapping (MAPQ &lt; 30) or are not primary alignments. We use PICARD {cite} to mark and then remove duplicates. We also remove all mitochondrial reads. The read coordinates are then adjusted by 4 bp in a strand-specific manner to obtain Tn5 insertion positions.</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We use the MACS2 {cite} peak caller to obtain narrow peaks and subpeaks of enriched signal. Specifically, we use parameters that do not shift read positions (unlike ChIP-seq) and smooth the aggregate read counts by 150 bp (approximate size of a nucleosome).  The peaks are then filtered against the ENCODE blacklist regions {cite}.</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We generate 2 replicates for each sample. Hence, we use the Irreproducible Discovery Rate (IDR) {cite} framework to estimate high confidence, reproducible, rank-consistent peaks which is identical to the procedure outlined in the ChIP-seq pipeline (See Section </w:t>
      </w:r>
      <w:r w:rsidDel="00000000" w:rsidR="00000000" w:rsidRPr="00000000">
        <w:rPr>
          <w:rFonts w:ascii="Arial" w:cs="Arial" w:eastAsia="Arial" w:hAnsi="Arial"/>
          <w:sz w:val="22"/>
          <w:szCs w:val="22"/>
          <w:highlight w:val="yellow"/>
          <w:rtl w:val="0"/>
        </w:rPr>
        <w:t xml:space="preserve">XXX</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1"/>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We also use MACS2 to generate normalized genome-wide signal coverage tracks representing the fold-enrichment and -log10(</w:t>
      </w:r>
      <w:r w:rsidDel="00000000" w:rsidR="00000000" w:rsidRPr="00000000">
        <w:rPr>
          <w:rFonts w:ascii="Arial" w:cs="Arial" w:eastAsia="Arial" w:hAnsi="Arial"/>
          <w:i w:val="1"/>
          <w:sz w:val="22"/>
          <w:szCs w:val="22"/>
          <w:highlight w:val="white"/>
          <w:rtl w:val="0"/>
        </w:rPr>
        <w:t xml:space="preserve">p</w:t>
      </w:r>
      <w:r w:rsidDel="00000000" w:rsidR="00000000" w:rsidRPr="00000000">
        <w:rPr>
          <w:rFonts w:ascii="Arial" w:cs="Arial" w:eastAsia="Arial" w:hAnsi="Arial"/>
          <w:sz w:val="22"/>
          <w:szCs w:val="22"/>
          <w:highlight w:val="white"/>
          <w:rtl w:val="0"/>
        </w:rPr>
        <w:t xml:space="preserve">-value) of ATAC-seq signal at each base pair relative to a Poisson background distribution adjusted for local biases.</w:t>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jc w:val="both"/>
      </w:pPr>
      <w:r w:rsidDel="00000000" w:rsidR="00000000" w:rsidRPr="00000000">
        <w:rPr>
          <w:rFonts w:ascii="Arial" w:cs="Arial" w:eastAsia="Arial" w:hAnsi="Arial"/>
          <w:b w:val="1"/>
          <w:i w:val="1"/>
          <w:sz w:val="22"/>
          <w:szCs w:val="22"/>
          <w:highlight w:val="white"/>
          <w:rtl w:val="0"/>
        </w:rPr>
        <w:t xml:space="preserve">Quality Control Measures</w:t>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contextualSpacing w:val="0"/>
        <w:jc w:val="both"/>
      </w:pPr>
      <w:r w:rsidDel="00000000" w:rsidR="00000000" w:rsidRPr="00000000">
        <w:rPr>
          <w:rFonts w:ascii="Arial" w:cs="Arial" w:eastAsia="Arial" w:hAnsi="Arial"/>
          <w:sz w:val="22"/>
          <w:szCs w:val="22"/>
          <w:highlight w:val="white"/>
          <w:rtl w:val="0"/>
        </w:rPr>
        <w:t xml:space="preserve">Our pipeline also generated a variety of useful quality control measures (</w:t>
      </w:r>
      <w:commentRangeStart w:id="51"/>
      <w:r w:rsidDel="00000000" w:rsidR="00000000" w:rsidRPr="00000000">
        <w:rPr>
          <w:rFonts w:ascii="Arial" w:cs="Arial" w:eastAsia="Arial" w:hAnsi="Arial"/>
          <w:b w:val="1"/>
          <w:sz w:val="22"/>
          <w:szCs w:val="22"/>
          <w:highlight w:val="white"/>
          <w:rtl w:val="0"/>
        </w:rPr>
        <w:t xml:space="preserve">Fig. ATAC</w:t>
      </w:r>
      <w:commentRangeEnd w:id="51"/>
      <w:r w:rsidDel="00000000" w:rsidR="00000000" w:rsidRPr="00000000">
        <w:commentReference w:id="51"/>
      </w:r>
      <w:r w:rsidDel="00000000" w:rsidR="00000000" w:rsidRPr="00000000">
        <w:rPr>
          <w:rFonts w:ascii="Arial" w:cs="Arial" w:eastAsia="Arial" w:hAnsi="Arial"/>
          <w:sz w:val="22"/>
          <w:szCs w:val="22"/>
          <w:highlight w:val="white"/>
          <w:rtl w:val="0"/>
        </w:rPr>
        <w:t xml:space="preserve">) for signal enrichment, reproducibility and detection of potential sample swaps or mislabeling.</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Sequencing statistics</w:t>
      </w:r>
      <w:r w:rsidDel="00000000" w:rsidR="00000000" w:rsidRPr="00000000">
        <w:rPr>
          <w:rFonts w:ascii="Arial" w:cs="Arial" w:eastAsia="Arial" w:hAnsi="Arial"/>
          <w:sz w:val="22"/>
          <w:szCs w:val="22"/>
          <w:highlight w:val="white"/>
          <w:rtl w:val="0"/>
        </w:rPr>
        <w:t xml:space="preserve">: We obtain a variety of mapping statistics from Bowtie2 and PICARD logs including total number of reads, percent aligned reads, Percent reads above MAPQ 30, percent duplicate reads, mitochondrial fraction and the final number of useable reads. We generally require greater than 45 million final useable reads. We also use PICARD to compute GC bias distributions across reads (</w:t>
      </w:r>
      <w:r w:rsidDel="00000000" w:rsidR="00000000" w:rsidRPr="00000000">
        <w:rPr>
          <w:rFonts w:ascii="Arial" w:cs="Arial" w:eastAsia="Arial" w:hAnsi="Arial"/>
          <w:b w:val="1"/>
          <w:sz w:val="22"/>
          <w:szCs w:val="22"/>
          <w:highlight w:val="white"/>
          <w:rtl w:val="0"/>
        </w:rPr>
        <w:t xml:space="preserve">Fig. ATAC A, B)</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Library complexity</w:t>
      </w:r>
      <w:r w:rsidDel="00000000" w:rsidR="00000000" w:rsidRPr="00000000">
        <w:rPr>
          <w:rFonts w:ascii="Arial" w:cs="Arial" w:eastAsia="Arial" w:hAnsi="Arial"/>
          <w:sz w:val="22"/>
          <w:szCs w:val="22"/>
          <w:highlight w:val="white"/>
          <w:rtl w:val="0"/>
        </w:rPr>
        <w:t xml:space="preserve">: We compute a variety of library complexity measures including the PCR Bottleneck coefficient (PBC) and the non-redundant fraction (NRF) as specified in the ENCODE ChIP-seq standards {cite: Landt et al}. We further use PRESEQ {cite} and PICARD to estimate the true library complexity (</w:t>
      </w:r>
      <w:r w:rsidDel="00000000" w:rsidR="00000000" w:rsidRPr="00000000">
        <w:rPr>
          <w:rFonts w:ascii="Arial" w:cs="Arial" w:eastAsia="Arial" w:hAnsi="Arial"/>
          <w:b w:val="1"/>
          <w:sz w:val="22"/>
          <w:szCs w:val="22"/>
          <w:highlight w:val="white"/>
          <w:rtl w:val="0"/>
        </w:rPr>
        <w:t xml:space="preserve">Fig. ATAC-C)</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Fragment Length statistics</w:t>
      </w:r>
      <w:r w:rsidDel="00000000" w:rsidR="00000000" w:rsidRPr="00000000">
        <w:rPr>
          <w:rFonts w:ascii="Arial" w:cs="Arial" w:eastAsia="Arial" w:hAnsi="Arial"/>
          <w:sz w:val="22"/>
          <w:szCs w:val="22"/>
          <w:highlight w:val="white"/>
          <w:rtl w:val="0"/>
        </w:rPr>
        <w:t xml:space="preserve">: We have further developed a novel method to estimate quality of a paired-end ATAC-seq library that leverages fragment length distributions. Fragment length distributions of high quality libraries not only exhibit strong enrichment of short fragments (60-100 bp) representing accessible chromatin but also a peak of enrichment for mononucleosomal fraction (180-220 bp). Low quality libraries that involve random fragmentation of DNA with no explicit enrichment at open chromatin have weak or absent nucleosomal fractions. To estimate these fractions, we fit a mixture of gamma distributions to the fragment length distribution. We then compute the fraction of reads in nucleosome free fraction (NFR), a ratio of the NFR fraction to the mono-nucleosomal fraction. We also flag the presence or absence of the NFR peak, mononucleosomal and dinucleosomal peaks in the fragment length distribution (</w:t>
      </w:r>
      <w:r w:rsidDel="00000000" w:rsidR="00000000" w:rsidRPr="00000000">
        <w:rPr>
          <w:rFonts w:ascii="Arial" w:cs="Arial" w:eastAsia="Arial" w:hAnsi="Arial"/>
          <w:b w:val="1"/>
          <w:sz w:val="22"/>
          <w:szCs w:val="22"/>
          <w:highlight w:val="white"/>
          <w:rtl w:val="0"/>
        </w:rPr>
        <w:t xml:space="preserve">Fig. ATAC-D)</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Enrichment measures:</w:t>
      </w:r>
      <w:r w:rsidDel="00000000" w:rsidR="00000000" w:rsidRPr="00000000">
        <w:rPr>
          <w:rFonts w:ascii="Arial" w:cs="Arial" w:eastAsia="Arial" w:hAnsi="Arial"/>
          <w:sz w:val="22"/>
          <w:szCs w:val="22"/>
          <w:highlight w:val="white"/>
          <w:rtl w:val="0"/>
        </w:rPr>
        <w:t xml:space="preserve"> In order to estimate enrichment scores we compute the fraction of reads in peaks, fraction of reads in peaks overlapping annotated promoters, fraction of reads in peaks not overlapping annotated promoters (to estimate promoter bias), fraction of reads in a universal set of DNase hypersensitive sites from ~300 diverse cell types and tissues from ENCODE and the Roadmap Epigenomics project, relative fold-enrichment at TSSs relative to 5KB away from TSSs and fraction of reads in ENCODE blacklist regions (</w:t>
      </w:r>
      <w:r w:rsidDel="00000000" w:rsidR="00000000" w:rsidRPr="00000000">
        <w:rPr>
          <w:rFonts w:ascii="Arial" w:cs="Arial" w:eastAsia="Arial" w:hAnsi="Arial"/>
          <w:b w:val="1"/>
          <w:sz w:val="22"/>
          <w:szCs w:val="22"/>
          <w:highlight w:val="white"/>
          <w:rtl w:val="0"/>
        </w:rPr>
        <w:t xml:space="preserve">Fig. ATAC-E)</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numPr>
          <w:ilvl w:val="0"/>
          <w:numId w:val="3"/>
        </w:numPr>
        <w:ind w:left="720" w:hanging="360"/>
        <w:contextualSpacing w:val="1"/>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u w:val="single"/>
          <w:rtl w:val="0"/>
        </w:rPr>
        <w:t xml:space="preserve">Nearest reference cell type/tissue for detection of mislabeled samples</w:t>
      </w:r>
      <w:r w:rsidDel="00000000" w:rsidR="00000000" w:rsidRPr="00000000">
        <w:rPr>
          <w:rFonts w:ascii="Arial" w:cs="Arial" w:eastAsia="Arial" w:hAnsi="Arial"/>
          <w:sz w:val="22"/>
          <w:szCs w:val="22"/>
          <w:highlight w:val="white"/>
          <w:rtl w:val="0"/>
        </w:rPr>
        <w:t xml:space="preserve">: We compare a target ATAC-seq dataset to reference DNase-seq datasets from ~300 diverse cell types and tissues from ENCODE and the Roadmap Epigenomics project. Specifically, we obtain a universal set of DNase-seq peaks (a union) across all cell types. We then compute the correlation of the ATAC-seq signal to the signal from each reference DNase-seq dataset across the universal peak set. We rank the reference cell types in descending order to correlation. The top 10 most similar reference samples should be biologically similar to the target cell-type/tissue of the ATAC-seq sample. This analysis allows us to identify potential gross sample swaps or mislabeling of datasets (</w:t>
      </w:r>
      <w:r w:rsidDel="00000000" w:rsidR="00000000" w:rsidRPr="00000000">
        <w:rPr>
          <w:rFonts w:ascii="Arial" w:cs="Arial" w:eastAsia="Arial" w:hAnsi="Arial"/>
          <w:b w:val="1"/>
          <w:sz w:val="22"/>
          <w:szCs w:val="22"/>
          <w:highlight w:val="white"/>
          <w:rtl w:val="0"/>
        </w:rPr>
        <w:t xml:space="preserve">Fig. ATAC-F)</w:t>
      </w:r>
      <w:r w:rsidDel="00000000" w:rsidR="00000000" w:rsidRPr="00000000">
        <w:rPr>
          <w:rFonts w:ascii="Arial" w:cs="Arial" w:eastAsia="Arial" w:hAnsi="Arial"/>
          <w:sz w:val="22"/>
          <w:szCs w:val="22"/>
          <w:highlight w:val="white"/>
          <w:rtl w:val="0"/>
        </w:rPr>
        <w:t xml:space="preserv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spacing w:after="100" w:lineRule="auto"/>
        <w:contextualSpacing w:val="0"/>
      </w:pPr>
      <w:commentRangeStart w:id="52"/>
      <w:r w:rsidDel="00000000" w:rsidR="00000000" w:rsidRPr="00000000">
        <w:rPr>
          <w:rFonts w:ascii="Arial" w:cs="Arial" w:eastAsia="Arial" w:hAnsi="Arial"/>
          <w:b w:val="1"/>
          <w:sz w:val="22"/>
          <w:szCs w:val="22"/>
          <w:rtl w:val="0"/>
        </w:rPr>
        <w:t xml:space="preserve">3.3. </w:t>
      </w:r>
      <w:r w:rsidDel="00000000" w:rsidR="00000000" w:rsidRPr="00000000">
        <w:rPr>
          <w:rFonts w:ascii="Arial" w:cs="Arial" w:eastAsia="Arial" w:hAnsi="Arial"/>
          <w:b w:val="1"/>
          <w:sz w:val="22"/>
          <w:szCs w:val="22"/>
          <w:rtl w:val="0"/>
        </w:rPr>
        <w:t xml:space="preserve">Facilitating focused analysis in the consortium to adapt the encyclopedia to specific contexts</w:t>
      </w:r>
      <w:commentRangeEnd w:id="52"/>
      <w:r w:rsidDel="00000000" w:rsidR="00000000" w:rsidRPr="00000000">
        <w:commentReference w:id="52"/>
      </w: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u w:val="single"/>
          <w:rtl w:val="0"/>
        </w:rPr>
        <w:t xml:space="preserve">3.3.1 Overview</w:t>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A main function of the DAC is to produce the standardized outputs from the various pipelines and extract the basic elements into the encyclopedia from these. It will also make the encyclopedia available to the various communities. For instance, functional elements can be used for variant interpretation, or for analysis of more elaborate structures such as chromatin loops. These analyses would be carried out by the DAC, and the rules would be discussed in the analysis group. Often this effort would be focused around producing papers that focus on developing and documenting annotation sets and using them in practical contexts to ensure usefulness for the scientific community.</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Previously, there have been several roll outs of ENCODE publications. To optimize the future rollouts, we will review the organization of the previous ones. Next, we will summarize the structure of the AWG subgroups and how the DAC has operated within to foster specific analyses, annotations, and manuscripts in some areas related to the ENCODE annotation.</w:t>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line="276" w:lineRule="auto"/>
        <w:contextualSpacing w:val="0"/>
      </w:pPr>
      <w:r w:rsidDel="00000000" w:rsidR="00000000" w:rsidRPr="00000000">
        <w:rPr>
          <w:rFonts w:ascii="Arial" w:cs="Arial" w:eastAsia="Arial" w:hAnsi="Arial"/>
          <w:sz w:val="22"/>
          <w:szCs w:val="22"/>
          <w:rtl w:val="0"/>
        </w:rPr>
        <w:t xml:space="preserve">The DAC, AWG and DCC will ensure that all the primary data and analyses results are available in uniform formats. This will be coordinated through the encodeproject.org portal, which will distribute to the public the metadata, including versions of programs and pipelines (as for the TF-ChIP and RNA-Seq pipelines in ENCODE3). For each type of functional element (including enhancers, promoters, transcripts, alternative splice forms, transcription start/end sites, genome segmentation, transcription factor, and RNA-binding protein sites), we will establish a unique and standardized representation and each data type will be overseen by a single coordinator.</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u w:val="single"/>
          <w:rtl w:val="0"/>
        </w:rPr>
        <w:t xml:space="preserve">3.3.2 F</w:t>
      </w:r>
      <w:r w:rsidDel="00000000" w:rsidR="00000000" w:rsidRPr="00000000">
        <w:rPr>
          <w:rFonts w:ascii="Arial" w:cs="Arial" w:eastAsia="Arial" w:hAnsi="Arial"/>
          <w:sz w:val="22"/>
          <w:szCs w:val="22"/>
          <w:u w:val="single"/>
          <w:rtl w:val="0"/>
        </w:rPr>
        <w:t xml:space="preserve">acilitating writing of Consortium papers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A key continuing role of the DAC is facilitating the analysis, writing integrative Consortium papers (including standards and reports), integrating the data to be produced in ENCODE 4, and leveraging these data to help interpret variants. The DAC will facilitate these by performing various integrative analyses and providing a technological infrastructure for the analyses specific to each paper.</w:t>
      </w:r>
      <w:r w:rsidDel="00000000" w:rsidR="00000000" w:rsidRPr="00000000">
        <w:rPr>
          <w:rFonts w:ascii="Arial" w:cs="Arial" w:eastAsia="Arial" w:hAnsi="Arial"/>
          <w:sz w:val="20"/>
          <w:szCs w:val="20"/>
          <w:rtl w:val="0"/>
        </w:rPr>
        <w:t xml:space="preserve">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sz w:val="22"/>
          <w:szCs w:val="22"/>
          <w:rtl w:val="0"/>
        </w:rPr>
        <w:t xml:space="preserve">The DAC will set up a technological infrastructure to facilitate the collaborative writing of consortia papers. It is important to keep in mind that many genomics papers are complex, often involving tens to hundreds of authors and contain many main figures and tables as well as supplementary exhibits. Tracking and sharing of figures and supplements are non-trivial tasks. To address that, in addition to coordinating paper writings with mailing lists and conference calls, we will make use of various online document management and collaboration systems, such as Wikis and Google Docs for editing and collaboration, Drupal and Joomla for content management, Endnote, Bookends and Papers for references management, Mendeley and BibTex for references and figures tracking, and Dropbox for distribution of files and figures. We will provide expertise in developing these infrastructures to the future consortium publications.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sz w:val="22"/>
          <w:szCs w:val="22"/>
          <w:rtl w:val="0"/>
        </w:rPr>
        <w:t xml:space="preserve">Another important responsibility of the DAC in writing consortium papers is connecting the underlying data, the genomic assays, the analyses results and the documents. We consider the papers in a roll out (number of papers based on a single data freeze) and their associated data as a hierarchical information structure. At the top of the hierarchy is a main paper, summarizing everything for the encyclopedia. The main paper will refer to companion papers focusing on specific studies. Each individual paper presents computes on a large dataset and connects them hierachically to the tables and figures. The most referred datasets are secondary analyses results (e.g., peak calls and segments), which point to the actual underlying raw data (usually sequencing data) that are stored in central repositories (such as short-read archive). We will hierarchically link the tables and figures in each paper to a chain of specific analysis results, programming scripts, to the corresponding versions of subsidiary results, and to the raw data. These will be stored in paper supplements and project web sites. Hierarchical information structures will enable us to organize data intuitively and also the clear documentation will be essential for reproducibility.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u w:val="single"/>
          <w:rtl w:val="0"/>
        </w:rPr>
        <w:t xml:space="preserve">3.3.3 Analysis of Consortium publication patterns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The consortium publications that DAC has worked on have been cited highly for data usage by the larger scientific community. The DAC has analyzed the patterns of dissemination of the ENCODE publications. to study how the outside scientific community benefit from ENCODE data. In particular, using publication data related to the ENCODE consortium \cite{ENCODE Consortium, 2012 22955616}, we constructed co-authorship networks using temporal data from 2004 to 2014 (Fig. XXX, the network in 2014). The networks show how the information from the consortium has diffused through the authorship relationships. We found that the consortium work as a community whereas non-members collaborate on smaller scale and that a few brokers initiate the connections between the consortium and non-members. Thus, the large scientific consortia should set up formal outreach groups to communicate with outside researchers.</w:t>
      </w:r>
    </w:p>
    <w:p w:rsidR="00000000" w:rsidDel="00000000" w:rsidP="00000000" w:rsidRDefault="00000000" w:rsidRPr="00000000">
      <w:pPr>
        <w:contextualSpacing w:val="0"/>
      </w:pPr>
      <w:r w:rsidDel="00000000" w:rsidR="00000000" w:rsidRPr="00000000">
        <w:drawing>
          <wp:inline distB="114300" distT="114300" distL="114300" distR="114300">
            <wp:extent cx="3048000" cy="3019425"/>
            <wp:effectExtent b="0" l="0" r="0" t="0"/>
            <wp:docPr id="38" name="image90.png"/>
            <a:graphic>
              <a:graphicData uri="http://schemas.openxmlformats.org/drawingml/2006/picture">
                <pic:pic>
                  <pic:nvPicPr>
                    <pic:cNvPr id="0" name="image90.png"/>
                    <pic:cNvPicPr preferRelativeResize="0"/>
                  </pic:nvPicPr>
                  <pic:blipFill>
                    <a:blip r:embed="rId89"/>
                    <a:srcRect b="0" l="0" r="0" t="0"/>
                    <a:stretch>
                      <a:fillRect/>
                    </a:stretch>
                  </pic:blipFill>
                  <pic:spPr>
                    <a:xfrm>
                      <a:off x="0" y="0"/>
                      <a:ext cx="3048000" cy="3019425"/>
                    </a:xfrm>
                    <a:prstGeom prst="rect"/>
                    <a:ln/>
                  </pic:spPr>
                </pic:pic>
              </a:graphicData>
            </a:graphic>
          </wp:inline>
        </w:drawing>
      </w:r>
      <w:r w:rsidDel="00000000" w:rsidR="00000000" w:rsidRPr="00000000">
        <w:drawing>
          <wp:inline distB="114300" distT="114300" distL="114300" distR="114300">
            <wp:extent cx="1676400" cy="809625"/>
            <wp:effectExtent b="0" l="0" r="0" t="0"/>
            <wp:docPr id="8" name="image59.png"/>
            <a:graphic>
              <a:graphicData uri="http://schemas.openxmlformats.org/drawingml/2006/picture">
                <pic:pic>
                  <pic:nvPicPr>
                    <pic:cNvPr id="0" name="image59.png"/>
                    <pic:cNvPicPr preferRelativeResize="0"/>
                  </pic:nvPicPr>
                  <pic:blipFill>
                    <a:blip r:embed="rId90"/>
                    <a:srcRect b="0" l="0" r="0" t="0"/>
                    <a:stretch>
                      <a:fillRect/>
                    </a:stretch>
                  </pic:blipFill>
                  <pic:spPr>
                    <a:xfrm>
                      <a:off x="0" y="0"/>
                      <a:ext cx="1676400" cy="809625"/>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b w:val="1"/>
          <w:sz w:val="22"/>
          <w:szCs w:val="22"/>
          <w:highlight w:val="white"/>
          <w:rtl w:val="0"/>
        </w:rPr>
        <w:t xml:space="preserve">3.4 DAC’s Contribution to ENCODE working groups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Here we describe how the DAC is carryout out focused analysis in the context of AWG sub-groups.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3.4.1 </w:t>
      </w:r>
      <w:r w:rsidDel="00000000" w:rsidR="00000000" w:rsidRPr="00000000">
        <w:rPr>
          <w:rFonts w:ascii="Arial" w:cs="Arial" w:eastAsia="Arial" w:hAnsi="Arial"/>
          <w:sz w:val="22"/>
          <w:szCs w:val="22"/>
          <w:highlight w:val="white"/>
          <w:u w:val="single"/>
          <w:rtl w:val="0"/>
        </w:rPr>
        <w:t xml:space="preserve">Functional Characterization Working Group: </w:t>
      </w:r>
      <w:r w:rsidDel="00000000" w:rsidR="00000000" w:rsidRPr="00000000">
        <w:rPr>
          <w:rFonts w:ascii="Arial" w:cs="Arial" w:eastAsia="Arial" w:hAnsi="Arial"/>
          <w:sz w:val="22"/>
          <w:szCs w:val="22"/>
          <w:highlight w:val="white"/>
          <w:u w:val="single"/>
          <w:rtl w:val="0"/>
        </w:rPr>
        <w:t xml:space="preserve">ENCODE Enhancer Challenge</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As part of the ENCODE consortium, we assessed the accuracy of enhancer predictions based on different machine learning algorithms. This is part of a continued effort to assess enhancer prediction methods \cite{Yip, 2012 22950945}. During the third phase of ENCODE, H3K27ac peaks in ChIP-Seq assays for two mouse tissues (heart and forebrain) at E11.5 lifestage were chosen and tested for regulatory activity by the Pennacchio group using transgenic assays. Approximately 40 H3K27ac peaks were tested in each tissue and 50% of them showed regulatory activity on average. The predictions for the ENCODE Enhancer Challenge were performed by twelve groups.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The DAC assessed the accuracy of different methods as well as whether the predictions from different groups could be combined to make more accurate predictions. In particular, we developed an unsupervised ensemble approach to combine predictions from different algorithms for the ENCODE encyclopedia. We compared the accuracy of different unsupervised ensemble approaches from different machine learning algorithms. Our preliminary results indicated that a number of theoretical methods predict enhancers more accurately than individual epigenomic datasets and an unsupervised ensemble method consistently outperformed the most accurate individual machine learning models.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757863" cy="3174206"/>
            <wp:effectExtent b="0" l="0" r="0" t="0"/>
            <wp:docPr descr="ENCODEchallenge.jpg" id="34" name="image86.jpg"/>
            <a:graphic>
              <a:graphicData uri="http://schemas.openxmlformats.org/drawingml/2006/picture">
                <pic:pic>
                  <pic:nvPicPr>
                    <pic:cNvPr descr="ENCODEchallenge.jpg" id="0" name="image86.jpg"/>
                    <pic:cNvPicPr preferRelativeResize="0"/>
                  </pic:nvPicPr>
                  <pic:blipFill>
                    <a:blip r:embed="rId91"/>
                    <a:srcRect b="0" l="0" r="0" t="0"/>
                    <a:stretch>
                      <a:fillRect/>
                    </a:stretch>
                  </pic:blipFill>
                  <pic:spPr>
                    <a:xfrm>
                      <a:off x="0" y="0"/>
                      <a:ext cx="5757863" cy="3174206"/>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Caption: Comparison between all the predictions made by different groups for H3K27ac peaks and the ensemble method. The different predictions from same group were highly correlated but predictions from different groups were very diverse. The performance of some of the best predictions were compared to the performance of H3K27ac-based meaures using area under ROC and precision-recall curves.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3.4.2 The RNA working group</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The Guigo and Gerstein labs have been heavily involved in the development, implementation, and benchmarking of the ENCODE3 RNASeq pipelines.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i w:val="1"/>
          <w:sz w:val="22"/>
          <w:szCs w:val="22"/>
          <w:rtl w:val="0"/>
        </w:rPr>
        <w:t xml:space="preserve">Gene expression matrix. </w:t>
      </w:r>
      <w:r w:rsidDel="00000000" w:rsidR="00000000" w:rsidRPr="00000000">
        <w:rPr>
          <w:rFonts w:ascii="Arial" w:cs="Arial" w:eastAsia="Arial" w:hAnsi="Arial"/>
          <w:sz w:val="22"/>
          <w:szCs w:val="22"/>
          <w:rtl w:val="0"/>
        </w:rPr>
        <w:t xml:space="preserve">We</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provide gene expression matrix for human and mouse long RNA-seq experiments to store information about gene expression level across different ENCODE samples. The gene expression values are collected from the individual files processed with ENCODE 3 long RNA-seq pipeline. Current version of this matrix includes TPM and FPKM values for annotated GENCODE genes per each long RNA-seq experiment.</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i w:val="1"/>
          <w:sz w:val="22"/>
          <w:szCs w:val="22"/>
          <w:rtl w:val="0"/>
        </w:rPr>
        <w:t xml:space="preserve">Gene expression visualization. </w:t>
      </w:r>
      <w:r w:rsidDel="00000000" w:rsidR="00000000" w:rsidRPr="00000000">
        <w:rPr>
          <w:rFonts w:ascii="Arial" w:cs="Arial" w:eastAsia="Arial" w:hAnsi="Arial"/>
          <w:sz w:val="22"/>
          <w:szCs w:val="22"/>
          <w:rtl w:val="0"/>
        </w:rPr>
        <w:t xml:space="preserve">We have been exploring tools for visualization of RNASeq expression values across multiple samples. We proposed prototype plots and developed specifications for the generation of graphical representations of gene expression data.</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i w:val="1"/>
          <w:sz w:val="22"/>
          <w:szCs w:val="22"/>
          <w:rtl w:val="0"/>
        </w:rPr>
        <w:t xml:space="preserve">Evaluation of the impact of adopting GRCh38 as the human genome reference assembly. </w:t>
      </w:r>
      <w:r w:rsidDel="00000000" w:rsidR="00000000" w:rsidRPr="00000000">
        <w:rPr>
          <w:rFonts w:ascii="Arial" w:cs="Arial" w:eastAsia="Arial" w:hAnsi="Arial"/>
          <w:sz w:val="22"/>
          <w:szCs w:val="22"/>
          <w:rtl w:val="0"/>
        </w:rPr>
        <w:t xml:space="preserve">The ENCODE consortium is planning to move to GRCh38. We explored the impact of this transfer in the estimates of gene expression. The DAC processed the ENCODE3 benchmark dataset using different genome assemblies and GENCODE annotation versions. While variations were observed for some gene families, overall gene expression values remain stable across human genome assemblies. In addition, we will make the personal genomes for each of the ENCODE cell lines and assess impacts of using personal genomes for RNA-seq analyses.</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u w:val="single"/>
          <w:rtl w:val="0"/>
        </w:rPr>
        <w:t xml:space="preserve">3.4.3 The AWG cancer subgroup</w:t>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Recent progress made by The ENCODE Consortium has provided detailed annotation </w:t>
      </w:r>
      <w:r w:rsidDel="00000000" w:rsidR="00000000" w:rsidRPr="00000000">
        <w:rPr>
          <w:rFonts w:ascii="Arial" w:cs="Arial" w:eastAsia="Arial" w:hAnsi="Arial"/>
          <w:sz w:val="22"/>
          <w:szCs w:val="22"/>
          <w:highlight w:val="white"/>
          <w:rtl w:val="0"/>
        </w:rPr>
        <w:t xml:space="preserve">non-coding regions </w:t>
      </w:r>
      <w:r w:rsidDel="00000000" w:rsidR="00000000" w:rsidRPr="00000000">
        <w:rPr>
          <w:rFonts w:ascii="Arial" w:cs="Arial" w:eastAsia="Arial" w:hAnsi="Arial"/>
          <w:sz w:val="22"/>
          <w:szCs w:val="22"/>
          <w:highlight w:val="white"/>
          <w:rtl w:val="0"/>
        </w:rPr>
        <w:t xml:space="preserve">of the human genome, and whole-genome sequencing of disease genomes has identified large volumes of variants in such regions, thereby making this an opportune time to interpret the function of these variants. We have summarized the current understanding of non-coding variants in cancer \cite{Khurana, 2016 26781813} and made several efforts to harmonize the ENCODE data as resource to help cancer research.</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First, it is important to extract the cancerous tissue/cell lines from ENCODE and match them to specific tumor types to the cancer community to maximize the usage of ENCODE data in the cancer field. Hence, we exploredthe ENCODE project and extracted those from cancer patients. We found that till now 1,423 cell lines out of the 2,055 human cell lines are actually cancer cell lines (69.2%). Each of the cancerous cell lines has been carefully matched to the specific cancer type and the possible TCGA abbreviation was given for the convenience of the cancer community.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Second, the current genome-wide functional characteristic data from ENCODE provides the most comprehensive annotations of human genome. Hence, we tried to collect a full category of non-coding annotations from ENCODE and tailored them specifically to annotate the discovered mutational hot spots, which helps to interpret the biological mechanism of potential driver events. </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highlight w:val="white"/>
          <w:rtl w:val="0"/>
        </w:rPr>
        <w:t xml:space="preserve">Third, many genomic features from ENCODE were found to be able to explain more than 90 percent of the variations of the background mutation process \cite{Lawrence, 2013 23770567}. Therefore, the appropriate usage of such data directly helps to separate the true driver events from those due to the mutational heterogeneity caused by such external process \cite{Luchovsky, 2015 26304545}. However, it is difficult for the cancer community to extract such correlated features from thousands of ENCODE experiments and format the results for direct use from the raw data. Therefore, we carefully explored the whole ENCODE experimental data and specifically selected all potentially related features. Results from uniformly processed pipelines were extracted and reformatted for direct community use.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2"/>
          <w:szCs w:val="22"/>
          <w:highlight w:val="white"/>
          <w:rtl w:val="0"/>
        </w:rPr>
        <w:t xml:space="preserve">Finally, we have recently developed a new computational method, Loregic to characterize the gene regulatory logics in complex systems \cite{Wang, 2015 25884877}. For example, we used this method to identify genome-wide regulatory cooperative logics in leukemia by integrating ENCODE and TCGA data.</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drawing>
          <wp:inline distB="114300" distT="114300" distL="114300" distR="114300">
            <wp:extent cx="5943600" cy="2286000"/>
            <wp:effectExtent b="0" l="0" r="0" t="0"/>
            <wp:docPr id="17" name="image69.png"/>
            <a:graphic>
              <a:graphicData uri="http://schemas.openxmlformats.org/drawingml/2006/picture">
                <pic:pic>
                  <pic:nvPicPr>
                    <pic:cNvPr id="0" name="image69.png"/>
                    <pic:cNvPicPr preferRelativeResize="0"/>
                  </pic:nvPicPr>
                  <pic:blipFill>
                    <a:blip r:embed="rId92"/>
                    <a:srcRect b="0" l="0" r="0" t="0"/>
                    <a:stretch>
                      <a:fillRect/>
                    </a:stretch>
                  </pic:blipFill>
                  <pic:spPr>
                    <a:xfrm>
                      <a:off x="0" y="0"/>
                      <a:ext cx="5943600" cy="2286000"/>
                    </a:xfrm>
                    <a:prstGeom prst="rect"/>
                    <a:ln/>
                  </pic:spPr>
                </pic:pic>
              </a:graphicData>
            </a:graphic>
          </wp:inline>
        </w:drawing>
      </w: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18"/>
          <w:szCs w:val="18"/>
          <w:highlight w:val="white"/>
          <w:rtl w:val="0"/>
        </w:rPr>
        <w:t xml:space="preserve">Caption:  The 1 kb genome bins representing the top 10% and bottom 10% of the DNA replication timing were used to derive an observed distribution of mutation counts, demonstrating the influence of replication timing. The fitted binomial and beta-binomial distributions are plotted as bar plots (A). P-values at different mutation counts were given by the observed, beta-binomial, and binomial distribution.</w:t>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spacing w:line="240"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3.4.4 The GWAS-AWG subgroup, including collaborations with CHARGE and eMERGE consortia.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DAC member </w:t>
      </w:r>
      <w:r w:rsidDel="00000000" w:rsidR="00000000" w:rsidRPr="00000000">
        <w:rPr>
          <w:rFonts w:ascii="Arial" w:cs="Arial" w:eastAsia="Arial" w:hAnsi="Arial"/>
          <w:sz w:val="22"/>
          <w:szCs w:val="22"/>
          <w:rtl w:val="0"/>
        </w:rPr>
        <w:t xml:space="preserve">Manolis Kellis co-chairs the GWAS-AWG subgroup with Robert Klein, focused on maximizing the impact of the ENCODE resource on human disease, and in particular the interpretation of genetic association results from GWAS-AWG and studies of human variation. The GWAS-AWG subgroup meets bi-weekly, and has been one of the most active groups in ENCODE, with attendance typically reaching up to 40-50 participants.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i w:val="1"/>
          <w:sz w:val="22"/>
          <w:szCs w:val="22"/>
          <w:rtl w:val="0"/>
        </w:rPr>
        <w:t xml:space="preserve">3.4.4.1 Internal activities of the GWAS-AWG group.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GWAS-AWG calls include presentations of individual lab efforts seeking to: coordinate activities; share methodological developments; publicize resources; establish guidelines; receive early feedback. These include presentations and regular attendance by a large number of ENCODE groups, ample active discussion, and group coordination of activities. Topics have included guidelines on variant selection, methods for expanding on linkage disequilibrium (LD) and including LD in statistical enrichment tests, and for selecting regulatory annotations for enrichment analysis of genetic variants associated with complex traits and human disease.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i w:val="1"/>
          <w:sz w:val="22"/>
          <w:szCs w:val="22"/>
          <w:rtl w:val="0"/>
        </w:rPr>
        <w:t xml:space="preserve">3.4.4.2 ENCODE-CHARGE collaboration</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The DAC has also helped coordinate efforts with the ENCODE-CHARGE collaboration. Dr. Lucas D. Ward from the Kellis Lab led the presentation of HaploReg and RegulomeDB at the annual CHARGE meeting breakout workshop with ENCODE. Anshul Kundaje led a session introducing participants to the different representations of raw and processed transcription factor and chromatin ChIP-seq data and ways to access, download and visualize these datasets as well as integrative analysis products such as chromatin state maps. In additional, Gerald Quon from Manolis Kellis’s lab has collaborated closely with the adiposity group, and helped interpret the resulting loci by leveraging tissue-specific regulatory networks learned in adipocytes, and genome-wide enrichments for targets of common regulators. </w:t>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i w:val="1"/>
          <w:sz w:val="22"/>
          <w:szCs w:val="22"/>
          <w:rtl w:val="0"/>
        </w:rPr>
        <w:t xml:space="preserve">3.4.4.3 ENCODE-eMERGE collaboration. </w:t>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rtl w:val="0"/>
        </w:rPr>
        <w:t xml:space="preserve">A new activity of the GWAS-AWG subgroup, co-led by Manolis Kellis and Robert Klein, is a very active collaboration with the eMERGE consortium. This activity provides a unique opportunity to directly collaborate with the generators of GWAS studies, and the ability to share intermediate results across different ENCODE groups, by membership on the eMERGE consortium, coordinated through the institutions of ENCODE member labs. This activity has been spawned off in an additional bi-weekly call. The calls have been very well attended and very productive, with active discussion on the specifics of GWAS analyses, variant selection, dealing with LD, and interpreting the resulting associations. We are currently working with CHARGE to generate a phenotypic matrix for multi-phenotype analysis. </w:t>
      </w:r>
      <w:r w:rsidDel="00000000" w:rsidR="00000000" w:rsidRPr="00000000">
        <w:rPr>
          <w:rtl w:val="0"/>
        </w:rPr>
      </w:r>
    </w:p>
    <w:p w:rsidR="00000000" w:rsidDel="00000000" w:rsidP="00000000" w:rsidRDefault="00000000" w:rsidRPr="00000000">
      <w:pPr>
        <w:keepLines w:val="0"/>
        <w:spacing w:after="120" w:before="120" w:line="240" w:lineRule="auto"/>
        <w:contextualSpacing w:val="0"/>
      </w:pPr>
      <w:r w:rsidDel="00000000" w:rsidR="00000000" w:rsidRPr="00000000">
        <w:rPr>
          <w:rtl w:val="0"/>
        </w:rPr>
      </w:r>
    </w:p>
    <w:p w:rsidR="00000000" w:rsidDel="00000000" w:rsidP="00000000" w:rsidRDefault="00000000" w:rsidRPr="00000000">
      <w:pPr>
        <w:keepLines w:val="0"/>
        <w:spacing w:after="120" w:before="120" w:line="240" w:lineRule="auto"/>
        <w:contextualSpacing w:val="0"/>
      </w:pPr>
      <w:r w:rsidDel="00000000" w:rsidR="00000000" w:rsidRPr="00000000">
        <w:rPr>
          <w:rFonts w:ascii="Arial" w:cs="Arial" w:eastAsia="Arial" w:hAnsi="Arial"/>
          <w:sz w:val="22"/>
          <w:szCs w:val="22"/>
          <w:u w:val="single"/>
          <w:rtl w:val="0"/>
        </w:rPr>
        <w:t xml:space="preserve">3.4.5 </w:t>
      </w:r>
      <w:r w:rsidDel="00000000" w:rsidR="00000000" w:rsidRPr="00000000">
        <w:rPr>
          <w:rFonts w:ascii="Arial" w:cs="Arial" w:eastAsia="Arial" w:hAnsi="Arial"/>
          <w:sz w:val="22"/>
          <w:szCs w:val="22"/>
          <w:u w:val="single"/>
          <w:rtl w:val="0"/>
        </w:rPr>
        <w:t xml:space="preserve">3D nucleome AWG sub group</w:t>
      </w:r>
    </w:p>
    <w:p w:rsidR="00000000" w:rsidDel="00000000" w:rsidP="00000000" w:rsidRDefault="00000000" w:rsidRPr="00000000">
      <w:pPr>
        <w:spacing w:before="60" w:lineRule="auto"/>
        <w:ind w:firstLine="340"/>
        <w:contextualSpacing w:val="0"/>
      </w:pPr>
      <w:r w:rsidDel="00000000" w:rsidR="00000000" w:rsidRPr="00000000">
        <w:rPr>
          <w:rFonts w:ascii="Arial" w:cs="Arial" w:eastAsia="Arial" w:hAnsi="Arial"/>
          <w:sz w:val="22"/>
          <w:szCs w:val="22"/>
          <w:rtl w:val="0"/>
        </w:rPr>
        <w:t xml:space="preserve">Together with Job Dekker, Dr. Noble has coordinated the activities of the ENCODE “3D Nucleome” subgroup. This group meets twice a month, and calls typically involve 25–35 participants. A primary function of the subgroup is to familiarize members of ENCODE with new data sets and novel analysis methodologies relevant to the analysis of 3D chromatin conformation.</w:t>
      </w:r>
    </w:p>
    <w:p w:rsidR="00000000" w:rsidDel="00000000" w:rsidP="00000000" w:rsidRDefault="00000000" w:rsidRPr="00000000">
      <w:pPr>
        <w:spacing w:before="60" w:lineRule="auto"/>
        <w:ind w:firstLine="340"/>
        <w:contextualSpacing w:val="0"/>
      </w:pPr>
      <w:r w:rsidDel="00000000" w:rsidR="00000000" w:rsidRPr="00000000">
        <w:rPr>
          <w:rFonts w:ascii="Arial" w:cs="Arial" w:eastAsia="Arial" w:hAnsi="Arial"/>
          <w:sz w:val="22"/>
          <w:szCs w:val="22"/>
          <w:rtl w:val="0"/>
        </w:rPr>
        <w:t xml:space="preserve">The 3D Nucleome subgroup is currently working on two manuscripts. One effort, led by David Gilbert and Job Dekker, focuses on experimentally characterizing changes in topologically associated domain architectures in rearranged genomes. The manuscript exploits a panel of Hi-C data sets from various cancer cell lines, generated by the Dekker lab, as well as complementary assays measuring rearrangements (from BioNano Genomics) and measuring replication timing. The second manuscript focuses on developing and comparing various measures of quality and reproducibility for Hi-C and ChIA-PET data. Work on the second manuscript is being led by Dr. Noble and a postdoc in his lab, Gurkan Yardımcı. Dr. Yardımcı is carrying out a blind evaluation of a variety of metrics, by providing members of the 3D Nucleome subgroup with collections of real and simulated Hi-C contact matrices. We are targeting completion of both manuscripts over the next 3–4 months.</w:t>
      </w:r>
    </w:p>
    <w:p w:rsidR="00000000" w:rsidDel="00000000" w:rsidP="00000000" w:rsidRDefault="00000000" w:rsidRPr="00000000">
      <w:pPr>
        <w:spacing w:line="240" w:lineRule="auto"/>
        <w:ind w:firstLine="340"/>
        <w:contextualSpacing w:val="0"/>
      </w:pPr>
      <w:r w:rsidDel="00000000" w:rsidR="00000000" w:rsidRPr="00000000">
        <w:rPr>
          <w:rtl w:val="0"/>
        </w:rPr>
      </w:r>
    </w:p>
    <w:p w:rsidR="00000000" w:rsidDel="00000000" w:rsidP="00000000" w:rsidRDefault="00000000" w:rsidRPr="00000000">
      <w:pPr>
        <w:spacing w:line="240" w:lineRule="auto"/>
        <w:ind w:firstLine="340"/>
        <w:contextualSpacing w:val="0"/>
      </w:pPr>
      <w:r w:rsidDel="00000000" w:rsidR="00000000" w:rsidRPr="00000000">
        <w:rPr>
          <w:rtl w:val="0"/>
        </w:rPr>
      </w:r>
    </w:p>
    <w:p w:rsidR="00000000" w:rsidDel="00000000" w:rsidP="00000000" w:rsidRDefault="00000000" w:rsidRPr="00000000">
      <w:pPr>
        <w:widowControl w:val="0"/>
        <w:spacing w:line="276" w:lineRule="auto"/>
        <w:contextualSpacing w:val="0"/>
      </w:pPr>
      <w:r w:rsidDel="00000000" w:rsidR="00000000" w:rsidRPr="00000000">
        <w:rPr>
          <w:rFonts w:ascii="Arial" w:cs="Arial" w:eastAsia="Arial" w:hAnsi="Arial"/>
          <w:sz w:val="22"/>
          <w:szCs w:val="22"/>
          <w:u w:val="single"/>
          <w:rtl w:val="0"/>
        </w:rPr>
        <w:t xml:space="preserve">3.4.6 </w:t>
      </w:r>
      <w:r w:rsidDel="00000000" w:rsidR="00000000" w:rsidRPr="00000000">
        <w:rPr>
          <w:rFonts w:ascii="Arial" w:cs="Arial" w:eastAsia="Arial" w:hAnsi="Arial"/>
          <w:sz w:val="22"/>
          <w:szCs w:val="22"/>
          <w:u w:val="single"/>
          <w:rtl w:val="0"/>
        </w:rPr>
        <w:t xml:space="preserve">The Regulation AWG subgroup</w:t>
      </w:r>
      <w:r w:rsidDel="00000000" w:rsidR="00000000" w:rsidRPr="00000000">
        <w:rPr>
          <w:rtl w:val="0"/>
        </w:rPr>
      </w:r>
    </w:p>
    <w:p w:rsidR="00000000" w:rsidDel="00000000" w:rsidP="00000000" w:rsidRDefault="00000000" w:rsidRPr="00000000">
      <w:r w:rsidDel="00000000" w:rsidR="00000000" w:rsidRPr="00000000">
        <w:rPr>
          <w:rFonts w:ascii="Arial" w:cs="Arial" w:eastAsia="Arial" w:hAnsi="Arial"/>
          <w:sz w:val="22"/>
          <w:szCs w:val="22"/>
          <w:rtl w:val="0"/>
        </w:rPr>
        <w:t xml:space="preserve">Anshul Kundaje has been co-leading the Regulation AWG subgroup with Michael Snyder and David Gifford. The subgroup is developing integrative computational methods to predict high-resolution context-specific regulatory elements by integrating diverse types of ENCODE data and to characterize high-resolution combinatorial transcription factor co-binding patterns and regulatory sequence grammars underlying cell-type specific regulatory elements. There are a diversity of methods for predicting in-vivo transcription factor binding events from DNA sequence and chromatin accessibility data. However, there is a need for systematic evaluation of these methods using matched datasets and performance measures. The Regulation subgroup under the leadership of Anshul Kundaje is conducting an internal evaluation of methods developed by the consortium members. We are also teaming up with the organizers of the DREAM Challenge to set up an open in-vivo transcription factor binding challenge using ENCODE data in the Fall of 2016. The Regulation subgroup will train models on the Tier1 and Tier 2 reference cell-lines that have DNase-seq data and a large number of TF binding profiles based on ChIP-seq. Cross-cell type prediction performance will be evaluated. Well-calibrated models will be used to infer high confidence binding maps of TFs in ~300 cell types and tissues that have DNase-seq data but lack comprehensive ChIP-seq experiments. These predicted maps will complement the primary functional element lists (derived primarily for specific experimental assays) in the Encyclopedia and will also provide high-resolution, base-pair level cell-type specific annotations of combinatorial binding events in regulatory elements.</w:t>
      </w:r>
      <w:r w:rsidDel="00000000" w:rsidR="00000000" w:rsidRPr="00000000">
        <w:br w:type="page"/>
      </w:r>
    </w:p>
    <w:p w:rsidR="00000000" w:rsidDel="00000000" w:rsidP="00000000" w:rsidRDefault="00000000" w:rsidRPr="00000000">
      <w:pPr>
        <w:widowControl w:val="0"/>
        <w:spacing w:line="276"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commentRangeStart w:id="53"/>
      <w:r w:rsidDel="00000000" w:rsidR="00000000" w:rsidRPr="00000000">
        <w:rPr>
          <w:rFonts w:ascii="Arial" w:cs="Arial" w:eastAsia="Arial" w:hAnsi="Arial"/>
          <w:b w:val="1"/>
          <w:sz w:val="22"/>
          <w:szCs w:val="22"/>
          <w:rtl w:val="0"/>
        </w:rPr>
        <w:t xml:space="preserve">Aim 4. Assessing quality and utility of the ENCODE data and providing feedback to NHGRI and the Consortium.</w:t>
      </w:r>
      <w:commentRangeEnd w:id="53"/>
      <w:r w:rsidDel="00000000" w:rsidR="00000000" w:rsidRPr="00000000">
        <w:commentReference w:id="53"/>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To guide the Consortium in terms of prioritizing particular datasets for usage, we keep track of which datasets are used for each of the analyses (figures) in every Consortium paper. We will work closely with other members of the AWG to define metrics for evaluating the uniqueness or redundancy of different types of datasets. For analyses whose goal is the definition of a particular type of element, we will use the predictive value of each data type as a way to prioritize datasets and assays. For unsupervised learning analyses, we will use information theory metrics to evaluate the information content of each type of dataset per nucleotide, based on the reproducibility of the dataset, the resolution with which elements are defined for that data type, and the genomic coverage of that data type. We will also compare datasets to each other, to ask how predictable a given dataset is based on the combination of other datasets, and to evaluate and prioritize its added value in the context of the data generated by the entire Consortium. Intuitively, this is like determining if a particular analysis can potentially be reproduced without that dataset or if it is reproduced how inaccurate or how much it changes if that particular dataset is left out. This last type of calculation is particularly useful when one is thinking of repeating the same experiment, say a particular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b w:val="0"/>
          <w:color w:val="000000"/>
          <w:sz w:val="22"/>
          <w:szCs w:val="22"/>
          <w:vertAlign w:val="baseline"/>
          <w:rtl w:val="0"/>
        </w:rPr>
        <w:t xml:space="preserve"> experiment, over many different cell lines. That is, one wonders how much incremental information one gets from each additional cell line. We will also study the saturation of coverage for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b w:val="0"/>
          <w:color w:val="000000"/>
          <w:sz w:val="22"/>
          <w:szCs w:val="22"/>
          <w:vertAlign w:val="baseline"/>
          <w:rtl w:val="0"/>
        </w:rPr>
        <w:t xml:space="preserve"> and RNA</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b w:val="0"/>
          <w:color w:val="000000"/>
          <w:sz w:val="22"/>
          <w:szCs w:val="22"/>
          <w:vertAlign w:val="baseline"/>
          <w:rtl w:val="0"/>
        </w:rPr>
        <w:t xml:space="preserve"> datasets to provide recommendations on the sequencing depth that should be achieved for different types of chromatin features and different types of transcripts.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The DAC will develop and apply computational methods to assess the quality and utility of ENCODE datasets in a systematic and unbiased way.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4.1. Data-type specific measures of dataset quality</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We will work with the AWG and the PIs to standardize metrics of dataset quality. For example, for RNA, we will develop and apply metrics based on sequencing depth, alignment rate, duplicate read rate, compositional biases, ncRNA content, intronic vs. exonic coverage, positional bias, and coverage continuity. For ChIP-seq experiments, we will develop and apply metrics based on antibody validation, replicate consistency, replicate rank consistency, cross-correlation analysis, and fraction of reads in peaks. For DNA ChIP-seq of DNA binding proteins, we will additionally use motif-based metrics including enrichment, positional specificity, and rank-based enrichment. For DNase, we will use peak-based metrics for ChIP-seq, including fraction of reads in peaks, signal portion of tag analysis, shape analysis, replicate correlation analysis.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1825435" cy="938213"/>
            <wp:effectExtent b="0" l="0" r="0" t="0"/>
            <wp:docPr id="54" name="image108.png"/>
            <a:graphic>
              <a:graphicData uri="http://schemas.openxmlformats.org/drawingml/2006/picture">
                <pic:pic>
                  <pic:nvPicPr>
                    <pic:cNvPr id="0" name="image108.png"/>
                    <pic:cNvPicPr preferRelativeResize="0"/>
                  </pic:nvPicPr>
                  <pic:blipFill>
                    <a:blip r:embed="rId93"/>
                    <a:srcRect b="0" l="0" r="0" t="0"/>
                    <a:stretch>
                      <a:fillRect/>
                    </a:stretch>
                  </pic:blipFill>
                  <pic:spPr>
                    <a:xfrm>
                      <a:off x="0" y="0"/>
                      <a:ext cx="1825435" cy="938213"/>
                    </a:xfrm>
                    <a:prstGeom prst="rect"/>
                    <a:ln/>
                  </pic:spPr>
                </pic:pic>
              </a:graphicData>
            </a:graphic>
          </wp:inline>
        </w:drawing>
      </w:r>
      <w:r w:rsidDel="00000000" w:rsidR="00000000" w:rsidRPr="00000000">
        <w:drawing>
          <wp:inline distB="114300" distT="114300" distL="114300" distR="114300">
            <wp:extent cx="1408710" cy="1138238"/>
            <wp:effectExtent b="0" l="0" r="0" t="0"/>
            <wp:docPr id="21" name="image73.png"/>
            <a:graphic>
              <a:graphicData uri="http://schemas.openxmlformats.org/drawingml/2006/picture">
                <pic:pic>
                  <pic:nvPicPr>
                    <pic:cNvPr id="0" name="image73.png"/>
                    <pic:cNvPicPr preferRelativeResize="0"/>
                  </pic:nvPicPr>
                  <pic:blipFill>
                    <a:blip r:embed="rId94"/>
                    <a:srcRect b="0" l="0" r="0" t="0"/>
                    <a:stretch>
                      <a:fillRect/>
                    </a:stretch>
                  </pic:blipFill>
                  <pic:spPr>
                    <a:xfrm>
                      <a:off x="0" y="0"/>
                      <a:ext cx="1408710" cy="1138238"/>
                    </a:xfrm>
                    <a:prstGeom prst="rect"/>
                    <a:ln/>
                  </pic:spPr>
                </pic:pic>
              </a:graphicData>
            </a:graphic>
          </wp:inline>
        </w:drawing>
      </w:r>
      <w:r w:rsidDel="00000000" w:rsidR="00000000" w:rsidRPr="00000000">
        <w:drawing>
          <wp:inline distB="114300" distT="114300" distL="114300" distR="114300">
            <wp:extent cx="3281363" cy="1385653"/>
            <wp:effectExtent b="0" l="0" r="0" t="0"/>
            <wp:docPr id="33" name="image85.png"/>
            <a:graphic>
              <a:graphicData uri="http://schemas.openxmlformats.org/drawingml/2006/picture">
                <pic:pic>
                  <pic:nvPicPr>
                    <pic:cNvPr id="0" name="image85.png"/>
                    <pic:cNvPicPr preferRelativeResize="0"/>
                  </pic:nvPicPr>
                  <pic:blipFill>
                    <a:blip r:embed="rId95"/>
                    <a:srcRect b="0" l="0" r="0" t="0"/>
                    <a:stretch>
                      <a:fillRect/>
                    </a:stretch>
                  </pic:blipFill>
                  <pic:spPr>
                    <a:xfrm>
                      <a:off x="0" y="0"/>
                      <a:ext cx="3281363" cy="138565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22"/>
          <w:szCs w:val="22"/>
          <w:rtl w:val="0"/>
        </w:rPr>
        <w:t xml:space="preserve">Figure 4.1. </w:t>
      </w:r>
      <w:r w:rsidDel="00000000" w:rsidR="00000000" w:rsidRPr="00000000">
        <w:rPr>
          <w:rFonts w:ascii="Arial" w:cs="Arial" w:eastAsia="Arial" w:hAnsi="Arial"/>
          <w:sz w:val="22"/>
          <w:szCs w:val="22"/>
          <w:rtl w:val="0"/>
        </w:rPr>
        <w:t xml:space="preserve">Criteria for assessing the quality of a ChIP-seq experiment. (a) Cross-correlation analysis: reads are shifted in the direction of the strand they map to by an increasing number of base pairs and the Pearson correlation between the per-position read count vectors for each strand is calculated. Read coverage as wigglegram is represented. (b) Two cross-correlation peaks are usually observed in a ChIP experiment, one corresponding to the read length (phantom peak) and one to the average fragment length of the library. (c) Absolute and relative height of the two peaks help determine the success of a ChIP-seq experiment. A high-quality IP is characterized by a ChIP peak that is much higher than the phantom peak, while often very small or no such peak is seen in failed experiments.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b w:val="1"/>
          <w:sz w:val="22"/>
          <w:szCs w:val="22"/>
          <w:highlight w:val="white"/>
          <w:rtl w:val="0"/>
        </w:rPr>
        <w:t xml:space="preserve">Leveraging Data Repositories to develop QC Metrics for ENCODE data [Rafa new text]</w:t>
      </w:r>
    </w:p>
    <w:p w:rsidR="00000000" w:rsidDel="00000000" w:rsidP="00000000" w:rsidRDefault="00000000" w:rsidRPr="00000000">
      <w:pPr>
        <w:spacing w:line="276" w:lineRule="auto"/>
        <w:contextualSpacing w:val="0"/>
      </w:pPr>
      <w:r w:rsidDel="00000000" w:rsidR="00000000" w:rsidRPr="00000000">
        <w:rPr>
          <w:rFonts w:ascii="Arial" w:cs="Arial" w:eastAsia="Arial" w:hAnsi="Arial"/>
          <w:b w:val="1"/>
          <w:sz w:val="22"/>
          <w:szCs w:val="22"/>
          <w:highlight w:val="white"/>
          <w:rtl w:val="0"/>
        </w:rPr>
        <w:t xml:space="preserve">MINGXIANG add references</w:t>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rtl w:val="0"/>
        </w:rPr>
        <w:t xml:space="preserve">Defining quality in the context of a high-throughput data is a challenging task. The American Society for Quality (ASQ) defines quality as a subjective term for which each person has his or her own definition. Many technical definitions of quality exist but a common theme of most is the dependence of quality on the needs of the consumer. So what do users of high-throughput technologies need? In the case of RNA-Seq, the most common applications appear to be finding differentially expressed genes between two or more conditions, clustering transcripts or samples, and predicting sample types or outcomes. For other enrichment scans, such as ChIP-Seq, users typically want to know the location of peaks, but detecting regions of differential binding, which is analogous to differential expression, is also of interest.</w:t>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rtl w:val="0"/>
        </w:rPr>
        <w:t xml:space="preserve">In our attempt to measure quality we need to quantify the effect of removing bad quality data on the biological results reported in a publication, which we refer to as downstream results. It is important to note that these downstream results depend on the application. Furthermore, various levels of the data can be considered for removal; we can consider removing: one read from one sequencing run, all data points from mapped to a region across all samples, all data from an sequencing run, all data arising from a specific biological specimen, all data arising from a specific batch of samples, or even all data produced by a particular laboratory. Thus, defining quality in the context of high-throughput experiments is indeed a difficult task. In this proposal we will focus the specific task of assigning a quality metric to each sequencing run and to identify cut-offs such that removing experiments that do not reach this cut-off improve downstream results.</w:t>
      </w:r>
    </w:p>
    <w:p w:rsidR="00000000" w:rsidDel="00000000" w:rsidP="00000000" w:rsidRDefault="00000000" w:rsidRPr="00000000">
      <w:pPr>
        <w:keepNext w:val="0"/>
        <w:keepLines w:val="0"/>
        <w:widowControl w:val="1"/>
        <w:spacing w:after="100" w:before="0" w:line="240" w:lineRule="auto"/>
        <w:ind w:left="0" w:right="0" w:firstLine="0"/>
        <w:contextualSpacing w:val="0"/>
        <w:jc w:val="left"/>
      </w:pPr>
      <w:r w:rsidDel="00000000" w:rsidR="00000000" w:rsidRPr="00000000">
        <w:rPr>
          <w:rFonts w:ascii="Arial" w:cs="Arial" w:eastAsia="Arial" w:hAnsi="Arial"/>
          <w:sz w:val="22"/>
          <w:szCs w:val="22"/>
          <w:rtl w:val="0"/>
        </w:rPr>
        <w:t xml:space="preserve">The ENCODE project has already measured over 200 DNA binding proteins and histone marks, gene expression and DNAse on more than 100 human cell lines. The fact that ENCODE data is being reanalysis implies that it is crucial to know whether the provide data is of usable quality. One poor quality sample can have substantial negative  consequences on downstream analysis.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We will leverage the availability of dozens of ENCODE samples to derive QC metrics by a holistic analysis of the data. Note that current QC metrics implemented by ENCODE are either based on summary statistics extracted from one sample, mainly from analyzing reads and alignment characteristics, or from two replicate samples, mainly the Pearson correlation of two coefficients. Although these approaches are useful they tend to miss problems that can only be detected by quality metrics developed in the context of multiple samples.</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As example, consider Figure XX below. We show a multi-dimensional scaling plot for all the gene expression data currently made public by ENCODE. Note that all the data shown here passed the current QC metric of a Spearman correlation larger than 0.9 between replicates. However the highlighted samples appear to be outliers. Note that an analysis combining all these samples would lead to interpreting these samples as having substantially different expression profiles. However, closer examination (Figure XXX) shows that the highlighted groups were processed in a different lab than the rest, and that between lab difference are substantially larger than between sample type. Our preliminary work shows we can build sample specific measures that can be used to flag these differences before the data is made public. As part of our preliminary work we found that the percent of genes that are quantified as having 0 expression on each sample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rtl w:val="0"/>
        </w:rPr>
        <w:t xml:space="preserve">. Note that most samples are between 30-40% while most of the outlier samples have values either above XX or below XX. It turns out that the highlighted samples were processed differently (</w:t>
      </w:r>
      <w:r w:rsidDel="00000000" w:rsidR="00000000" w:rsidRPr="00000000">
        <w:rPr>
          <w:rFonts w:ascii="Arial" w:cs="Arial" w:eastAsia="Arial" w:hAnsi="Arial"/>
          <w:sz w:val="22"/>
          <w:szCs w:val="22"/>
          <w:highlight w:val="yellow"/>
          <w:rtl w:val="0"/>
        </w:rPr>
        <w:t xml:space="preserve">EXPLAIN SMALL STARTING MATERIAL</w:t>
      </w:r>
      <w:r w:rsidDel="00000000" w:rsidR="00000000" w:rsidRPr="00000000">
        <w:rPr>
          <w:rFonts w:ascii="Arial" w:cs="Arial" w:eastAsia="Arial" w:hAnsi="Arial"/>
          <w:sz w:val="22"/>
          <w:szCs w:val="22"/>
          <w:rtl w:val="0"/>
        </w:rPr>
        <w:t xml:space="preserve">) and that these differences were expected. However, the examples demonstrates the power of joint analysis.</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line="276" w:lineRule="auto"/>
        <w:contextualSpacing w:val="0"/>
      </w:pPr>
      <w:commentRangeStart w:id="54"/>
      <w:r w:rsidDel="00000000" w:rsidR="00000000" w:rsidRPr="00000000">
        <w:rPr>
          <w:rFonts w:ascii="Arial" w:cs="Arial" w:eastAsia="Arial" w:hAnsi="Arial"/>
          <w:b w:val="1"/>
          <w:sz w:val="22"/>
          <w:szCs w:val="22"/>
          <w:u w:val="single"/>
          <w:rtl w:val="0"/>
        </w:rPr>
        <w:t xml:space="preserve">[Manolis todo: move QC from Aim 2 to Aim 3]</w:t>
      </w:r>
      <w:commentRangeEnd w:id="54"/>
      <w:r w:rsidDel="00000000" w:rsidR="00000000" w:rsidRPr="00000000">
        <w:commentReference w:id="54"/>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TODO: add RNA-Seq [Mark? Roderic?]</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TODO: add DNase-Seq [Shirley?]</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TODO: add DNA methylation [Zhiping?]</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rtl w:val="0"/>
        </w:rPr>
        <w:t xml:space="preserve">TODO: QC metric for personal genomics [Mark?]</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22"/>
          <w:szCs w:val="22"/>
          <w:highlight w:val="magenta"/>
          <w:rtl w:val="0"/>
        </w:rPr>
        <w:t xml:space="preserve">[[The overdisp. parameter can be used a QC metric. ]]    </w:t>
      </w:r>
      <w:r w:rsidDel="00000000" w:rsidR="00000000" w:rsidRPr="00000000">
        <w:rPr>
          <w:rFonts w:ascii="Arial" w:cs="Arial" w:eastAsia="Arial" w:hAnsi="Arial"/>
          <w:sz w:val="22"/>
          <w:szCs w:val="22"/>
          <w:rtl w:val="0"/>
        </w:rPr>
        <w:t xml:space="preserve">Recently</w:t>
      </w:r>
      <w:r w:rsidDel="00000000" w:rsidR="00000000" w:rsidRPr="00000000">
        <w:rPr>
          <w:rFonts w:ascii="Arial" w:cs="Arial" w:eastAsia="Arial" w:hAnsi="Arial"/>
          <w:sz w:val="22"/>
          <w:szCs w:val="22"/>
          <w:highlight w:val="white"/>
          <w:rtl w:val="0"/>
        </w:rPr>
        <w:t xml:space="preserve">\cite{Chen et al. Nat. Commun., in press}</w:t>
      </w:r>
      <w:r w:rsidDel="00000000" w:rsidR="00000000" w:rsidRPr="00000000">
        <w:rPr>
          <w:rFonts w:ascii="Arial" w:cs="Arial" w:eastAsia="Arial" w:hAnsi="Arial"/>
          <w:sz w:val="22"/>
          <w:szCs w:val="22"/>
          <w:rtl w:val="0"/>
        </w:rPr>
        <w:t xml:space="preserve"> we proposed a quality control metric that can be applied to functional (RNA-seq and ChIP-seq) datasets within the personal diploid genome framework. Based on the deviation of the distribution of allelic ratios (fraction of reads mapped to the reference allele) across all heterozygous sites from the binomial distribution, an overdispersion parameter, </w:t>
      </w:r>
      <w:r w:rsidDel="00000000" w:rsidR="00000000" w:rsidRPr="00000000">
        <w:rPr>
          <w:rtl w:val="0"/>
        </w:rPr>
        <w:t xml:space="preserve">ρ,</w:t>
      </w:r>
      <w:r w:rsidDel="00000000" w:rsidR="00000000" w:rsidRPr="00000000">
        <w:rPr>
          <w:rFonts w:ascii="Arial" w:cs="Arial" w:eastAsia="Arial" w:hAnsi="Arial"/>
          <w:sz w:val="22"/>
          <w:szCs w:val="22"/>
          <w:rtl w:val="0"/>
        </w:rPr>
        <w:t xml:space="preserve"> can be estimated. We utilized it as a metric to identify datasets that are very different in the spread of allelic ratio distribution, which may be an indication of such potential issues as uneven or sparse read coverage.</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4.2. Data-type agnostic measures of dataset quality</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addition to these metrics, we will develop and apply general methods for assessing experiment quality. In particular, we have demonstrated the use of systematic imputation of histone marks, DNA methylation, RNA-seq, and DNase datasets based on their correlation with datasets of the same data type and of different datatypes within the same cell type and within other cell types. We found that the agreement of a dataset with the imputed signal based on this correlation analysis provides a powerful and unbiased metric for evaluating dataset quality, flagging low-quality datasets that are sometimes missed by other quality metrics, including sample or antibody swap problems. We will extend these methods to incorporate additional data types and additional features in the prediction.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2965808" cy="2166938"/>
            <wp:effectExtent b="0" l="0" r="0" t="0"/>
            <wp:docPr id="37" name="image89.png"/>
            <a:graphic>
              <a:graphicData uri="http://schemas.openxmlformats.org/drawingml/2006/picture">
                <pic:pic>
                  <pic:nvPicPr>
                    <pic:cNvPr id="0" name="image89.png"/>
                    <pic:cNvPicPr preferRelativeResize="0"/>
                  </pic:nvPicPr>
                  <pic:blipFill>
                    <a:blip r:embed="rId96"/>
                    <a:srcRect b="0" l="0" r="0" t="0"/>
                    <a:stretch>
                      <a:fillRect/>
                    </a:stretch>
                  </pic:blipFill>
                  <pic:spPr>
                    <a:xfrm>
                      <a:off x="0" y="0"/>
                      <a:ext cx="2965808" cy="2166938"/>
                    </a:xfrm>
                    <a:prstGeom prst="rect"/>
                    <a:ln/>
                  </pic:spPr>
                </pic:pic>
              </a:graphicData>
            </a:graphic>
          </wp:inline>
        </w:drawing>
      </w:r>
      <w:r w:rsidDel="00000000" w:rsidR="00000000" w:rsidRPr="00000000">
        <w:drawing>
          <wp:inline distB="114300" distT="114300" distL="114300" distR="114300">
            <wp:extent cx="3282774" cy="2138363"/>
            <wp:effectExtent b="0" l="0" r="0" t="0"/>
            <wp:docPr id="55" name="image109.png"/>
            <a:graphic>
              <a:graphicData uri="http://schemas.openxmlformats.org/drawingml/2006/picture">
                <pic:pic>
                  <pic:nvPicPr>
                    <pic:cNvPr id="0" name="image109.png"/>
                    <pic:cNvPicPr preferRelativeResize="0"/>
                  </pic:nvPicPr>
                  <pic:blipFill>
                    <a:blip r:embed="rId97"/>
                    <a:srcRect b="0" l="0" r="0" t="0"/>
                    <a:stretch>
                      <a:fillRect/>
                    </a:stretch>
                  </pic:blipFill>
                  <pic:spPr>
                    <a:xfrm>
                      <a:off x="0" y="0"/>
                      <a:ext cx="3282774" cy="213836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6"/>
          <w:szCs w:val="16"/>
          <w:rtl w:val="0"/>
        </w:rPr>
        <w:t xml:space="preserve">Figure 4.2. Datatype-agnostic quality control using imputation</w:t>
      </w:r>
      <w:r w:rsidDel="00000000" w:rsidR="00000000" w:rsidRPr="00000000">
        <w:rPr>
          <w:rFonts w:ascii="Arial" w:cs="Arial" w:eastAsia="Arial" w:hAnsi="Arial"/>
          <w:sz w:val="16"/>
          <w:szCs w:val="16"/>
          <w:rtl w:val="0"/>
        </w:rPr>
        <w:t xml:space="preserve">. </w:t>
      </w:r>
      <w:r w:rsidDel="00000000" w:rsidR="00000000" w:rsidRPr="00000000">
        <w:rPr>
          <w:rFonts w:ascii="Arial" w:cs="Arial" w:eastAsia="Arial" w:hAnsi="Arial"/>
          <w:color w:val="333333"/>
          <w:sz w:val="16"/>
          <w:szCs w:val="16"/>
          <w:highlight w:val="white"/>
          <w:rtl w:val="0"/>
        </w:rPr>
        <w:t xml:space="preserve">(</w:t>
      </w:r>
      <w:r w:rsidDel="00000000" w:rsidR="00000000" w:rsidRPr="00000000">
        <w:rPr>
          <w:rFonts w:ascii="Arial" w:cs="Arial" w:eastAsia="Arial" w:hAnsi="Arial"/>
          <w:b w:val="1"/>
          <w:color w:val="333333"/>
          <w:sz w:val="16"/>
          <w:szCs w:val="16"/>
          <w:highlight w:val="white"/>
          <w:rtl w:val="0"/>
        </w:rPr>
        <w:t xml:space="preserve">a</w:t>
      </w:r>
      <w:r w:rsidDel="00000000" w:rsidR="00000000" w:rsidRPr="00000000">
        <w:rPr>
          <w:rFonts w:ascii="Arial" w:cs="Arial" w:eastAsia="Arial" w:hAnsi="Arial"/>
          <w:color w:val="333333"/>
          <w:sz w:val="16"/>
          <w:szCs w:val="16"/>
          <w:highlight w:val="white"/>
          <w:rtl w:val="0"/>
        </w:rPr>
        <w:t xml:space="preserve">) Comparison of dataset-specific QC metrics (columns) for ten Roadmap Epigenomics datasets (rows) that show the lowest agreement with gene and promoter annotations, based on H3K4me3 (top) and H3K36me3 (bottom). Each entry shows rank (out of 127) for imputation-based QC (first column), read depth (second column) and each QC metric (Poisson statistic, Signal Proportion of Tags (SPOT), FindPeaks, Normalized and Relative Strand Correlation between forward and reverse strands (NSC and RSC)), and similarity between imputed and observed data (Match1 and GWcorr). Orange-shaded EIDs denote the five worst-agreement datasets from </w:t>
      </w:r>
      <w:r w:rsidDel="00000000" w:rsidR="00000000" w:rsidRPr="00000000">
        <w:rPr>
          <w:rFonts w:ascii="Arial" w:cs="Arial" w:eastAsia="Arial" w:hAnsi="Arial"/>
          <w:b w:val="1"/>
          <w:color w:val="333333"/>
          <w:sz w:val="16"/>
          <w:szCs w:val="16"/>
          <w:highlight w:val="white"/>
          <w:rtl w:val="0"/>
        </w:rPr>
        <w:t xml:space="preserve">b</w:t>
      </w:r>
      <w:r w:rsidDel="00000000" w:rsidR="00000000" w:rsidRPr="00000000">
        <w:rPr>
          <w:rFonts w:ascii="Arial" w:cs="Arial" w:eastAsia="Arial" w:hAnsi="Arial"/>
          <w:color w:val="333333"/>
          <w:sz w:val="16"/>
          <w:szCs w:val="16"/>
          <w:highlight w:val="white"/>
          <w:rtl w:val="0"/>
        </w:rPr>
        <w:t xml:space="preserve">. Data sets with the same read depth (a result of highly sequenced datasets being previously downsampled to the same number of reads) are given the same expected rank if ties were broken randomly. Most-problematic datasets (based on lack of gene or ±2 kb TSS annotation recovery) are sometimes missed by traditional QC measures but consistently show low imputation agreement. (</w:t>
      </w:r>
      <w:r w:rsidDel="00000000" w:rsidR="00000000" w:rsidRPr="00000000">
        <w:rPr>
          <w:rFonts w:ascii="Arial" w:cs="Arial" w:eastAsia="Arial" w:hAnsi="Arial"/>
          <w:b w:val="1"/>
          <w:color w:val="333333"/>
          <w:sz w:val="16"/>
          <w:szCs w:val="16"/>
          <w:highlight w:val="white"/>
          <w:rtl w:val="0"/>
        </w:rPr>
        <w:t xml:space="preserve">b</w:t>
      </w:r>
      <w:r w:rsidDel="00000000" w:rsidR="00000000" w:rsidRPr="00000000">
        <w:rPr>
          <w:rFonts w:ascii="Arial" w:cs="Arial" w:eastAsia="Arial" w:hAnsi="Arial"/>
          <w:color w:val="333333"/>
          <w:sz w:val="16"/>
          <w:szCs w:val="16"/>
          <w:highlight w:val="white"/>
          <w:rtl w:val="0"/>
        </w:rPr>
        <w:t xml:space="preserve">) Distribution of agreement between top 1% observed signal and top 1% imputed signal locations for H3K4me3 (top) and H3K36me3 (bottom), highlighting five worst-similarity (orange) and five highest-similarity (green) datasets. (</w:t>
      </w:r>
      <w:r w:rsidDel="00000000" w:rsidR="00000000" w:rsidRPr="00000000">
        <w:rPr>
          <w:rFonts w:ascii="Arial" w:cs="Arial" w:eastAsia="Arial" w:hAnsi="Arial"/>
          <w:b w:val="1"/>
          <w:color w:val="333333"/>
          <w:sz w:val="16"/>
          <w:szCs w:val="16"/>
          <w:highlight w:val="white"/>
          <w:rtl w:val="0"/>
        </w:rPr>
        <w:t xml:space="preserve">c</w:t>
      </w:r>
      <w:r w:rsidDel="00000000" w:rsidR="00000000" w:rsidRPr="00000000">
        <w:rPr>
          <w:rFonts w:ascii="Arial" w:cs="Arial" w:eastAsia="Arial" w:hAnsi="Arial"/>
          <w:color w:val="333333"/>
          <w:sz w:val="16"/>
          <w:szCs w:val="16"/>
          <w:highlight w:val="white"/>
          <w:rtl w:val="0"/>
        </w:rPr>
        <w:t xml:space="preserve">) Observed (blue) and imputed (red) signal tracks for worst-similarity (orange) and best-similarity (green) datasets for H3K4me3 (top) and H3K36me3 (bottom) for the entire chromosome 10 (0–135 Mb). Datasets with the lowest agreement have a relatively flat signal, suggesting that when observed and imputed datasets disagree most, it is usually the observed datasets that are of lowest quality. (</w:t>
      </w:r>
      <w:r w:rsidDel="00000000" w:rsidR="00000000" w:rsidRPr="00000000">
        <w:rPr>
          <w:rFonts w:ascii="Arial" w:cs="Arial" w:eastAsia="Arial" w:hAnsi="Arial"/>
          <w:b w:val="1"/>
          <w:color w:val="333333"/>
          <w:sz w:val="16"/>
          <w:szCs w:val="16"/>
          <w:highlight w:val="white"/>
          <w:rtl w:val="0"/>
        </w:rPr>
        <w:t xml:space="preserve">d</w:t>
      </w:r>
      <w:r w:rsidDel="00000000" w:rsidR="00000000" w:rsidRPr="00000000">
        <w:rPr>
          <w:rFonts w:ascii="Arial" w:cs="Arial" w:eastAsia="Arial" w:hAnsi="Arial"/>
          <w:color w:val="333333"/>
          <w:sz w:val="16"/>
          <w:szCs w:val="16"/>
          <w:highlight w:val="white"/>
          <w:rtl w:val="0"/>
        </w:rPr>
        <w:t xml:space="preserve">) Aggregation of observed signal for H3K4me3 surrounding the TSS (top) and H3K36me3 in gene bodies (bottom) for the five best-agreement (green) and worst-agreement (orange) datasets, highlighting the unusual profiles of some worst-agreement datasets, suggesting they are of lower quality, even though they were not flagged by traditional QC metrics.</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4.3</w:t>
      </w:r>
      <w:r w:rsidDel="00000000" w:rsidR="00000000" w:rsidRPr="00000000">
        <w:rPr>
          <w:rFonts w:ascii="Arial" w:cs="Arial" w:eastAsia="Arial" w:hAnsi="Arial"/>
          <w:sz w:val="22"/>
          <w:szCs w:val="22"/>
          <w:u w:val="single"/>
          <w:rtl w:val="0"/>
        </w:rPr>
        <w:t xml:space="preserve">. Metrics of independent dataset utility and analysis of completion.</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We will develop metrics and methods for evaluating the progress and completeness of the entire ENCODE project, along multiple axes, including: (i) genomic coverage, towards identifying biochemically active nucleotides across all datasets and cell types; (ii) cell type coverage, towards identifying all distinct cellular states; (iii) data type diversity, for each cell type; (iv) activity pattern capture, for each functional element. We have previously applied these measures in ENCODE and modENCODE, to track the contribution of increasing numbers of experiments to the genomic coverage of human, Drosophila, and worm, for both conserved and non-conserved regions. </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2928938" cy="2081286"/>
            <wp:effectExtent b="0" l="0" r="0" t="0"/>
            <wp:docPr id="39" name="image91.png"/>
            <a:graphic>
              <a:graphicData uri="http://schemas.openxmlformats.org/drawingml/2006/picture">
                <pic:pic>
                  <pic:nvPicPr>
                    <pic:cNvPr id="0" name="image91.png"/>
                    <pic:cNvPicPr preferRelativeResize="0"/>
                  </pic:nvPicPr>
                  <pic:blipFill>
                    <a:blip r:embed="rId98"/>
                    <a:srcRect b="0" l="0" r="0" t="0"/>
                    <a:stretch>
                      <a:fillRect/>
                    </a:stretch>
                  </pic:blipFill>
                  <pic:spPr>
                    <a:xfrm>
                      <a:off x="0" y="0"/>
                      <a:ext cx="2928938" cy="2081286"/>
                    </a:xfrm>
                    <a:prstGeom prst="rect"/>
                    <a:ln/>
                  </pic:spPr>
                </pic:pic>
              </a:graphicData>
            </a:graphic>
          </wp:inline>
        </w:drawing>
      </w:r>
      <w:r w:rsidDel="00000000" w:rsidR="00000000" w:rsidRPr="00000000">
        <w:drawing>
          <wp:inline distB="114300" distT="114300" distL="114300" distR="114300">
            <wp:extent cx="2207186" cy="2033588"/>
            <wp:effectExtent b="0" l="0" r="0" t="0"/>
            <wp:docPr id="24" name="image76.png"/>
            <a:graphic>
              <a:graphicData uri="http://schemas.openxmlformats.org/drawingml/2006/picture">
                <pic:pic>
                  <pic:nvPicPr>
                    <pic:cNvPr id="0" name="image76.png"/>
                    <pic:cNvPicPr preferRelativeResize="0"/>
                  </pic:nvPicPr>
                  <pic:blipFill>
                    <a:blip r:embed="rId99"/>
                    <a:srcRect b="0" l="0" r="0" t="0"/>
                    <a:stretch>
                      <a:fillRect/>
                    </a:stretch>
                  </pic:blipFill>
                  <pic:spPr>
                    <a:xfrm>
                      <a:off x="0" y="0"/>
                      <a:ext cx="2207186" cy="203358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sz w:val="18"/>
          <w:szCs w:val="18"/>
          <w:rtl w:val="0"/>
        </w:rPr>
        <w:t xml:space="preserve">Figure 4.3</w:t>
      </w:r>
      <w:r w:rsidDel="00000000" w:rsidR="00000000" w:rsidRPr="00000000">
        <w:rPr>
          <w:rFonts w:ascii="Arial" w:cs="Arial" w:eastAsia="Arial" w:hAnsi="Arial"/>
          <w:sz w:val="18"/>
          <w:szCs w:val="18"/>
          <w:rtl w:val="0"/>
        </w:rPr>
        <w:t xml:space="preserve">. Genome coverage by ENCODE data types. (a) Unique (bars) and cumulative (lines) coverage of nonrepetitive (blue line) and conserved (red line) genome from </w:t>
      </w:r>
      <w:r w:rsidDel="00000000" w:rsidR="00000000" w:rsidRPr="00000000">
        <w:rPr>
          <w:rFonts w:ascii="Arial" w:cs="Arial" w:eastAsia="Arial" w:hAnsi="Arial"/>
          <w:i w:val="1"/>
          <w:sz w:val="18"/>
          <w:szCs w:val="18"/>
          <w:rtl w:val="0"/>
        </w:rPr>
        <w:t xml:space="preserve">Drosophila </w:t>
      </w:r>
      <w:r w:rsidDel="00000000" w:rsidR="00000000" w:rsidRPr="00000000">
        <w:rPr>
          <w:rFonts w:ascii="Arial" w:cs="Arial" w:eastAsia="Arial" w:hAnsi="Arial"/>
          <w:sz w:val="18"/>
          <w:szCs w:val="18"/>
          <w:rtl w:val="0"/>
        </w:rPr>
        <w:t xml:space="preserve">modENCODE. (b) Multiple coverage for data sets grouped into transcribed elements (red), bound regulators (blue), and chromatin domains (green) in </w:t>
      </w:r>
      <w:r w:rsidDel="00000000" w:rsidR="00000000" w:rsidRPr="00000000">
        <w:rPr>
          <w:rFonts w:ascii="Arial" w:cs="Arial" w:eastAsia="Arial" w:hAnsi="Arial"/>
          <w:i w:val="1"/>
          <w:sz w:val="18"/>
          <w:szCs w:val="18"/>
          <w:rtl w:val="0"/>
        </w:rPr>
        <w:t xml:space="preserve">Drosophila </w:t>
      </w:r>
      <w:r w:rsidDel="00000000" w:rsidR="00000000" w:rsidRPr="00000000">
        <w:rPr>
          <w:rFonts w:ascii="Arial" w:cs="Arial" w:eastAsia="Arial" w:hAnsi="Arial"/>
          <w:sz w:val="18"/>
          <w:szCs w:val="18"/>
          <w:rtl w:val="0"/>
        </w:rPr>
        <w:t xml:space="preserve">modENCODE. Across all three classes (black), 10.8% of the genome is covered 15 or more times, and 69.5% is covered at least twice. (c) Genomic coverage in human ENCODE with randomly reordered datasets as additional cell lines are added. Saturation plot for UW DNase1 over 15 cell lines, with all possible paths of random addition orders for cell lines.</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addition to quality control of individual datasets, we will develop and apply unbiased methods for evaluating  the per-nucleotide information content of each data type in a given cell type independently of any other data, based on: (i) genome-wide coverage, (ii) resolution, (iii) reproducibility. </w:t>
      </w:r>
    </w:p>
    <w:p w:rsidR="00000000" w:rsidDel="00000000" w:rsidP="00000000" w:rsidRDefault="00000000" w:rsidRPr="00000000">
      <w:pPr>
        <w:spacing w:before="100" w:line="240" w:lineRule="auto"/>
        <w:contextualSpacing w:val="0"/>
      </w:pPr>
      <w:r w:rsidDel="00000000" w:rsidR="00000000" w:rsidRPr="00000000">
        <w:rPr>
          <w:rFonts w:ascii="Arial" w:cs="Arial" w:eastAsia="Arial" w:hAnsi="Arial"/>
          <w:b w:val="1"/>
          <w:sz w:val="22"/>
          <w:szCs w:val="22"/>
          <w:rtl w:val="0"/>
        </w:rPr>
        <w:t xml:space="preserve">Quantify the unique information </w:t>
      </w:r>
      <w:r w:rsidDel="00000000" w:rsidR="00000000" w:rsidRPr="00000000">
        <w:rPr>
          <w:rFonts w:ascii="Arial" w:cs="Arial" w:eastAsia="Arial" w:hAnsi="Arial"/>
          <w:sz w:val="22"/>
          <w:szCs w:val="22"/>
          <w:rtl w:val="0"/>
        </w:rPr>
        <w:t xml:space="preserve">each experiment provide in the context of the compendium using </w:t>
      </w:r>
      <w:r w:rsidDel="00000000" w:rsidR="00000000" w:rsidRPr="00000000">
        <w:rPr>
          <w:rFonts w:ascii="Arial" w:cs="Arial" w:eastAsia="Arial" w:hAnsi="Arial"/>
          <w:b w:val="1"/>
          <w:sz w:val="22"/>
          <w:szCs w:val="22"/>
          <w:rtl w:val="0"/>
        </w:rPr>
        <w:t xml:space="preserve">information-theoretic approaches.</w:t>
      </w:r>
    </w:p>
    <w:p w:rsidR="00000000" w:rsidDel="00000000" w:rsidP="00000000" w:rsidRDefault="00000000" w:rsidRPr="00000000">
      <w:pPr>
        <w:spacing w:before="100" w:line="240" w:lineRule="auto"/>
        <w:contextualSpacing w:val="0"/>
      </w:pPr>
      <w:r w:rsidDel="00000000" w:rsidR="00000000" w:rsidRPr="00000000">
        <w:rPr>
          <w:rFonts w:ascii="Arial" w:cs="Arial" w:eastAsia="Arial" w:hAnsi="Arial"/>
          <w:sz w:val="22"/>
          <w:szCs w:val="22"/>
          <w:rtl w:val="0"/>
        </w:rPr>
        <w:t xml:space="preserve">Several factors need to be taken into account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1.the </w:t>
      </w:r>
      <w:r w:rsidDel="00000000" w:rsidR="00000000" w:rsidRPr="00000000">
        <w:rPr>
          <w:rFonts w:ascii="Arial" w:cs="Arial" w:eastAsia="Arial" w:hAnsi="Arial"/>
          <w:b w:val="1"/>
          <w:sz w:val="22"/>
          <w:szCs w:val="22"/>
          <w:rtl w:val="0"/>
        </w:rPr>
        <w:t xml:space="preserve">reproducibility</w:t>
      </w:r>
      <w:r w:rsidDel="00000000" w:rsidR="00000000" w:rsidRPr="00000000">
        <w:rPr>
          <w:rFonts w:ascii="Arial" w:cs="Arial" w:eastAsia="Arial" w:hAnsi="Arial"/>
          <w:sz w:val="22"/>
          <w:szCs w:val="22"/>
          <w:rtl w:val="0"/>
        </w:rPr>
        <w:t xml:space="preserve"> of an assay between replicate experiments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2.the </w:t>
      </w:r>
      <w:r w:rsidDel="00000000" w:rsidR="00000000" w:rsidRPr="00000000">
        <w:rPr>
          <w:rFonts w:ascii="Arial" w:cs="Arial" w:eastAsia="Arial" w:hAnsi="Arial"/>
          <w:b w:val="1"/>
          <w:sz w:val="22"/>
          <w:szCs w:val="22"/>
          <w:rtl w:val="0"/>
        </w:rPr>
        <w:t xml:space="preserve">resolution</w:t>
      </w:r>
      <w:r w:rsidDel="00000000" w:rsidR="00000000" w:rsidRPr="00000000">
        <w:rPr>
          <w:rFonts w:ascii="Arial" w:cs="Arial" w:eastAsia="Arial" w:hAnsi="Arial"/>
          <w:sz w:val="22"/>
          <w:szCs w:val="22"/>
          <w:rtl w:val="0"/>
        </w:rPr>
        <w:t xml:space="preserve"> of the assay</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3.the </w:t>
      </w:r>
      <w:r w:rsidDel="00000000" w:rsidR="00000000" w:rsidRPr="00000000">
        <w:rPr>
          <w:rFonts w:ascii="Arial" w:cs="Arial" w:eastAsia="Arial" w:hAnsi="Arial"/>
          <w:b w:val="1"/>
          <w:sz w:val="22"/>
          <w:szCs w:val="22"/>
          <w:rtl w:val="0"/>
        </w:rPr>
        <w:t xml:space="preserve">robustness</w:t>
      </w:r>
      <w:r w:rsidDel="00000000" w:rsidR="00000000" w:rsidRPr="00000000">
        <w:rPr>
          <w:rFonts w:ascii="Arial" w:cs="Arial" w:eastAsia="Arial" w:hAnsi="Arial"/>
          <w:sz w:val="22"/>
          <w:szCs w:val="22"/>
          <w:rtl w:val="0"/>
        </w:rPr>
        <w:t xml:space="preserve"> of the experiment to variation in experimental conditions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4.the </w:t>
      </w:r>
      <w:r w:rsidDel="00000000" w:rsidR="00000000" w:rsidRPr="00000000">
        <w:rPr>
          <w:rFonts w:ascii="Arial" w:cs="Arial" w:eastAsia="Arial" w:hAnsi="Arial"/>
          <w:b w:val="1"/>
          <w:sz w:val="22"/>
          <w:szCs w:val="22"/>
          <w:rtl w:val="0"/>
        </w:rPr>
        <w:t xml:space="preserve">rarity</w:t>
      </w:r>
      <w:r w:rsidDel="00000000" w:rsidR="00000000" w:rsidRPr="00000000">
        <w:rPr>
          <w:rFonts w:ascii="Arial" w:cs="Arial" w:eastAsia="Arial" w:hAnsi="Arial"/>
          <w:sz w:val="22"/>
          <w:szCs w:val="22"/>
          <w:rtl w:val="0"/>
        </w:rPr>
        <w:t xml:space="preserve"> of the element type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5.the ability to </w:t>
      </w:r>
      <w:r w:rsidDel="00000000" w:rsidR="00000000" w:rsidRPr="00000000">
        <w:rPr>
          <w:rFonts w:ascii="Arial" w:cs="Arial" w:eastAsia="Arial" w:hAnsi="Arial"/>
          <w:b w:val="1"/>
          <w:sz w:val="22"/>
          <w:szCs w:val="22"/>
          <w:rtl w:val="0"/>
        </w:rPr>
        <w:t xml:space="preserve">predict</w:t>
      </w:r>
      <w:r w:rsidDel="00000000" w:rsidR="00000000" w:rsidRPr="00000000">
        <w:rPr>
          <w:rFonts w:ascii="Arial" w:cs="Arial" w:eastAsia="Arial" w:hAnsi="Arial"/>
          <w:sz w:val="22"/>
          <w:szCs w:val="22"/>
          <w:rtl w:val="0"/>
        </w:rPr>
        <w:t xml:space="preserve"> of a given assay from other assays in the </w:t>
      </w:r>
      <w:r w:rsidDel="00000000" w:rsidR="00000000" w:rsidRPr="00000000">
        <w:rPr>
          <w:rFonts w:ascii="Arial" w:cs="Arial" w:eastAsia="Arial" w:hAnsi="Arial"/>
          <w:b w:val="1"/>
          <w:sz w:val="22"/>
          <w:szCs w:val="22"/>
          <w:rtl w:val="0"/>
        </w:rPr>
        <w:t xml:space="preserve">same cell type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6.the ability to </w:t>
      </w:r>
      <w:r w:rsidDel="00000000" w:rsidR="00000000" w:rsidRPr="00000000">
        <w:rPr>
          <w:rFonts w:ascii="Arial" w:cs="Arial" w:eastAsia="Arial" w:hAnsi="Arial"/>
          <w:b w:val="1"/>
          <w:sz w:val="22"/>
          <w:szCs w:val="22"/>
          <w:rtl w:val="0"/>
        </w:rPr>
        <w:t xml:space="preserve">predict</w:t>
      </w:r>
      <w:r w:rsidDel="00000000" w:rsidR="00000000" w:rsidRPr="00000000">
        <w:rPr>
          <w:rFonts w:ascii="Arial" w:cs="Arial" w:eastAsia="Arial" w:hAnsi="Arial"/>
          <w:sz w:val="22"/>
          <w:szCs w:val="22"/>
          <w:rtl w:val="0"/>
        </w:rPr>
        <w:t xml:space="preserve"> a given assay from same/other assays in </w:t>
      </w:r>
      <w:r w:rsidDel="00000000" w:rsidR="00000000" w:rsidRPr="00000000">
        <w:rPr>
          <w:rFonts w:ascii="Arial" w:cs="Arial" w:eastAsia="Arial" w:hAnsi="Arial"/>
          <w:b w:val="1"/>
          <w:sz w:val="22"/>
          <w:szCs w:val="22"/>
          <w:rtl w:val="0"/>
        </w:rPr>
        <w:t xml:space="preserve">other cell types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7.the increase in </w:t>
      </w:r>
      <w:r w:rsidDel="00000000" w:rsidR="00000000" w:rsidRPr="00000000">
        <w:rPr>
          <w:rFonts w:ascii="Arial" w:cs="Arial" w:eastAsia="Arial" w:hAnsi="Arial"/>
          <w:b w:val="1"/>
          <w:sz w:val="22"/>
          <w:szCs w:val="22"/>
          <w:rtl w:val="0"/>
        </w:rPr>
        <w:t xml:space="preserve">enrichments for independent datasets </w:t>
      </w:r>
      <w:r w:rsidDel="00000000" w:rsidR="00000000" w:rsidRPr="00000000">
        <w:rPr>
          <w:rFonts w:ascii="Arial" w:cs="Arial" w:eastAsia="Arial" w:hAnsi="Arial"/>
          <w:sz w:val="22"/>
          <w:szCs w:val="22"/>
          <w:rtl w:val="0"/>
        </w:rPr>
        <w:t xml:space="preserve">e.g. GWAS variants, regulatory motif matches, evolutionary conservation. resulting from the incorporation of a given experiment to an existing compendium</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8.the increased </w:t>
      </w:r>
      <w:r w:rsidDel="00000000" w:rsidR="00000000" w:rsidRPr="00000000">
        <w:rPr>
          <w:rFonts w:ascii="Arial" w:cs="Arial" w:eastAsia="Arial" w:hAnsi="Arial"/>
          <w:b w:val="1"/>
          <w:sz w:val="22"/>
          <w:szCs w:val="22"/>
          <w:rtl w:val="0"/>
        </w:rPr>
        <w:t xml:space="preserve">ability to predict known regulatory motifs </w:t>
      </w:r>
      <w:r w:rsidDel="00000000" w:rsidR="00000000" w:rsidRPr="00000000">
        <w:rPr>
          <w:rFonts w:ascii="Arial" w:cs="Arial" w:eastAsia="Arial" w:hAnsi="Arial"/>
          <w:sz w:val="22"/>
          <w:szCs w:val="22"/>
          <w:rtl w:val="0"/>
        </w:rPr>
        <w:t xml:space="preserve">by incorporation of the additional experiments</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9.the increase in the </w:t>
      </w:r>
      <w:r w:rsidDel="00000000" w:rsidR="00000000" w:rsidRPr="00000000">
        <w:rPr>
          <w:rFonts w:ascii="Arial" w:cs="Arial" w:eastAsia="Arial" w:hAnsi="Arial"/>
          <w:b w:val="1"/>
          <w:sz w:val="22"/>
          <w:szCs w:val="22"/>
          <w:rtl w:val="0"/>
        </w:rPr>
        <w:t xml:space="preserve">ability to predict the activity pattern </w:t>
      </w:r>
      <w:r w:rsidDel="00000000" w:rsidR="00000000" w:rsidRPr="00000000">
        <w:rPr>
          <w:rFonts w:ascii="Arial" w:cs="Arial" w:eastAsia="Arial" w:hAnsi="Arial"/>
          <w:sz w:val="22"/>
          <w:szCs w:val="22"/>
          <w:rtl w:val="0"/>
        </w:rPr>
        <w:t xml:space="preserve">of a given element resulting from incorporation of the additional experiment in an existing data compendium</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Factors influencing these properties: </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a)the type of assay;</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b)the specific cell type selected;</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c)the experimental conditions used;</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d)the quality of antibodies (when applicable);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e)the cell type heterogeneity of the sample;</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f)the sequencing depth at which the experiment is carried out;</w:t>
      </w:r>
    </w:p>
    <w:p w:rsidR="00000000" w:rsidDel="00000000" w:rsidP="00000000" w:rsidRDefault="00000000" w:rsidRPr="00000000">
      <w:pPr>
        <w:spacing w:line="240" w:lineRule="auto"/>
        <w:contextualSpacing w:val="0"/>
      </w:pPr>
      <w:r w:rsidDel="00000000" w:rsidR="00000000" w:rsidRPr="00000000">
        <w:rPr>
          <w:rFonts w:ascii="Arial" w:cs="Arial" w:eastAsia="Arial" w:hAnsi="Arial"/>
          <w:sz w:val="22"/>
          <w:szCs w:val="22"/>
          <w:rtl w:val="0"/>
        </w:rPr>
        <w:t xml:space="preserve">g)the amount of DNA extracted (and thus effective depth of the library).</w:t>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4691063" cy="1543113"/>
            <wp:effectExtent b="0" l="0" r="0" t="0"/>
            <wp:docPr id="40" name="image92.png"/>
            <a:graphic>
              <a:graphicData uri="http://schemas.openxmlformats.org/drawingml/2006/picture">
                <pic:pic>
                  <pic:nvPicPr>
                    <pic:cNvPr id="0" name="image92.png"/>
                    <pic:cNvPicPr preferRelativeResize="0"/>
                  </pic:nvPicPr>
                  <pic:blipFill>
                    <a:blip r:embed="rId100"/>
                    <a:srcRect b="0" l="0" r="0" t="0"/>
                    <a:stretch>
                      <a:fillRect/>
                    </a:stretch>
                  </pic:blipFill>
                  <pic:spPr>
                    <a:xfrm>
                      <a:off x="0" y="0"/>
                      <a:ext cx="4691063" cy="1543113"/>
                    </a:xfrm>
                    <a:prstGeom prst="rect"/>
                    <a:ln/>
                  </pic:spPr>
                </pic:pic>
              </a:graphicData>
            </a:graphic>
          </wp:inline>
        </w:drawing>
      </w:r>
      <w:r w:rsidDel="00000000" w:rsidR="00000000" w:rsidRPr="00000000">
        <w:drawing>
          <wp:inline distB="114300" distT="114300" distL="114300" distR="114300">
            <wp:extent cx="4700588" cy="1718816"/>
            <wp:effectExtent b="0" l="0" r="0" t="0"/>
            <wp:docPr id="25" name="image77.png"/>
            <a:graphic>
              <a:graphicData uri="http://schemas.openxmlformats.org/drawingml/2006/picture">
                <pic:pic>
                  <pic:nvPicPr>
                    <pic:cNvPr id="0" name="image77.png"/>
                    <pic:cNvPicPr preferRelativeResize="0"/>
                  </pic:nvPicPr>
                  <pic:blipFill>
                    <a:blip r:embed="rId101"/>
                    <a:srcRect b="0" l="0" r="0" t="0"/>
                    <a:stretch>
                      <a:fillRect/>
                    </a:stretch>
                  </pic:blipFill>
                  <pic:spPr>
                    <a:xfrm>
                      <a:off x="0" y="0"/>
                      <a:ext cx="4700588" cy="1718816"/>
                    </a:xfrm>
                    <a:prstGeom prst="rect"/>
                    <a:ln/>
                  </pic:spPr>
                </pic:pic>
              </a:graphicData>
            </a:graphic>
          </wp:inline>
        </w:drawing>
      </w:r>
      <w:r w:rsidDel="00000000" w:rsidR="00000000" w:rsidRPr="00000000">
        <w:drawing>
          <wp:inline distB="114300" distT="114300" distL="114300" distR="114300">
            <wp:extent cx="4719638" cy="1478621"/>
            <wp:effectExtent b="0" l="0" r="0" t="0"/>
            <wp:docPr id="28" name="image80.png"/>
            <a:graphic>
              <a:graphicData uri="http://schemas.openxmlformats.org/drawingml/2006/picture">
                <pic:pic>
                  <pic:nvPicPr>
                    <pic:cNvPr id="0" name="image80.png"/>
                    <pic:cNvPicPr preferRelativeResize="0"/>
                  </pic:nvPicPr>
                  <pic:blipFill>
                    <a:blip r:embed="rId102"/>
                    <a:srcRect b="0" l="0" r="0" t="0"/>
                    <a:stretch>
                      <a:fillRect/>
                    </a:stretch>
                  </pic:blipFill>
                  <pic:spPr>
                    <a:xfrm>
                      <a:off x="0" y="0"/>
                      <a:ext cx="4719638" cy="1478621"/>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4.5. Prioritization of assays and cell types</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addition the independent metrics of dataset utility, we will evaluate the utility of datasets in the context of all other data across assays and across cell types. Within each cell type, we will evaluate the utility of each data type based on its ability to predict other data types, and the difficulty of predicting it by other data types. Conversely, for each data type we will use the same approach for evaluate the utility of different cell types, based predictive power and predictability. We combine the two approaches to rank each dataset in each cell type, and to prioritize the set of experiments that will be of greatest overall utility. </w:t>
      </w:r>
    </w:p>
    <w:p w:rsidR="00000000" w:rsidDel="00000000" w:rsidP="00000000" w:rsidRDefault="00000000" w:rsidRPr="00000000">
      <w:pPr>
        <w:spacing w:after="100" w:line="240" w:lineRule="auto"/>
        <w:contextualSpacing w:val="0"/>
      </w:pPr>
      <w:commentRangeStart w:id="55"/>
      <w:r w:rsidDel="00000000" w:rsidR="00000000" w:rsidRPr="00000000">
        <w:rPr>
          <w:rFonts w:ascii="Arial" w:cs="Arial" w:eastAsia="Arial" w:hAnsi="Arial"/>
          <w:sz w:val="22"/>
          <w:szCs w:val="22"/>
          <w:rtl w:val="0"/>
        </w:rPr>
        <w:t xml:space="preserve">[from Bill Noble]</w:t>
      </w:r>
      <w:commentRangeEnd w:id="55"/>
      <w:r w:rsidDel="00000000" w:rsidR="00000000" w:rsidRPr="00000000">
        <w:commentReference w:id="55"/>
      </w: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A key question facing the ENCODE Consortium has always been which assays to perform in which cell types. In principle, to fully characterize a given cell type, one would like to perform every possible type of assay: DNase-seq, ChIP-seq for all histone modifications and transcription factors for which antibodies are available, RNA-seq on a wide variety of subcellular fractions, etc. However, at current sequencing prices, performing a single genomics assay with reasonable sequencing depth costs on the order of $400 (https://www.scienceexchange. com/services/chip-seq). As of February, 2016, the ENCODE and Roadmap Epigenomics consortia have performed a total of 270 types of assays on at least one cell type, and at least one assay on a total of 320 cell types (encodeproject.org). Applying all these assay types to all these cell types would require 86,500 assays; however, the two consortia have performed just 2342 assays, 3% of the possible number.</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In practice, carrying out all of the remaining assays would not only be expensive but also wasteful because many pairs of assay types yield redundant information. For example, the transcription factors REST and RCOR1 are cofactors and therefore bind almost the same set of genomic positions (Andres 1999 10449787). Similarly, the histone modification H3K36me3 primarily marks gene bodies, which are also transcribed and therefore measured by RNA-seq. Therefore, a great deal of what can be learned from the full set of assays can likely be learned by performing a small subset of the possible assays. This redundancy among assay types suggests that a carefully chosen panel of assays is likely to produce most of the information that performing all assays would.</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We have developed a principled method to identify a small panel of maximally informative assay types by borrowing methods from the field of submodular optimization (Wei 2015 http://dx.doi.org/10.1101/036137).  A submodular function (Fujishige </w:t>
      </w:r>
      <w:r w:rsidDel="00000000" w:rsidR="00000000" w:rsidRPr="00000000">
        <w:rPr>
          <w:rFonts w:ascii="Arial" w:cs="Arial" w:eastAsia="Arial" w:hAnsi="Arial"/>
          <w:i w:val="1"/>
          <w:sz w:val="22"/>
          <w:szCs w:val="22"/>
          <w:rtl w:val="0"/>
        </w:rPr>
        <w:t xml:space="preserve">Submodula functions and optimization.</w:t>
      </w:r>
      <w:r w:rsidDel="00000000" w:rsidR="00000000" w:rsidRPr="00000000">
        <w:rPr>
          <w:rFonts w:ascii="Nova Mono" w:cs="Nova Mono" w:eastAsia="Nova Mono" w:hAnsi="Nova Mono"/>
          <w:sz w:val="22"/>
          <w:szCs w:val="22"/>
          <w:rtl w:val="0"/>
        </w:rPr>
        <w:t xml:space="preserve"> Vol. 58. Elsevier Science, 2005) is defined as follows: given a finite size m set V = {1, 2, . . . , m}, a discrete set function f : 2V → R that offers a real value for any subset S </w:t>
      </w:r>
      <w:r w:rsidDel="00000000" w:rsidR="00000000" w:rsidRPr="00000000">
        <w:rPr>
          <w:rFonts w:ascii="Meiryo" w:cs="Meiryo" w:eastAsia="Meiryo" w:hAnsi="Meiryo"/>
          <w:sz w:val="22"/>
          <w:szCs w:val="22"/>
          <w:rtl w:val="0"/>
        </w:rPr>
        <w:t xml:space="preserve">⊆</w:t>
      </w:r>
      <w:r w:rsidDel="00000000" w:rsidR="00000000" w:rsidRPr="00000000">
        <w:rPr>
          <w:rFonts w:ascii="Nova Mono" w:cs="Nova Mono" w:eastAsia="Nova Mono" w:hAnsi="Nova Mono"/>
          <w:sz w:val="22"/>
          <w:szCs w:val="22"/>
          <w:rtl w:val="0"/>
        </w:rPr>
        <w:t xml:space="preserve"> V is submodular if and only if f (S) + f (T ) ≥ f (S </w:t>
      </w:r>
      <w:r w:rsidDel="00000000" w:rsidR="00000000" w:rsidRPr="00000000">
        <w:rPr>
          <w:rFonts w:ascii="Meiryo" w:cs="Meiryo" w:eastAsia="Meiryo" w:hAnsi="Meiryo"/>
          <w:sz w:val="22"/>
          <w:szCs w:val="22"/>
          <w:rtl w:val="0"/>
        </w:rPr>
        <w:t xml:space="preserve">∪</w:t>
      </w:r>
      <w:r w:rsidDel="00000000" w:rsidR="00000000" w:rsidRPr="00000000">
        <w:rPr>
          <w:rFonts w:ascii="Nova Mono" w:cs="Nova Mono" w:eastAsia="Nova Mono" w:hAnsi="Nova Mono"/>
          <w:sz w:val="22"/>
          <w:szCs w:val="22"/>
          <w:rtl w:val="0"/>
        </w:rPr>
        <w:t xml:space="preserve"> T ) + f (S ∩ T ),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S, T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 V. Defining f (s|S) _Q f (s </w:t>
      </w:r>
      <w:r w:rsidDel="00000000" w:rsidR="00000000" w:rsidRPr="00000000">
        <w:rPr>
          <w:rFonts w:ascii="Meiryo" w:cs="Meiryo" w:eastAsia="Meiryo" w:hAnsi="Meiryo"/>
          <w:sz w:val="22"/>
          <w:szCs w:val="22"/>
          <w:rtl w:val="0"/>
        </w:rPr>
        <w:t xml:space="preserve">∪</w:t>
      </w:r>
      <w:r w:rsidDel="00000000" w:rsidR="00000000" w:rsidRPr="00000000">
        <w:rPr>
          <w:rFonts w:ascii="Nova Mono" w:cs="Nova Mono" w:eastAsia="Nova Mono" w:hAnsi="Nova Mono"/>
          <w:sz w:val="22"/>
          <w:szCs w:val="22"/>
          <w:rtl w:val="0"/>
        </w:rPr>
        <w:t xml:space="preserve"> S) − f (S), submodularity can equivalently be defined as f (s|S) ≥ f (s|T ),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S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 T and s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 T.  That is, the incremental gain of adding item s to the set decreases when the set to which s is added to grows from S to T .  In our approach, the V represents a set of genomics assays and the set function f (S) represents a measure of “quality” of a subset of assays S </w:t>
      </w:r>
      <w:r w:rsidDel="00000000" w:rsidR="00000000" w:rsidRPr="00000000">
        <w:rPr>
          <w:rFonts w:ascii="Meiryo" w:cs="Meiryo" w:eastAsia="Meiryo" w:hAnsi="Meiryo"/>
          <w:sz w:val="22"/>
          <w:szCs w:val="22"/>
          <w:rtl w:val="0"/>
        </w:rPr>
        <w:t xml:space="preserve">⊆</w:t>
      </w:r>
      <w:r w:rsidDel="00000000" w:rsidR="00000000" w:rsidRPr="00000000">
        <w:rPr>
          <w:rFonts w:ascii="Arial" w:cs="Arial" w:eastAsia="Arial" w:hAnsi="Arial"/>
          <w:sz w:val="22"/>
          <w:szCs w:val="22"/>
          <w:rtl w:val="0"/>
        </w:rPr>
        <w:t xml:space="preserve"> V , or roughly, how well the subset S captures the information present in the full set V .  Submodular functions have a long history in economics (X. Vives, </w:t>
      </w:r>
      <w:r w:rsidDel="00000000" w:rsidR="00000000" w:rsidRPr="00000000">
        <w:rPr>
          <w:rFonts w:ascii="Arial" w:cs="Arial" w:eastAsia="Arial" w:hAnsi="Arial"/>
          <w:i w:val="1"/>
          <w:sz w:val="22"/>
          <w:szCs w:val="22"/>
          <w:rtl w:val="0"/>
        </w:rPr>
        <w:t xml:space="preserve">Oligopoly Pricing: Old Ideas and New Tools.</w:t>
      </w:r>
      <w:r w:rsidDel="00000000" w:rsidR="00000000" w:rsidRPr="00000000">
        <w:rPr>
          <w:rFonts w:ascii="Arial" w:cs="Arial" w:eastAsia="Arial" w:hAnsi="Arial"/>
          <w:sz w:val="22"/>
          <w:szCs w:val="22"/>
          <w:rtl w:val="0"/>
        </w:rPr>
        <w:t xml:space="preserve"> MIT Press, 2001; M. Carter, </w:t>
      </w:r>
      <w:r w:rsidDel="00000000" w:rsidR="00000000" w:rsidRPr="00000000">
        <w:rPr>
          <w:rFonts w:ascii="Arial" w:cs="Arial" w:eastAsia="Arial" w:hAnsi="Arial"/>
          <w:i w:val="1"/>
          <w:sz w:val="22"/>
          <w:szCs w:val="22"/>
          <w:rtl w:val="0"/>
        </w:rPr>
        <w:t xml:space="preserve">Foundations of Mathematical Economics</w:t>
      </w:r>
      <w:r w:rsidDel="00000000" w:rsidR="00000000" w:rsidRPr="00000000">
        <w:rPr>
          <w:rFonts w:ascii="Arial" w:cs="Arial" w:eastAsia="Arial" w:hAnsi="Arial"/>
          <w:sz w:val="22"/>
          <w:szCs w:val="22"/>
          <w:rtl w:val="0"/>
        </w:rPr>
        <w:t xml:space="preserve">. MIT Press, 2001), game theory (D. M. Topkis, </w:t>
      </w:r>
      <w:r w:rsidDel="00000000" w:rsidR="00000000" w:rsidRPr="00000000">
        <w:rPr>
          <w:rFonts w:ascii="Arial" w:cs="Arial" w:eastAsia="Arial" w:hAnsi="Arial"/>
          <w:i w:val="1"/>
          <w:sz w:val="22"/>
          <w:szCs w:val="22"/>
          <w:rtl w:val="0"/>
        </w:rPr>
        <w:t xml:space="preserve">Supermodularity and complementarity</w:t>
      </w:r>
      <w:r w:rsidDel="00000000" w:rsidR="00000000" w:rsidRPr="00000000">
        <w:rPr>
          <w:rFonts w:ascii="Arial" w:cs="Arial" w:eastAsia="Arial" w:hAnsi="Arial"/>
          <w:sz w:val="22"/>
          <w:szCs w:val="22"/>
          <w:rtl w:val="0"/>
        </w:rPr>
        <w:t xml:space="preserve"> Princeton UP 1998; L. S. Shapley. “Cores of conex games” </w:t>
      </w:r>
      <w:r w:rsidDel="00000000" w:rsidR="00000000" w:rsidRPr="00000000">
        <w:rPr>
          <w:rFonts w:ascii="Arial" w:cs="Arial" w:eastAsia="Arial" w:hAnsi="Arial"/>
          <w:i w:val="1"/>
          <w:sz w:val="22"/>
          <w:szCs w:val="22"/>
          <w:rtl w:val="0"/>
        </w:rPr>
        <w:t xml:space="preserve">Int. J. of Game Theory</w:t>
      </w:r>
      <w:r w:rsidDel="00000000" w:rsidR="00000000" w:rsidRPr="00000000">
        <w:rPr>
          <w:rFonts w:ascii="Arial" w:cs="Arial" w:eastAsia="Arial" w:hAnsi="Arial"/>
          <w:sz w:val="22"/>
          <w:szCs w:val="22"/>
          <w:rtl w:val="0"/>
        </w:rPr>
        <w:t xml:space="preserve"> 1(1):11-26, 1971), combinatorial optimization</w:t>
      </w:r>
      <w:commentRangeStart w:id="56"/>
      <w:r w:rsidDel="00000000" w:rsidR="00000000" w:rsidRPr="00000000">
        <w:rPr>
          <w:rFonts w:ascii="Arial" w:cs="Arial" w:eastAsia="Arial" w:hAnsi="Arial"/>
          <w:sz w:val="22"/>
          <w:szCs w:val="22"/>
          <w:rtl w:val="0"/>
        </w:rPr>
        <w:t xml:space="preserve"> [50–52], electrical networks [53], operations research [54], and more recently, machine learning [55–58], but they are not yet widely used for problems in biology.</w:t>
      </w:r>
      <w:commentRangeEnd w:id="56"/>
      <w:r w:rsidDel="00000000" w:rsidR="00000000" w:rsidRPr="00000000">
        <w:commentReference w:id="56"/>
      </w: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In selecting a panel of genomics assays, we are interested in the problem of maximizing a submodular function subject to a constraint on the size of the reported set. That is, we are interested in solving the problem</w:t>
      </w:r>
    </w:p>
    <w:p w:rsidR="00000000" w:rsidDel="00000000" w:rsidP="00000000" w:rsidRDefault="00000000" w:rsidRPr="00000000">
      <w:pPr>
        <w:spacing w:after="120" w:lineRule="auto"/>
        <w:ind w:left="0" w:right="90" w:firstLine="0"/>
        <w:contextualSpacing w:val="0"/>
        <w:jc w:val="center"/>
      </w:pPr>
      <w:r w:rsidDel="00000000" w:rsidR="00000000" w:rsidRPr="00000000">
        <w:rPr>
          <w:rFonts w:ascii="Nova Mono" w:cs="Nova Mono" w:eastAsia="Nova Mono" w:hAnsi="Nova Mono"/>
          <w:sz w:val="22"/>
          <w:szCs w:val="22"/>
          <w:rtl w:val="0"/>
        </w:rPr>
        <w:t xml:space="preserve">maximize f (S),     </w:t>
        <w:tab/>
        <w:t xml:space="preserve">subject to |S| ≤ k</w:t>
      </w:r>
    </w:p>
    <w:p w:rsidR="00000000" w:rsidDel="00000000" w:rsidP="00000000" w:rsidRDefault="00000000" w:rsidRPr="00000000">
      <w:pPr>
        <w:spacing w:after="120" w:lineRule="auto"/>
        <w:ind w:left="0" w:right="90" w:firstLine="0"/>
        <w:contextualSpacing w:val="0"/>
      </w:pPr>
      <w:r w:rsidDel="00000000" w:rsidR="00000000" w:rsidRPr="00000000">
        <w:rPr>
          <w:rFonts w:ascii="Nova Mono" w:cs="Nova Mono" w:eastAsia="Nova Mono" w:hAnsi="Nova Mono"/>
          <w:sz w:val="22"/>
          <w:szCs w:val="22"/>
          <w:rtl w:val="0"/>
        </w:rPr>
        <w:t xml:space="preserve">for some integer k ≤ |V |.  </w:t>
      </w:r>
    </w:p>
    <w:p w:rsidR="00000000" w:rsidDel="00000000" w:rsidP="00000000" w:rsidRDefault="00000000" w:rsidRPr="00000000">
      <w:pPr>
        <w:spacing w:after="120" w:lineRule="auto"/>
        <w:ind w:left="0" w:right="90" w:firstLine="0"/>
        <w:contextualSpacing w:val="0"/>
      </w:pPr>
      <w:r w:rsidDel="00000000" w:rsidR="00000000" w:rsidRPr="00000000">
        <w:rPr>
          <w:rFonts w:ascii="Nova Mono" w:cs="Nova Mono" w:eastAsia="Nova Mono" w:hAnsi="Nova Mono"/>
          <w:sz w:val="22"/>
          <w:szCs w:val="22"/>
          <w:rtl w:val="0"/>
        </w:rPr>
        <w:t xml:space="preserve">Although this problem is NP-hard, it can be approximately solved by a simple greedy algorithm with a worst-case approximation factor (1 − e−1) [59], which is the best solution obtainable in polynomial time unless P = N P [60].</w:t>
      </w:r>
    </w:p>
    <w:p w:rsidR="00000000" w:rsidDel="00000000" w:rsidP="00000000" w:rsidRDefault="00000000" w:rsidRPr="00000000">
      <w:pPr>
        <w:spacing w:after="120" w:lineRule="auto"/>
        <w:ind w:left="0" w:right="90" w:firstLine="0"/>
        <w:contextualSpacing w:val="0"/>
      </w:pP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On the basis of extensive empirical investigation (not shown), the particular submodular objective that we selected is called the facility location function [54], </w:t>
      </w:r>
      <w:r w:rsidDel="00000000" w:rsidR="00000000" w:rsidRPr="00000000">
        <w:drawing>
          <wp:inline distB="114300" distT="114300" distL="114300" distR="114300">
            <wp:extent cx="609600" cy="152400"/>
            <wp:effectExtent b="0" l="0" r="0" t="0"/>
            <wp:docPr id="35" name="image87.png"/>
            <a:graphic>
              <a:graphicData uri="http://schemas.openxmlformats.org/drawingml/2006/picture">
                <pic:pic>
                  <pic:nvPicPr>
                    <pic:cNvPr id="0" name="image87.png"/>
                    <pic:cNvPicPr preferRelativeResize="0"/>
                  </pic:nvPicPr>
                  <pic:blipFill>
                    <a:blip r:embed="rId103"/>
                    <a:srcRect b="0" l="0" r="0" t="0"/>
                    <a:stretch>
                      <a:fillRect/>
                    </a:stretch>
                  </pic:blipFill>
                  <pic:spPr>
                    <a:xfrm>
                      <a:off x="0" y="0"/>
                      <a:ext cx="609600" cy="152400"/>
                    </a:xfrm>
                    <a:prstGeom prst="rect"/>
                    <a:ln/>
                  </pic:spPr>
                </pic:pic>
              </a:graphicData>
            </a:graphic>
          </wp:inline>
        </w:drawing>
      </w:r>
      <w:r w:rsidDel="00000000" w:rsidR="00000000" w:rsidRPr="00000000">
        <w:rPr>
          <w:rFonts w:ascii="Arial" w:cs="Arial" w:eastAsia="Arial" w:hAnsi="Arial"/>
          <w:sz w:val="22"/>
          <w:szCs w:val="22"/>
          <w:rtl w:val="0"/>
        </w:rPr>
        <w:t xml:space="preserve">:</w:t>
      </w:r>
    </w:p>
    <w:p w:rsidR="00000000" w:rsidDel="00000000" w:rsidP="00000000" w:rsidRDefault="00000000" w:rsidRPr="00000000">
      <w:pPr>
        <w:spacing w:after="120" w:lineRule="auto"/>
        <w:ind w:left="0" w:right="90" w:firstLine="0"/>
        <w:contextualSpacing w:val="0"/>
      </w:pPr>
      <w:r w:rsidDel="00000000" w:rsidR="00000000" w:rsidRPr="00000000">
        <w:rPr>
          <w:rtl w:val="0"/>
        </w:rPr>
      </w:r>
    </w:p>
    <w:p w:rsidR="00000000" w:rsidDel="00000000" w:rsidP="00000000" w:rsidRDefault="00000000" w:rsidRPr="00000000">
      <w:pPr>
        <w:spacing w:after="120" w:lineRule="auto"/>
        <w:ind w:left="0" w:right="90" w:firstLine="0"/>
        <w:contextualSpacing w:val="0"/>
        <w:jc w:val="center"/>
      </w:pPr>
      <w:r w:rsidDel="00000000" w:rsidR="00000000" w:rsidRPr="00000000">
        <w:drawing>
          <wp:inline distB="114300" distT="114300" distL="114300" distR="114300">
            <wp:extent cx="1133475" cy="333375"/>
            <wp:effectExtent b="0" l="0" r="0" t="0"/>
            <wp:docPr id="14" name="image65.png"/>
            <a:graphic>
              <a:graphicData uri="http://schemas.openxmlformats.org/drawingml/2006/picture">
                <pic:pic>
                  <pic:nvPicPr>
                    <pic:cNvPr id="0" name="image65.png"/>
                    <pic:cNvPicPr preferRelativeResize="0"/>
                  </pic:nvPicPr>
                  <pic:blipFill>
                    <a:blip r:embed="rId104"/>
                    <a:srcRect b="0" l="0" r="0" t="0"/>
                    <a:stretch>
                      <a:fillRect/>
                    </a:stretch>
                  </pic:blipFill>
                  <pic:spPr>
                    <a:xfrm>
                      <a:off x="0" y="0"/>
                      <a:ext cx="1133475" cy="333375"/>
                    </a:xfrm>
                    <a:prstGeom prst="rect"/>
                    <a:ln/>
                  </pic:spPr>
                </pic:pic>
              </a:graphicData>
            </a:graphic>
          </wp:inline>
        </w:drawing>
      </w: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where r</w:t>
      </w:r>
      <w:r w:rsidDel="00000000" w:rsidR="00000000" w:rsidRPr="00000000">
        <w:rPr>
          <w:rFonts w:ascii="Arial" w:cs="Arial" w:eastAsia="Arial" w:hAnsi="Arial"/>
          <w:sz w:val="22"/>
          <w:szCs w:val="22"/>
          <w:vertAlign w:val="subscript"/>
          <w:rtl w:val="0"/>
        </w:rPr>
        <w:t xml:space="preserve">s;,s</w:t>
      </w:r>
      <w:r w:rsidDel="00000000" w:rsidR="00000000" w:rsidRPr="00000000">
        <w:rPr>
          <w:rFonts w:ascii="Arial" w:cs="Arial" w:eastAsia="Arial" w:hAnsi="Arial"/>
          <w:sz w:val="22"/>
          <w:szCs w:val="22"/>
          <w:rtl w:val="0"/>
        </w:rPr>
        <w:t xml:space="preserve"> measures the pairwise similarity between assays st and s. For r, we use the Pearson correlation between the two assay types, averaged over the cell types in which both have been performed. Intuitively, the facility location function takes a high value when every assay in V  has at least one similar representative in </w:t>
      </w:r>
      <w:r w:rsidDel="00000000" w:rsidR="00000000" w:rsidRPr="00000000">
        <w:rPr>
          <w:rFonts w:ascii="Arial" w:cs="Arial" w:eastAsia="Arial" w:hAnsi="Arial"/>
          <w:i w:val="1"/>
          <w:sz w:val="22"/>
          <w:szCs w:val="22"/>
          <w:rtl w:val="0"/>
        </w:rPr>
        <w:t xml:space="preserve">S.</w:t>
      </w:r>
      <w:r w:rsidDel="00000000" w:rsidR="00000000" w:rsidRPr="00000000">
        <w:rPr>
          <w:rFonts w:ascii="Arial" w:cs="Arial" w:eastAsia="Arial" w:hAnsi="Arial"/>
          <w:sz w:val="14"/>
          <w:szCs w:val="14"/>
          <w:rtl w:val="0"/>
        </w:rPr>
        <w:t xml:space="preserve">    </w:t>
      </w:r>
      <w:commentRangeStart w:id="57"/>
      <w:r w:rsidDel="00000000" w:rsidR="00000000" w:rsidRPr="00000000">
        <w:rPr>
          <w:rFonts w:ascii="Arial" w:cs="Arial" w:eastAsia="Arial" w:hAnsi="Arial"/>
          <w:sz w:val="22"/>
          <w:szCs w:val="22"/>
          <w:rtl w:val="0"/>
        </w:rPr>
        <w:t xml:space="preserve">This function has been previously applied in many fields, including document summarization [61], feature selection [57], and exemplar based clustering [62]. The facility location function also corresponds to the objective function of the k-medoids clustering problem [63].</w:t>
      </w:r>
      <w:commentRangeEnd w:id="57"/>
      <w:r w:rsidDel="00000000" w:rsidR="00000000" w:rsidRPr="00000000">
        <w:commentReference w:id="57"/>
      </w: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We have demonstrated empirically that this submodular optimization approach yields high quality panels of assays. To do so, we developed three evaluation schemes based on evaluating the panel’s ability to impute missing data, identify functional elements, and accurately annotate the genome in a cross-validated setting (Figure 3A). The quality of the selected panel is higher than randomly selected panels, as well as panels selected based on their frequency in the ENCODE+Roadmap data matrix (Figure 3). We have produced similar results for panels of transcription factor ChIP-seq assays (not shown). In addition, we note that the panel of histone modifications selected by our method closely overlaps with the panel selected by the Roadmap Epigenomics Consortium (our panels of size 6 or greater contain the Roadmap panel of size 5).</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Moving forward, we aim to extend our methods in several directions. First, we will explore application of the submodular approach to important variants of the problem. We have already investigated selection of assays in three scenarios:</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1.</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“I want to select a set of x assays to perform in a new cell type.”</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2.</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“I have carried out x assays in a given cell type and want to select an additional set of y assays to perform.”</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3.</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“I have carried out x assays in a given cell type and want to select a representative subset of y assays from among them, for use in training a statistical model.”</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We plan to use a similar approach to address the following scenarios:</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1.</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“I have carried out x assays across a variety of cell types and assay types, and I would like to select a set of y additional assays in any combination of cell and assay types.”</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2.</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 “Based on orthogonal data such as gene expression profiles, which new cell types should I perform assays in?”</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3.</w:t>
      </w:r>
      <w:r w:rsidDel="00000000" w:rsidR="00000000" w:rsidRPr="00000000">
        <w:rPr>
          <w:rFonts w:ascii="Arial" w:cs="Arial" w:eastAsia="Arial" w:hAnsi="Arial"/>
          <w:sz w:val="14"/>
          <w:szCs w:val="14"/>
          <w:rtl w:val="0"/>
        </w:rPr>
        <w:t xml:space="preserve">            </w:t>
      </w: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drawing>
          <wp:inline distB="114300" distT="114300" distL="114300" distR="114300">
            <wp:extent cx="6858000" cy="3352800"/>
            <wp:effectExtent b="0" l="0" r="0" t="0"/>
            <wp:docPr descr="eval_setting_schematics.png" id="52" name="image106.png"/>
            <a:graphic>
              <a:graphicData uri="http://schemas.openxmlformats.org/drawingml/2006/picture">
                <pic:pic>
                  <pic:nvPicPr>
                    <pic:cNvPr descr="eval_setting_schematics.png" id="0" name="image106.png"/>
                    <pic:cNvPicPr preferRelativeResize="0"/>
                  </pic:nvPicPr>
                  <pic:blipFill>
                    <a:blip r:embed="rId105"/>
                    <a:srcRect b="0" l="0" r="0" t="0"/>
                    <a:stretch>
                      <a:fillRect/>
                    </a:stretch>
                  </pic:blipFill>
                  <pic:spPr>
                    <a:xfrm>
                      <a:off x="0" y="0"/>
                      <a:ext cx="6858000" cy="3352800"/>
                    </a:xfrm>
                    <a:prstGeom prst="rect"/>
                    <a:ln/>
                  </pic:spPr>
                </pic:pic>
              </a:graphicData>
            </a:graphic>
          </wp:inline>
        </w:drawing>
      </w: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drawing>
          <wp:inline distB="114300" distT="114300" distL="114300" distR="114300">
            <wp:extent cx="6858000" cy="8877300"/>
            <wp:effectExtent b="0" l="0" r="0" t="0"/>
            <wp:docPr descr="GM12878_box_plot_all_methods.png" id="18" name="image70.png"/>
            <a:graphic>
              <a:graphicData uri="http://schemas.openxmlformats.org/drawingml/2006/picture">
                <pic:pic>
                  <pic:nvPicPr>
                    <pic:cNvPr descr="GM12878_box_plot_all_methods.png" id="0" name="image70.png"/>
                    <pic:cNvPicPr preferRelativeResize="0"/>
                  </pic:nvPicPr>
                  <pic:blipFill>
                    <a:blip r:embed="rId106"/>
                    <a:srcRect b="0" l="0" r="0" t="0"/>
                    <a:stretch>
                      <a:fillRect/>
                    </a:stretch>
                  </pic:blipFill>
                  <pic:spPr>
                    <a:xfrm>
                      <a:off x="0" y="0"/>
                      <a:ext cx="6858000" cy="8877300"/>
                    </a:xfrm>
                    <a:prstGeom prst="rect"/>
                    <a:ln/>
                  </pic:spPr>
                </pic:pic>
              </a:graphicData>
            </a:graphic>
          </wp:inline>
        </w:drawing>
      </w:r>
      <w:r w:rsidDel="00000000" w:rsidR="00000000" w:rsidRPr="00000000">
        <w:rPr>
          <w:rtl w:val="0"/>
        </w:rPr>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Figure 3: (A) Schematic of the cross-validated evaluation strategy. The box labeled “Evaluate” contains an imputation scheme using support vector regression, a functional element predictor using support vector machine classification, or a semi-automated genome annotation method. The corresponding performance measures are R2 between the true and imputed data, the area under the precision-recall curve, and the percentage of variance explained by the annotation. (B) Performance of panel selection strategies on cell type GM12878. Boxplots show the distribution of evaluation metrics over 40 random panels. The panels of most-frequently performed assays are composed of top k most frequent assay types available in our data set, where k is the size of the panel. Each evaluation metric is normalized to lie within [0, 1] by subtracting the lowest value and dividing by the highest. Results on other cell types are similar (not shown).</w:t>
      </w:r>
      <w:r w:rsidDel="00000000" w:rsidR="00000000" w:rsidRPr="00000000">
        <w:rPr>
          <w:rFonts w:ascii="Arial" w:cs="Arial" w:eastAsia="Arial" w:hAnsi="Arial"/>
          <w:sz w:val="14"/>
          <w:szCs w:val="14"/>
          <w:rtl w:val="0"/>
        </w:rPr>
        <w:t xml:space="preserve"> </w:t>
      </w:r>
      <w:r w:rsidDel="00000000" w:rsidR="00000000" w:rsidRPr="00000000">
        <w:rPr>
          <w:rFonts w:ascii="Arial" w:cs="Arial" w:eastAsia="Arial" w:hAnsi="Arial"/>
          <w:sz w:val="22"/>
          <w:szCs w:val="22"/>
          <w:rtl w:val="0"/>
        </w:rPr>
        <w:t xml:space="preserve">“Which genomic positions should I target with a genomics assay such as Nanostring?”</w:t>
      </w:r>
    </w:p>
    <w:p w:rsidR="00000000" w:rsidDel="00000000" w:rsidP="00000000" w:rsidRDefault="00000000" w:rsidRPr="00000000">
      <w:pPr>
        <w:spacing w:after="120" w:lineRule="auto"/>
        <w:ind w:left="0" w:right="90" w:firstLine="0"/>
        <w:contextualSpacing w:val="0"/>
      </w:pPr>
      <w:r w:rsidDel="00000000" w:rsidR="00000000" w:rsidRPr="00000000">
        <w:rPr>
          <w:rFonts w:ascii="Arial" w:cs="Arial" w:eastAsia="Arial" w:hAnsi="Arial"/>
          <w:sz w:val="22"/>
          <w:szCs w:val="22"/>
          <w:rtl w:val="0"/>
        </w:rPr>
        <w:t xml:space="preserve">In addition, we plan to use our cross-validated evaluation strategy to investigate variants of our approach. For example, we will substitute alternative similarity measures in place of the Pearson correlation, to account for the non-uniform nature of the data across the genome or to allow for a more principled combination of similarities within the (additive) facility location function. We will also investigate weighting strategies to take into account, for example, the level of noise in individual experiments as measured by replicate experiments.</w:t>
      </w:r>
    </w:p>
    <w:p w:rsidR="00000000" w:rsidDel="00000000" w:rsidP="00000000" w:rsidRDefault="00000000" w:rsidRPr="00000000">
      <w:pPr>
        <w:spacing w:after="100" w:line="240" w:lineRule="auto"/>
        <w:contextualSpacing w:val="0"/>
      </w:pP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2582191" cy="1814513"/>
            <wp:effectExtent b="0" l="0" r="0" t="0"/>
            <wp:docPr id="36" name="image88.png"/>
            <a:graphic>
              <a:graphicData uri="http://schemas.openxmlformats.org/drawingml/2006/picture">
                <pic:pic>
                  <pic:nvPicPr>
                    <pic:cNvPr id="0" name="image88.png"/>
                    <pic:cNvPicPr preferRelativeResize="0"/>
                  </pic:nvPicPr>
                  <pic:blipFill>
                    <a:blip r:embed="rId107"/>
                    <a:srcRect b="0" l="0" r="0" t="0"/>
                    <a:stretch>
                      <a:fillRect/>
                    </a:stretch>
                  </pic:blipFill>
                  <pic:spPr>
                    <a:xfrm>
                      <a:off x="0" y="0"/>
                      <a:ext cx="2582191" cy="1814513"/>
                    </a:xfrm>
                    <a:prstGeom prst="rect"/>
                    <a:ln/>
                  </pic:spPr>
                </pic:pic>
              </a:graphicData>
            </a:graphic>
          </wp:inline>
        </w:drawing>
      </w:r>
      <w:r w:rsidDel="00000000" w:rsidR="00000000" w:rsidRPr="00000000">
        <w:drawing>
          <wp:inline distB="114300" distT="114300" distL="114300" distR="114300">
            <wp:extent cx="2863295" cy="1709738"/>
            <wp:effectExtent b="0" l="0" r="0" t="0"/>
            <wp:docPr id="44" name="image96.png"/>
            <a:graphic>
              <a:graphicData uri="http://schemas.openxmlformats.org/drawingml/2006/picture">
                <pic:pic>
                  <pic:nvPicPr>
                    <pic:cNvPr id="0" name="image96.png"/>
                    <pic:cNvPicPr preferRelativeResize="0"/>
                  </pic:nvPicPr>
                  <pic:blipFill>
                    <a:blip r:embed="rId108"/>
                    <a:srcRect b="0" l="0" r="0" t="0"/>
                    <a:stretch>
                      <a:fillRect/>
                    </a:stretch>
                  </pic:blipFill>
                  <pic:spPr>
                    <a:xfrm>
                      <a:off x="0" y="0"/>
                      <a:ext cx="2863295" cy="1709738"/>
                    </a:xfrm>
                    <a:prstGeom prst="rect"/>
                    <a:ln/>
                  </pic:spPr>
                </pic:pic>
              </a:graphicData>
            </a:graphic>
          </wp:inline>
        </w:drawing>
      </w:r>
      <w:r w:rsidDel="00000000" w:rsidR="00000000" w:rsidRPr="00000000">
        <w:drawing>
          <wp:inline distB="114300" distT="114300" distL="114300" distR="114300">
            <wp:extent cx="1003945" cy="1738313"/>
            <wp:effectExtent b="0" l="0" r="0" t="0"/>
            <wp:docPr id="6" name="image57.png"/>
            <a:graphic>
              <a:graphicData uri="http://schemas.openxmlformats.org/drawingml/2006/picture">
                <pic:pic>
                  <pic:nvPicPr>
                    <pic:cNvPr id="0" name="image57.png"/>
                    <pic:cNvPicPr preferRelativeResize="0"/>
                  </pic:nvPicPr>
                  <pic:blipFill>
                    <a:blip r:embed="rId109"/>
                    <a:srcRect b="0" l="0" r="0" t="0"/>
                    <a:stretch>
                      <a:fillRect/>
                    </a:stretch>
                  </pic:blipFill>
                  <pic:spPr>
                    <a:xfrm>
                      <a:off x="0" y="0"/>
                      <a:ext cx="1003945" cy="173831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3934504" cy="2224088"/>
            <wp:effectExtent b="0" l="0" r="0" t="0"/>
            <wp:docPr id="4" name="image55.png"/>
            <a:graphic>
              <a:graphicData uri="http://schemas.openxmlformats.org/drawingml/2006/picture">
                <pic:pic>
                  <pic:nvPicPr>
                    <pic:cNvPr id="0" name="image55.png"/>
                    <pic:cNvPicPr preferRelativeResize="0"/>
                  </pic:nvPicPr>
                  <pic:blipFill>
                    <a:blip r:embed="rId110"/>
                    <a:srcRect b="0" l="0" r="0" t="0"/>
                    <a:stretch>
                      <a:fillRect/>
                    </a:stretch>
                  </pic:blipFill>
                  <pic:spPr>
                    <a:xfrm>
                      <a:off x="0" y="0"/>
                      <a:ext cx="3934504" cy="2224088"/>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b w:val="1"/>
          <w:color w:val="333333"/>
          <w:sz w:val="22"/>
          <w:szCs w:val="22"/>
          <w:highlight w:val="white"/>
          <w:rtl w:val="0"/>
        </w:rPr>
        <w:t xml:space="preserve">Figure 4.5. Assay and cell type prioritization.</w:t>
      </w:r>
      <w:r w:rsidDel="00000000" w:rsidR="00000000" w:rsidRPr="00000000">
        <w:rPr>
          <w:rFonts w:ascii="Arial" w:cs="Arial" w:eastAsia="Arial" w:hAnsi="Arial"/>
          <w:color w:val="333333"/>
          <w:sz w:val="22"/>
          <w:szCs w:val="22"/>
          <w:highlight w:val="white"/>
          <w:rtl w:val="0"/>
        </w:rPr>
        <w:t xml:space="preserve"> (</w:t>
      </w:r>
      <w:r w:rsidDel="00000000" w:rsidR="00000000" w:rsidRPr="00000000">
        <w:rPr>
          <w:rFonts w:ascii="Arial" w:cs="Arial" w:eastAsia="Arial" w:hAnsi="Arial"/>
          <w:b w:val="1"/>
          <w:color w:val="333333"/>
          <w:sz w:val="22"/>
          <w:szCs w:val="22"/>
          <w:highlight w:val="white"/>
          <w:rtl w:val="0"/>
        </w:rPr>
        <w:t xml:space="preserve">a</w:t>
      </w:r>
      <w:r w:rsidDel="00000000" w:rsidR="00000000" w:rsidRPr="00000000">
        <w:rPr>
          <w:rFonts w:ascii="Arial" w:cs="Arial" w:eastAsia="Arial" w:hAnsi="Arial"/>
          <w:color w:val="333333"/>
          <w:sz w:val="22"/>
          <w:szCs w:val="22"/>
          <w:highlight w:val="white"/>
          <w:rtl w:val="0"/>
        </w:rPr>
        <w:t xml:space="preserve">) As a metric of dataset priority, we use imputation agreement for each data type (columns) using subsets of features (rows) in top 1% signal bins or 0.25 concordance measure for DNA methylation (shown here for Chr10) relative to agreement achieved when using all features based on the seven samples with deep mark coverage without making distinctions between the tier 1–3 marks. Same-sample features are most important for acetylation marks, and same-mark features are most important for H3K27me3, H3K36me3, H3K9me3 and RNA-seq. Profiling of only H3K18ac and H3K79me2 allows higher relative imputation agreement than all five core marks, assuming a compendium with uniform coverage of marks. Performance for additional subsets is shown in </w:t>
      </w:r>
      <w:hyperlink r:id="rId111">
        <w:r w:rsidDel="00000000" w:rsidR="00000000" w:rsidRPr="00000000">
          <w:rPr>
            <w:rFonts w:ascii="Arial" w:cs="Arial" w:eastAsia="Arial" w:hAnsi="Arial"/>
            <w:color w:val="5c7996"/>
            <w:sz w:val="22"/>
            <w:szCs w:val="22"/>
            <w:highlight w:val="white"/>
            <w:rtl w:val="0"/>
          </w:rPr>
          <w:t xml:space="preserve">Supplementary Figure 42</w:t>
        </w:r>
      </w:hyperlink>
      <w:r w:rsidDel="00000000" w:rsidR="00000000" w:rsidRPr="00000000">
        <w:rPr>
          <w:rFonts w:ascii="Arial" w:cs="Arial" w:eastAsia="Arial" w:hAnsi="Arial"/>
          <w:color w:val="333333"/>
          <w:sz w:val="22"/>
          <w:szCs w:val="22"/>
          <w:highlight w:val="white"/>
          <w:rtl w:val="0"/>
        </w:rPr>
        <w:t xml:space="preserve">. The last two columns show the average performance of the feature subset over all target marks and specifically for acetylations. Core=H3K4me1, H3K4me3, H3K36me3, H3K27me3, H3K9me3. For the purpose of computing these averages for mark subsets, if the target mark was included in the subset then a value of 1 was used for the target mark; the imputation performance restricted to other marks in the subset, when available, is provided in the table. The H3K18ac+H3K79me2 and tier 1 and 2 mark evaluations were limited to the five samples that were deeply profiled across marks and also had experimentally profiled H3K79me2. </w:t>
      </w:r>
      <w:r w:rsidDel="00000000" w:rsidR="00000000" w:rsidRPr="00000000">
        <w:rPr>
          <w:rFonts w:ascii="Arial" w:cs="Arial" w:eastAsia="Arial" w:hAnsi="Arial"/>
          <w:b w:val="1"/>
          <w:color w:val="333333"/>
          <w:sz w:val="22"/>
          <w:szCs w:val="22"/>
          <w:highlight w:val="white"/>
          <w:rtl w:val="0"/>
        </w:rPr>
        <w:t xml:space="preserve">(b)</w:t>
      </w:r>
      <w:r w:rsidDel="00000000" w:rsidR="00000000" w:rsidRPr="00000000">
        <w:rPr>
          <w:rFonts w:ascii="Arial" w:cs="Arial" w:eastAsia="Arial" w:hAnsi="Arial"/>
          <w:color w:val="333333"/>
          <w:sz w:val="22"/>
          <w:szCs w:val="22"/>
          <w:highlight w:val="white"/>
          <w:rtl w:val="0"/>
        </w:rPr>
        <w:t xml:space="preserve"> As a metric of cell type priority.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color w:val="333333"/>
          <w:sz w:val="22"/>
          <w:szCs w:val="22"/>
          <w:highlight w:val="white"/>
          <w:rtl w:val="0"/>
        </w:rPr>
        <w:t xml:space="preserve">[</w:t>
      </w:r>
      <w:commentRangeStart w:id="58"/>
      <w:commentRangeStart w:id="59"/>
      <w:r w:rsidDel="00000000" w:rsidR="00000000" w:rsidRPr="00000000">
        <w:rPr>
          <w:rFonts w:ascii="Arial" w:cs="Arial" w:eastAsia="Arial" w:hAnsi="Arial"/>
          <w:color w:val="333333"/>
          <w:sz w:val="22"/>
          <w:szCs w:val="22"/>
          <w:highlight w:val="white"/>
          <w:rtl w:val="0"/>
        </w:rPr>
        <w:t xml:space="preserve">TODO: Riken datasets</w:t>
      </w:r>
      <w:commentRangeEnd w:id="58"/>
      <w:r w:rsidDel="00000000" w:rsidR="00000000" w:rsidRPr="00000000">
        <w:commentReference w:id="58"/>
      </w:r>
      <w:commentRangeEnd w:id="59"/>
      <w:r w:rsidDel="00000000" w:rsidR="00000000" w:rsidRPr="00000000">
        <w:commentReference w:id="59"/>
      </w:r>
      <w:r w:rsidDel="00000000" w:rsidR="00000000" w:rsidRPr="00000000">
        <w:rPr>
          <w:rFonts w:ascii="Arial" w:cs="Arial" w:eastAsia="Arial" w:hAnsi="Arial"/>
          <w:color w:val="333333"/>
          <w:sz w:val="22"/>
          <w:szCs w:val="22"/>
          <w:highlight w:val="white"/>
          <w:rtl w:val="0"/>
        </w:rPr>
        <w:t xml:space="preserve">] As preliminary data, we studied the overlap between ENCODE, Roadmap Epigenomics, and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u w:val="single"/>
          <w:rtl w:val="0"/>
        </w:rPr>
        <w:t xml:space="preserve">4.6. Disease- and trait-specific prioritization</w:t>
      </w:r>
      <w:r w:rsidDel="00000000" w:rsidR="00000000" w:rsidRPr="00000000">
        <w:rPr>
          <w:rFonts w:ascii="Arial" w:cs="Arial" w:eastAsia="Arial" w:hAnsi="Arial"/>
          <w:sz w:val="22"/>
          <w:szCs w:val="22"/>
          <w:rtl w:val="0"/>
        </w:rPr>
        <w:t xml:space="preserve">. </w:t>
      </w:r>
    </w:p>
    <w:p w:rsidR="00000000" w:rsidDel="00000000" w:rsidP="00000000" w:rsidRDefault="00000000" w:rsidRPr="00000000">
      <w:pPr>
        <w:spacing w:after="100" w:line="240" w:lineRule="auto"/>
        <w:contextualSpacing w:val="0"/>
      </w:pPr>
      <w:r w:rsidDel="00000000" w:rsidR="00000000" w:rsidRPr="00000000">
        <w:rPr>
          <w:rFonts w:ascii="Arial" w:cs="Arial" w:eastAsia="Arial" w:hAnsi="Arial"/>
          <w:sz w:val="22"/>
          <w:szCs w:val="22"/>
          <w:rtl w:val="0"/>
        </w:rPr>
        <w:t xml:space="preserve">In addition to these goal-agnostic measures of dataset utility, we will develop and apply methods for prioritizing datasets based on specific tasks of interest. Specifically in the context of disease, we will provide a ranking of cell types and assays based on their predictive ability for genetic variants (from GWAS) or epigenetic marks (e.g. from MWAS) are associated with specific diseases and traits. </w:t>
      </w:r>
      <w:r w:rsidDel="00000000" w:rsidR="00000000" w:rsidRPr="00000000">
        <w:rPr>
          <w:rtl w:val="0"/>
        </w:rPr>
      </w:r>
    </w:p>
    <w:p w:rsidR="00000000" w:rsidDel="00000000" w:rsidP="00000000" w:rsidRDefault="00000000" w:rsidRPr="00000000">
      <w:pPr>
        <w:spacing w:after="100" w:line="240" w:lineRule="auto"/>
        <w:contextualSpacing w:val="0"/>
      </w:pPr>
      <w:r w:rsidDel="00000000" w:rsidR="00000000" w:rsidRPr="00000000">
        <w:drawing>
          <wp:inline distB="114300" distT="114300" distL="114300" distR="114300">
            <wp:extent cx="3868208" cy="3071813"/>
            <wp:effectExtent b="0" l="0" r="0" t="0"/>
            <wp:docPr id="29" name="image81.png"/>
            <a:graphic>
              <a:graphicData uri="http://schemas.openxmlformats.org/drawingml/2006/picture">
                <pic:pic>
                  <pic:nvPicPr>
                    <pic:cNvPr id="0" name="image81.png"/>
                    <pic:cNvPicPr preferRelativeResize="0"/>
                  </pic:nvPicPr>
                  <pic:blipFill>
                    <a:blip r:embed="rId112"/>
                    <a:srcRect b="0" l="0" r="0" t="0"/>
                    <a:stretch>
                      <a:fillRect/>
                    </a:stretch>
                  </pic:blipFill>
                  <pic:spPr>
                    <a:xfrm>
                      <a:off x="0" y="0"/>
                      <a:ext cx="3868208" cy="3071813"/>
                    </a:xfrm>
                    <a:prstGeom prst="rect"/>
                    <a:ln/>
                  </pic:spPr>
                </pic:pic>
              </a:graphicData>
            </a:graphic>
          </wp:inline>
        </w:drawing>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color w:val="333333"/>
          <w:sz w:val="22"/>
          <w:szCs w:val="22"/>
          <w:highlight w:val="white"/>
          <w:rtl w:val="0"/>
        </w:rPr>
        <w:t xml:space="preserve">Figure 4.6. </w:t>
      </w:r>
      <w:r w:rsidDel="00000000" w:rsidR="00000000" w:rsidRPr="00000000">
        <w:rPr>
          <w:rFonts w:ascii="Nova Mono" w:cs="Nova Mono" w:eastAsia="Nova Mono" w:hAnsi="Nova Mono"/>
          <w:color w:val="333333"/>
          <w:sz w:val="22"/>
          <w:szCs w:val="22"/>
          <w:highlight w:val="white"/>
          <w:rtl w:val="0"/>
        </w:rPr>
        <w:t xml:space="preserve">Tissue-specific H3K4me1 peak enrichment significance (−log10 </w:t>
      </w:r>
      <w:r w:rsidDel="00000000" w:rsidR="00000000" w:rsidRPr="00000000">
        <w:rPr>
          <w:rFonts w:ascii="Arial" w:cs="Arial" w:eastAsia="Arial" w:hAnsi="Arial"/>
          <w:i w:val="1"/>
          <w:color w:val="333333"/>
          <w:sz w:val="22"/>
          <w:szCs w:val="22"/>
          <w:highlight w:val="white"/>
          <w:rtl w:val="0"/>
        </w:rPr>
        <w:t xml:space="preserve">P</w:t>
      </w:r>
      <w:r w:rsidDel="00000000" w:rsidR="00000000" w:rsidRPr="00000000">
        <w:rPr>
          <w:rFonts w:ascii="Arial" w:cs="Arial" w:eastAsia="Arial" w:hAnsi="Arial"/>
          <w:color w:val="333333"/>
          <w:sz w:val="22"/>
          <w:szCs w:val="22"/>
          <w:highlight w:val="white"/>
          <w:rtl w:val="0"/>
        </w:rPr>
        <w:t xml:space="preserve"> value) for genetic variants associated with diverse traits. Circles denote reference epigenome (column) of most significant enrichment for SNPs reported by a given study (row), defined by trait and publication (PubMed identifier, PMID). Tissue (Abbrev) and </w:t>
      </w:r>
      <w:r w:rsidDel="00000000" w:rsidR="00000000" w:rsidRPr="00000000">
        <w:rPr>
          <w:rFonts w:ascii="Arial" w:cs="Arial" w:eastAsia="Arial" w:hAnsi="Arial"/>
          <w:i w:val="1"/>
          <w:color w:val="333333"/>
          <w:sz w:val="22"/>
          <w:szCs w:val="22"/>
          <w:highlight w:val="white"/>
          <w:rtl w:val="0"/>
        </w:rPr>
        <w:t xml:space="preserve">P</w:t>
      </w:r>
      <w:r w:rsidDel="00000000" w:rsidR="00000000" w:rsidRPr="00000000">
        <w:rPr>
          <w:rFonts w:ascii="Nova Mono" w:cs="Nova Mono" w:eastAsia="Nova Mono" w:hAnsi="Nova Mono"/>
          <w:color w:val="333333"/>
          <w:sz w:val="22"/>
          <w:szCs w:val="22"/>
          <w:highlight w:val="white"/>
          <w:rtl w:val="0"/>
        </w:rPr>
        <w:t xml:space="preserve"> value (−log10) of most significant enrichment are shown. Only rows and columns containing a value meeting a FDR of 2% are shown.</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line="288" w:lineRule="auto"/>
        <w:contextualSpacing w:val="0"/>
      </w:pPr>
      <w:r w:rsidDel="00000000" w:rsidR="00000000" w:rsidRPr="00000000">
        <w:rPr>
          <w:rFonts w:ascii="Arial" w:cs="Arial" w:eastAsia="Arial" w:hAnsi="Arial"/>
          <w:b w:val="1"/>
          <w:sz w:val="22"/>
          <w:szCs w:val="22"/>
          <w:highlight w:val="white"/>
          <w:rtl w:val="0"/>
        </w:rPr>
        <w:t xml:space="preserve">Normalization methods for ChIP-Seq, DNAse data, RNA-Seq </w:t>
      </w:r>
    </w:p>
    <w:p w:rsidR="00000000" w:rsidDel="00000000" w:rsidP="00000000" w:rsidRDefault="00000000" w:rsidRPr="00000000">
      <w:pPr>
        <w:spacing w:line="288" w:lineRule="auto"/>
        <w:contextualSpacing w:val="0"/>
      </w:pPr>
      <w:r w:rsidDel="00000000" w:rsidR="00000000" w:rsidRPr="00000000">
        <w:rPr>
          <w:rFonts w:ascii="Arial" w:cs="Arial" w:eastAsia="Arial" w:hAnsi="Arial"/>
          <w:b w:val="1"/>
          <w:sz w:val="22"/>
          <w:szCs w:val="22"/>
          <w:highlight w:val="white"/>
          <w:rtl w:val="0"/>
        </w:rPr>
        <w:t xml:space="preserve">MINGXIANG Add refs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To illustrate the need for normalization techniques for the current ENCODE binding data we downloaded all the H3K4Me3 ChIP-Seq data in ENCODE. H3K4Me3  is one of the marks for which the most experiments have been run: 89 cell types processed in multiple data production centers as well. We generated data matrices with rows representing genome location, column representing samples, and the cells containing binding estimates. Because H3K4Me3 is known to be an active histone marks of gene expression</w:t>
      </w:r>
      <w:r w:rsidDel="00000000" w:rsidR="00000000" w:rsidRPr="00000000">
        <w:rPr>
          <w:rFonts w:ascii="Arial" w:cs="Arial" w:eastAsia="Arial" w:hAnsi="Arial"/>
          <w:sz w:val="22"/>
          <w:szCs w:val="22"/>
          <w:highlight w:val="white"/>
          <w:vertAlign w:val="superscript"/>
          <w:rtl w:val="0"/>
        </w:rPr>
        <w:t xml:space="preserve">2</w:t>
      </w:r>
      <w:r w:rsidDel="00000000" w:rsidR="00000000" w:rsidRPr="00000000">
        <w:rPr>
          <w:rFonts w:ascii="Arial" w:cs="Arial" w:eastAsia="Arial" w:hAnsi="Arial"/>
          <w:sz w:val="22"/>
          <w:szCs w:val="22"/>
          <w:highlight w:val="white"/>
          <w:rtl w:val="0"/>
        </w:rPr>
        <w:t xml:space="preserve">, we limit this analysis to promoter regions of protein coding genes.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The need for normalization in these data is noted when we analyze multiple samples together. Figure XX below shows quartiles for each sample. We see up to a 10 fold difference in the median values across samples. The variability in distribution is particularly large in the data produced by the lab denoted in red. Further data exploration revealed that the first principal component of these data was highly correlated with the percent of 0s in the data (Figure XX below), which points to technical problem driving the difference.</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will implement a normalization approach that will treat the large variability in the number of reported 0s as  missing data problem. We will assume that some of these 0s are actually due to technical detection problems. The bottom pane of Figure 2 shows the results of applying a a preliminary version of our approach.</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b w:val="1"/>
          <w:sz w:val="22"/>
          <w:szCs w:val="22"/>
          <w:highlight w:val="white"/>
          <w:rtl w:val="0"/>
        </w:rPr>
        <w:t xml:space="preserve">Protecting against Batch effects [Rafa new text]</w:t>
      </w:r>
    </w:p>
    <w:p w:rsidR="00000000" w:rsidDel="00000000" w:rsidP="00000000" w:rsidRDefault="00000000" w:rsidRPr="00000000">
      <w:pPr>
        <w:spacing w:line="288" w:lineRule="auto"/>
        <w:contextualSpacing w:val="0"/>
      </w:pPr>
      <w:r w:rsidDel="00000000" w:rsidR="00000000" w:rsidRPr="00000000">
        <w:rPr>
          <w:rFonts w:ascii="Arial" w:cs="Arial" w:eastAsia="Arial" w:hAnsi="Arial"/>
          <w:b w:val="1"/>
          <w:sz w:val="22"/>
          <w:szCs w:val="22"/>
          <w:highlight w:val="white"/>
          <w:rtl w:val="0"/>
        </w:rPr>
        <w:t xml:space="preserve">MINGXIANG Add refs</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use the ENCODE CTCF data to illustrate potential downstream results of batch effects. CTCF  is the marks for which the most experiments have been run: 90 cell types processed in multiple data production centers as well. Signal matrix of annotated CTCF binding sites was first normalized by the TMM algorithm</w:t>
      </w:r>
      <w:r w:rsidDel="00000000" w:rsidR="00000000" w:rsidRPr="00000000">
        <w:rPr>
          <w:rFonts w:ascii="Arial" w:cs="Arial" w:eastAsia="Arial" w:hAnsi="Arial"/>
          <w:sz w:val="22"/>
          <w:szCs w:val="22"/>
          <w:highlight w:val="white"/>
          <w:vertAlign w:val="superscript"/>
          <w:rtl w:val="0"/>
        </w:rPr>
        <w:t xml:space="preserve">3</w:t>
      </w:r>
      <w:r w:rsidDel="00000000" w:rsidR="00000000" w:rsidRPr="00000000">
        <w:rPr>
          <w:rFonts w:ascii="Arial" w:cs="Arial" w:eastAsia="Arial" w:hAnsi="Arial"/>
          <w:sz w:val="22"/>
          <w:szCs w:val="22"/>
          <w:highlight w:val="white"/>
          <w:rtl w:val="0"/>
        </w:rPr>
        <w:t xml:space="preserve"> and log transformed. Then, mixed effect hierarchical model (see below) was fitted for each binding site to estimate potential effects from cell biology, production center batch and other factors. To avoid confounding, estimation was performed based on 9 selected cell types for which ChIP-Seq experiments were conducted by multiples data production centers. Based on estimation, we observe that some sites show different signals in different cell types, representing true biological variability; whereas some sites show consistently high signal in specific centers regardless of their cell types, suggesting potential strong batch effects (Figure XX). We will adapt some of the existing methods for that account for batch effect </w:t>
      </w:r>
      <w:r w:rsidDel="00000000" w:rsidR="00000000" w:rsidRPr="00000000">
        <w:drawing>
          <wp:inline distB="114300" distT="114300" distL="114300" distR="114300">
            <wp:extent cx="5943600" cy="5575300"/>
            <wp:effectExtent b="0" l="0" r="0" t="0"/>
            <wp:docPr id="13" name="image64.png"/>
            <a:graphic>
              <a:graphicData uri="http://schemas.openxmlformats.org/drawingml/2006/picture">
                <pic:pic>
                  <pic:nvPicPr>
                    <pic:cNvPr id="0" name="image64.png"/>
                    <pic:cNvPicPr preferRelativeResize="0"/>
                  </pic:nvPicPr>
                  <pic:blipFill>
                    <a:blip r:embed="rId113"/>
                    <a:srcRect b="0" l="0" r="0" t="0"/>
                    <a:stretch>
                      <a:fillRect/>
                    </a:stretch>
                  </pic:blipFill>
                  <pic:spPr>
                    <a:xfrm>
                      <a:off x="0" y="0"/>
                      <a:ext cx="5943600" cy="557530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Figure 7</w:t>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One possible explanation for batch effects is GC-content bias. We measuring GC content on 150 bp window sizes (</w:t>
      </w:r>
      <w:r w:rsidDel="00000000" w:rsidR="00000000" w:rsidRPr="00000000">
        <w:rPr>
          <w:rFonts w:ascii="Arial" w:cs="Arial" w:eastAsia="Arial" w:hAnsi="Arial"/>
          <w:i w:val="1"/>
          <w:sz w:val="22"/>
          <w:szCs w:val="22"/>
          <w:highlight w:val="white"/>
          <w:rtl w:val="0"/>
        </w:rPr>
        <w:t xml:space="preserve">i.e.</w:t>
      </w:r>
      <w:r w:rsidDel="00000000" w:rsidR="00000000" w:rsidRPr="00000000">
        <w:rPr>
          <w:rFonts w:ascii="Arial" w:cs="Arial" w:eastAsia="Arial" w:hAnsi="Arial"/>
          <w:sz w:val="22"/>
          <w:szCs w:val="22"/>
          <w:highlight w:val="white"/>
          <w:rtl w:val="0"/>
        </w:rPr>
        <w:t xml:space="preserve"> 150bp for ENCODE annotated sites) .Below we see threee example o of how GC cotent can vary across different samples. We will develop corrections to remove this source of variability.</w:t>
      </w:r>
      <w:r w:rsidDel="00000000" w:rsidR="00000000" w:rsidRPr="00000000">
        <w:drawing>
          <wp:inline distB="114300" distT="114300" distL="114300" distR="114300">
            <wp:extent cx="5943600" cy="1981200"/>
            <wp:effectExtent b="0" l="0" r="0" t="0"/>
            <wp:docPr id="47" name="image101.png"/>
            <a:graphic>
              <a:graphicData uri="http://schemas.openxmlformats.org/drawingml/2006/picture">
                <pic:pic>
                  <pic:nvPicPr>
                    <pic:cNvPr id="0" name="image101.png"/>
                    <pic:cNvPicPr preferRelativeResize="0"/>
                  </pic:nvPicPr>
                  <pic:blipFill>
                    <a:blip r:embed="rId114"/>
                    <a:srcRect b="0" l="0" r="0" t="0"/>
                    <a:stretch>
                      <a:fillRect/>
                    </a:stretch>
                  </pic:blipFill>
                  <pic:spPr>
                    <a:xfrm>
                      <a:off x="0" y="0"/>
                      <a:ext cx="5943600" cy="1981200"/>
                    </a:xfrm>
                    <a:prstGeom prst="rect"/>
                    <a:ln/>
                  </pic:spPr>
                </pic:pic>
              </a:graphicData>
            </a:graphic>
          </wp:inline>
        </w:drawing>
      </w:r>
      <w:r w:rsidDel="00000000" w:rsidR="00000000" w:rsidRPr="00000000">
        <w:rPr>
          <w:rtl w:val="0"/>
        </w:rPr>
      </w:r>
    </w:p>
    <w:p w:rsidR="00000000" w:rsidDel="00000000" w:rsidP="00000000" w:rsidRDefault="00000000" w:rsidRPr="00000000">
      <w:pPr>
        <w:spacing w:line="276" w:lineRule="auto"/>
        <w:contextualSpacing w:val="0"/>
        <w:jc w:val="center"/>
      </w:pPr>
      <w:r w:rsidDel="00000000" w:rsidR="00000000" w:rsidRPr="00000000">
        <w:rPr>
          <w:rFonts w:ascii="Arial" w:cs="Arial" w:eastAsia="Arial" w:hAnsi="Arial"/>
          <w:sz w:val="22"/>
          <w:szCs w:val="22"/>
          <w:highlight w:val="white"/>
          <w:rtl w:val="0"/>
        </w:rPr>
        <w:t xml:space="preserve">Figure 5</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We will also develop experimental design strategies that will permit us to estimate and correct for batch effects going forward.</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1.     </w:t>
        <w:tab/>
        <w:t xml:space="preserve">Consortium, E.P. An integrated encyclopedia of DNA elements in the human genome. </w:t>
      </w:r>
      <w:r w:rsidDel="00000000" w:rsidR="00000000" w:rsidRPr="00000000">
        <w:rPr>
          <w:rFonts w:ascii="Arial" w:cs="Arial" w:eastAsia="Arial" w:hAnsi="Arial"/>
          <w:i w:val="1"/>
          <w:sz w:val="22"/>
          <w:szCs w:val="22"/>
          <w:highlight w:val="white"/>
          <w:rtl w:val="0"/>
        </w:rPr>
        <w:t xml:space="preserve">Nature</w:t>
      </w:r>
      <w:r w:rsidDel="00000000" w:rsidR="00000000" w:rsidRPr="00000000">
        <w:rPr>
          <w:rFonts w:ascii="Arial" w:cs="Arial" w:eastAsia="Arial" w:hAnsi="Arial"/>
          <w:sz w:val="22"/>
          <w:szCs w:val="22"/>
          <w:highlight w:val="white"/>
          <w:rtl w:val="0"/>
        </w:rPr>
        <w:t xml:space="preserve"> 489, 57-74 (2012).</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2.     </w:t>
        <w:tab/>
        <w:t xml:space="preserve">Lauberth, S.M. et al. H3K4me3 interactions with TAF3 regulate preinitiation complex assembly and selective gene activation. </w:t>
      </w:r>
      <w:r w:rsidDel="00000000" w:rsidR="00000000" w:rsidRPr="00000000">
        <w:rPr>
          <w:rFonts w:ascii="Arial" w:cs="Arial" w:eastAsia="Arial" w:hAnsi="Arial"/>
          <w:i w:val="1"/>
          <w:sz w:val="22"/>
          <w:szCs w:val="22"/>
          <w:highlight w:val="white"/>
          <w:rtl w:val="0"/>
        </w:rPr>
        <w:t xml:space="preserve">Cell</w:t>
      </w:r>
      <w:r w:rsidDel="00000000" w:rsidR="00000000" w:rsidRPr="00000000">
        <w:rPr>
          <w:rFonts w:ascii="Arial" w:cs="Arial" w:eastAsia="Arial" w:hAnsi="Arial"/>
          <w:sz w:val="22"/>
          <w:szCs w:val="22"/>
          <w:highlight w:val="white"/>
          <w:rtl w:val="0"/>
        </w:rPr>
        <w:t xml:space="preserve"> </w:t>
      </w:r>
      <w:r w:rsidDel="00000000" w:rsidR="00000000" w:rsidRPr="00000000">
        <w:rPr>
          <w:rFonts w:ascii="Arial" w:cs="Arial" w:eastAsia="Arial" w:hAnsi="Arial"/>
          <w:b w:val="1"/>
          <w:sz w:val="22"/>
          <w:szCs w:val="22"/>
          <w:highlight w:val="white"/>
          <w:rtl w:val="0"/>
        </w:rPr>
        <w:t xml:space="preserve">152</w:t>
      </w:r>
      <w:r w:rsidDel="00000000" w:rsidR="00000000" w:rsidRPr="00000000">
        <w:rPr>
          <w:rFonts w:ascii="Arial" w:cs="Arial" w:eastAsia="Arial" w:hAnsi="Arial"/>
          <w:sz w:val="22"/>
          <w:szCs w:val="22"/>
          <w:highlight w:val="white"/>
          <w:rtl w:val="0"/>
        </w:rPr>
        <w:t xml:space="preserve">, 1021-1036 (2013).</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3.     </w:t>
        <w:tab/>
        <w:t xml:space="preserve">Robinson, M.D. &amp; Oshlack, A. A scaling normalization method for differential expression analysis of RNA-seq data. </w:t>
      </w:r>
      <w:r w:rsidDel="00000000" w:rsidR="00000000" w:rsidRPr="00000000">
        <w:rPr>
          <w:rFonts w:ascii="Arial" w:cs="Arial" w:eastAsia="Arial" w:hAnsi="Arial"/>
          <w:i w:val="1"/>
          <w:sz w:val="22"/>
          <w:szCs w:val="22"/>
          <w:highlight w:val="white"/>
          <w:rtl w:val="0"/>
        </w:rPr>
        <w:t xml:space="preserve">Genome Biol</w:t>
      </w:r>
      <w:r w:rsidDel="00000000" w:rsidR="00000000" w:rsidRPr="00000000">
        <w:rPr>
          <w:rFonts w:ascii="Arial" w:cs="Arial" w:eastAsia="Arial" w:hAnsi="Arial"/>
          <w:sz w:val="22"/>
          <w:szCs w:val="22"/>
          <w:highlight w:val="white"/>
          <w:rtl w:val="0"/>
        </w:rPr>
        <w:t xml:space="preserve"> </w:t>
      </w:r>
      <w:r w:rsidDel="00000000" w:rsidR="00000000" w:rsidRPr="00000000">
        <w:rPr>
          <w:rFonts w:ascii="Arial" w:cs="Arial" w:eastAsia="Arial" w:hAnsi="Arial"/>
          <w:b w:val="1"/>
          <w:sz w:val="22"/>
          <w:szCs w:val="22"/>
          <w:highlight w:val="white"/>
          <w:rtl w:val="0"/>
        </w:rPr>
        <w:t xml:space="preserve">11</w:t>
      </w:r>
      <w:r w:rsidDel="00000000" w:rsidR="00000000" w:rsidRPr="00000000">
        <w:rPr>
          <w:rFonts w:ascii="Arial" w:cs="Arial" w:eastAsia="Arial" w:hAnsi="Arial"/>
          <w:sz w:val="22"/>
          <w:szCs w:val="22"/>
          <w:highlight w:val="white"/>
          <w:rtl w:val="0"/>
        </w:rPr>
        <w:t xml:space="preserve">, R25 (2010).</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22"/>
          <w:szCs w:val="22"/>
          <w:highlight w:val="white"/>
          <w:rtl w:val="0"/>
        </w:rPr>
        <w:t xml:space="preserve">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TIMELINE</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DAC is ultimately responsive to the needs of the AWG, which includes the heads of all ENCODE production groups. The AWG and DAC will set priorities and </w:t>
      </w:r>
      <w:r w:rsidDel="00000000" w:rsidR="00000000" w:rsidRPr="00000000">
        <w:rPr>
          <w:rFonts w:ascii="Arial" w:cs="Arial" w:eastAsia="Arial" w:hAnsi="Arial"/>
          <w:sz w:val="22"/>
          <w:szCs w:val="22"/>
          <w:rtl w:val="0"/>
        </w:rPr>
        <w:t xml:space="preserve">time-lines</w:t>
      </w:r>
      <w:r w:rsidDel="00000000" w:rsidR="00000000" w:rsidRPr="00000000">
        <w:rPr>
          <w:rFonts w:ascii="Arial" w:cs="Arial" w:eastAsia="Arial" w:hAnsi="Arial"/>
          <w:b w:val="0"/>
          <w:color w:val="000000"/>
          <w:sz w:val="22"/>
          <w:szCs w:val="22"/>
          <w:vertAlign w:val="baseline"/>
          <w:rtl w:val="0"/>
        </w:rPr>
        <w:t xml:space="preserve"> during their bi-weekly interactions, based on data production and availability, based on new results, insights, and technologies, and the aims proposed here may be altered to better fit the analysis needs of the Consortium.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Tentatively, we have established the following timeline involving two publication cycles during the four years of project: an initial production data freeze is planned by the end of Year 1.5, with coordinated pipelined analyses to be completed in two months, and </w:t>
      </w:r>
      <w:r w:rsidDel="00000000" w:rsidR="00000000" w:rsidRPr="00000000">
        <w:rPr>
          <w:rFonts w:ascii="Arial" w:cs="Arial" w:eastAsia="Arial" w:hAnsi="Arial"/>
          <w:b w:val="0"/>
          <w:color w:val="000000"/>
          <w:sz w:val="22"/>
          <w:szCs w:val="22"/>
          <w:u w:val="single"/>
          <w:vertAlign w:val="baseline"/>
          <w:rtl w:val="0"/>
        </w:rPr>
        <w:t xml:space="preserve">an initial integrative analysis </w:t>
      </w:r>
      <w:r w:rsidDel="00000000" w:rsidR="00000000" w:rsidRPr="00000000">
        <w:rPr>
          <w:rFonts w:ascii="Arial" w:cs="Arial" w:eastAsia="Arial" w:hAnsi="Arial"/>
          <w:b w:val="0"/>
          <w:color w:val="000000"/>
          <w:sz w:val="22"/>
          <w:szCs w:val="22"/>
          <w:vertAlign w:val="baseline"/>
          <w:rtl w:val="0"/>
        </w:rPr>
        <w:t xml:space="preserve">will begin soon after, focusing on Aims 2 and 3. We will plan an analysis group meeting by the end of Year 2, and we expect an initial analysis results freeze for this initial analysis to be completed by Year 2, and a manuscript to be completed and submitted by the end of 2014.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We expect a second data freeze in Year 3.5, tentatively set for the end of 2015, with formatted dataset freeze set two months after, to launch a </w:t>
      </w:r>
      <w:r w:rsidDel="00000000" w:rsidR="00000000" w:rsidRPr="00000000">
        <w:rPr>
          <w:rFonts w:ascii="Arial" w:cs="Arial" w:eastAsia="Arial" w:hAnsi="Arial"/>
          <w:b w:val="0"/>
          <w:color w:val="000000"/>
          <w:sz w:val="22"/>
          <w:szCs w:val="22"/>
          <w:u w:val="single"/>
          <w:vertAlign w:val="baseline"/>
          <w:rtl w:val="0"/>
        </w:rPr>
        <w:t xml:space="preserve">second analysis cycle</w:t>
      </w:r>
      <w:r w:rsidDel="00000000" w:rsidR="00000000" w:rsidRPr="00000000">
        <w:rPr>
          <w:rFonts w:ascii="Arial" w:cs="Arial" w:eastAsia="Arial" w:hAnsi="Arial"/>
          <w:b w:val="0"/>
          <w:color w:val="000000"/>
          <w:sz w:val="22"/>
          <w:szCs w:val="22"/>
          <w:vertAlign w:val="baseline"/>
          <w:rtl w:val="0"/>
        </w:rPr>
        <w:t xml:space="preserve"> for a joint paper summarizing findings of the ENCODE Project. Priorities will be on Aims 3-5, to be completed by 2016, and a second manuscript submitted by the end of the project.  </w:t>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 REFERENCES CITED</w:t>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w:t>
        <w:tab/>
        <w:t xml:space="preserve">Feingold, E., Good, P. &amp; Guyer, M. The ENCODE (ENCyclopedia Of DNA Elements) Project.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(2004).</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w:t>
        <w:tab/>
        <w:t xml:space="preserve">ENCODE Project Consortium et al. Identification and analysis of functional elements in 1% of the human genome by the ENCODE pilot project.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447</w:t>
      </w:r>
      <w:r w:rsidDel="00000000" w:rsidR="00000000" w:rsidRPr="00000000">
        <w:rPr>
          <w:rFonts w:ascii="Arial" w:cs="Arial" w:eastAsia="Arial" w:hAnsi="Arial"/>
          <w:sz w:val="22"/>
          <w:szCs w:val="22"/>
          <w:vertAlign w:val="baseline"/>
          <w:rtl w:val="0"/>
        </w:rPr>
        <w:t xml:space="preserve">, 799–816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w:t>
        <w:tab/>
        <w:t xml:space="preserve">ENCODE Project Consortium An Integrated Encyclopedia of DNA Elements in the Human Genome.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w:t>
        <w:tab/>
        <w:t xml:space="preserve">Wang, J. et al. Genome-wide mapping of the binding sites of 119 human transcription factors.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w:t>
        <w:tab/>
        <w:t xml:space="preserve">Dong, X. et al. Correlating histone modifications and gene expression.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w:t>
        <w:tab/>
        <w:t xml:space="preserve">Xi, H.S., Wang, J., Xu, J. &amp; Weng, Z. Identification and Characterization of Allele-Specific Transcriptional Regulation in the Human Genome.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w:t>
        <w:tab/>
        <w:t xml:space="preserve">Whitfield, T.W. et al. Functional analysis of transcription factor binding sites in human promoters. </w:t>
      </w:r>
      <w:r w:rsidDel="00000000" w:rsidR="00000000" w:rsidRPr="00000000">
        <w:rPr>
          <w:rFonts w:ascii="Arial" w:cs="Arial" w:eastAsia="Arial" w:hAnsi="Arial"/>
          <w:i w:val="1"/>
          <w:sz w:val="22"/>
          <w:szCs w:val="22"/>
          <w:vertAlign w:val="baseline"/>
          <w:rtl w:val="0"/>
        </w:rPr>
        <w:t xml:space="preserve">ENCODE Companion submitted to Genome Biol</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w:t>
        <w:tab/>
        <w:t xml:space="preserve">Gerstein, M.B. et al. Architecture of the human regulatory network derived from ENCODE data.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w:t>
        <w:tab/>
        <w:t xml:space="preserve">Gerstein, M.B. et al. Integrative analysis of the </w:t>
      </w:r>
      <w:r w:rsidDel="00000000" w:rsidR="00000000" w:rsidRPr="00000000">
        <w:rPr>
          <w:rFonts w:ascii="Arial" w:cs="Arial" w:eastAsia="Arial" w:hAnsi="Arial"/>
          <w:i w:val="1"/>
          <w:sz w:val="22"/>
          <w:szCs w:val="22"/>
          <w:vertAlign w:val="baseline"/>
          <w:rtl w:val="0"/>
        </w:rPr>
        <w:t xml:space="preserve">Caenorhabditis elegans</w:t>
      </w:r>
      <w:r w:rsidDel="00000000" w:rsidR="00000000" w:rsidRPr="00000000">
        <w:rPr>
          <w:rFonts w:ascii="Arial" w:cs="Arial" w:eastAsia="Arial" w:hAnsi="Arial"/>
          <w:sz w:val="22"/>
          <w:szCs w:val="22"/>
          <w:vertAlign w:val="baseline"/>
          <w:rtl w:val="0"/>
        </w:rPr>
        <w:t xml:space="preserve"> genome by the modENCODE project.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330</w:t>
      </w:r>
      <w:r w:rsidDel="00000000" w:rsidR="00000000" w:rsidRPr="00000000">
        <w:rPr>
          <w:rFonts w:ascii="Arial" w:cs="Arial" w:eastAsia="Arial" w:hAnsi="Arial"/>
          <w:sz w:val="22"/>
          <w:szCs w:val="22"/>
          <w:vertAlign w:val="baseline"/>
          <w:rtl w:val="0"/>
        </w:rPr>
        <w:t xml:space="preserve">, 1775–1787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w:t>
        <w:tab/>
        <w:t xml:space="preserve">Gerstein, M.B. et al. What is a gene, post-ENCODE? History and updated definition.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669–681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w:t>
        <w:tab/>
        <w:t xml:space="preserve">Trinklein, N.D. et al. Integrated analysis of experimental data sets reveals many novel promoters in 1% of the human genome.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720–731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w:t>
        <w:tab/>
        <w:t xml:space="preserve">Rozowsky, J.S. et al. The DART classification of unannotated transcription within the ENCODE regions: associating transcription with known and novel loci.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732–745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13.</w:t>
        <w:tab/>
        <w:t xml:space="preserve">Zhang, Z.D. et al. Statistical analysis of the genomic distribution and correlation of regulatory elements in the ENCODE regions.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787–797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14.</w:t>
        <w:tab/>
        <w:t xml:space="preserve">Zheng, D. et al. Pseudogenes in the ENCODE regions: consensus annotation, analysis of transcription, and evolution.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839–851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15.</w:t>
        <w:tab/>
        <w:t xml:space="preserve">Washietl, S. et al. Structured RNAs in the ENCODE selected regions of the human genome.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852–864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16.</w:t>
        <w:tab/>
        <w:t xml:space="preserve">Euskirchen, G.M. et al. Mapping of transcription factor binding regions in mammalian cells by ChIP: comparison of array- and sequencing-based technologies.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898–909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17.</w:t>
        <w:tab/>
        <w:t xml:space="preserve">Lu, Z.J. et al. Prediction and characterization of noncoding RNAs in </w:t>
      </w:r>
      <w:r w:rsidDel="00000000" w:rsidR="00000000" w:rsidRPr="00000000">
        <w:rPr>
          <w:rFonts w:ascii="Arial" w:cs="Arial" w:eastAsia="Arial" w:hAnsi="Arial"/>
          <w:i w:val="1"/>
          <w:sz w:val="22"/>
          <w:szCs w:val="22"/>
          <w:vertAlign w:val="baseline"/>
          <w:rtl w:val="0"/>
        </w:rPr>
        <w:t xml:space="preserve">C. elegans</w:t>
      </w:r>
      <w:r w:rsidDel="00000000" w:rsidR="00000000" w:rsidRPr="00000000">
        <w:rPr>
          <w:rFonts w:ascii="Arial" w:cs="Arial" w:eastAsia="Arial" w:hAnsi="Arial"/>
          <w:sz w:val="22"/>
          <w:szCs w:val="22"/>
          <w:vertAlign w:val="baseline"/>
          <w:rtl w:val="0"/>
        </w:rPr>
        <w:t xml:space="preserve"> by integrating conservation, secondary structure, and high-throughput sequencing and array data.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21</w:t>
      </w:r>
      <w:r w:rsidDel="00000000" w:rsidR="00000000" w:rsidRPr="00000000">
        <w:rPr>
          <w:rFonts w:ascii="Arial" w:cs="Arial" w:eastAsia="Arial" w:hAnsi="Arial"/>
          <w:sz w:val="22"/>
          <w:szCs w:val="22"/>
          <w:vertAlign w:val="baseline"/>
          <w:rtl w:val="0"/>
        </w:rPr>
        <w:t xml:space="preserve">, 276–285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18.</w:t>
        <w:tab/>
        <w:t xml:space="preserve">Cheng, C. et al. A statistical framework for modeling gene expression using chromatin features and application to modENCODE datasets.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R15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19.</w:t>
        <w:tab/>
        <w:t xml:space="preserve">Nègre, N. et al. A cis-regulatory map of the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471</w:t>
      </w:r>
      <w:r w:rsidDel="00000000" w:rsidR="00000000" w:rsidRPr="00000000">
        <w:rPr>
          <w:rFonts w:ascii="Arial" w:cs="Arial" w:eastAsia="Arial" w:hAnsi="Arial"/>
          <w:sz w:val="22"/>
          <w:szCs w:val="22"/>
          <w:vertAlign w:val="baseline"/>
          <w:rtl w:val="0"/>
        </w:rPr>
        <w:t xml:space="preserve">, 527–531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20.</w:t>
        <w:tab/>
        <w:t xml:space="preserve">Habegger, L. et al. RSEQtools: a modular framework to analyze RNA</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using compact, anonymized data summaries.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27</w:t>
      </w:r>
      <w:r w:rsidDel="00000000" w:rsidR="00000000" w:rsidRPr="00000000">
        <w:rPr>
          <w:rFonts w:ascii="Arial" w:cs="Arial" w:eastAsia="Arial" w:hAnsi="Arial"/>
          <w:sz w:val="22"/>
          <w:szCs w:val="22"/>
          <w:vertAlign w:val="baseline"/>
          <w:rtl w:val="0"/>
        </w:rPr>
        <w:t xml:space="preserve">, 281–283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21.</w:t>
        <w:tab/>
        <w:t xml:space="preserve">Sboner, A. et al. FusionSeq: a modular framework for finding gene fusions by analyzing paired-end RNA-sequencing data.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R104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22.</w:t>
        <w:tab/>
        <w:t xml:space="preserve">Montgomery, S.B. et al. Transcriptome genetics using second generation sequencing in a Caucasian population.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464</w:t>
      </w:r>
      <w:r w:rsidDel="00000000" w:rsidR="00000000" w:rsidRPr="00000000">
        <w:rPr>
          <w:rFonts w:ascii="Arial" w:cs="Arial" w:eastAsia="Arial" w:hAnsi="Arial"/>
          <w:sz w:val="22"/>
          <w:szCs w:val="22"/>
          <w:vertAlign w:val="baseline"/>
          <w:rtl w:val="0"/>
        </w:rPr>
        <w:t xml:space="preserve">, 773–777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23.</w:t>
        <w:tab/>
        <w:t xml:space="preserve">Li, Q., Brown, J.B., Huang, H. &amp; Bickel, P.J. Measuring reproducibility of high-throughput experiments. </w:t>
      </w:r>
      <w:r w:rsidDel="00000000" w:rsidR="00000000" w:rsidRPr="00000000">
        <w:rPr>
          <w:rFonts w:ascii="Arial" w:cs="Arial" w:eastAsia="Arial" w:hAnsi="Arial"/>
          <w:i w:val="1"/>
          <w:sz w:val="22"/>
          <w:szCs w:val="22"/>
          <w:vertAlign w:val="baseline"/>
          <w:rtl w:val="0"/>
        </w:rPr>
        <w:t xml:space="preserve">The Annals of Applied Statistics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1752–1779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24.</w:t>
        <w:tab/>
        <w:t xml:space="preserve">Gonzalez-Porta, M., Calvo, M., Sammeth, M. &amp; Guigó, R. Estimation of alternative splicing variability in human populations.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(2011).doi:10.1101/gr.121947.111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25.</w:t>
        <w:tab/>
        <w:t xml:space="preserve">Djebali, S. et al. Landscape of transcription in human cells. </w:t>
      </w:r>
      <w:r w:rsidDel="00000000" w:rsidR="00000000" w:rsidRPr="00000000">
        <w:rPr>
          <w:rFonts w:ascii="Arial" w:cs="Arial" w:eastAsia="Arial" w:hAnsi="Arial"/>
          <w:i w:val="1"/>
          <w:sz w:val="22"/>
          <w:szCs w:val="22"/>
          <w:vertAlign w:val="baseline"/>
          <w:rtl w:val="0"/>
        </w:rPr>
        <w:t xml:space="preserve">ENCODE Companion submitted to Nature</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26.</w:t>
        <w:tab/>
        <w:t xml:space="preserve">Tilgner, H. et al. Nucleosome positioning as a determinant of exon recognition. </w:t>
      </w:r>
      <w:r w:rsidDel="00000000" w:rsidR="00000000" w:rsidRPr="00000000">
        <w:rPr>
          <w:rFonts w:ascii="Arial" w:cs="Arial" w:eastAsia="Arial" w:hAnsi="Arial"/>
          <w:i w:val="1"/>
          <w:sz w:val="22"/>
          <w:szCs w:val="22"/>
          <w:vertAlign w:val="baseline"/>
          <w:rtl w:val="0"/>
        </w:rPr>
        <w:t xml:space="preserve">Nat Struct Mol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16</w:t>
      </w:r>
      <w:r w:rsidDel="00000000" w:rsidR="00000000" w:rsidRPr="00000000">
        <w:rPr>
          <w:rFonts w:ascii="Arial" w:cs="Arial" w:eastAsia="Arial" w:hAnsi="Arial"/>
          <w:sz w:val="22"/>
          <w:szCs w:val="22"/>
          <w:vertAlign w:val="baseline"/>
          <w:rtl w:val="0"/>
        </w:rPr>
        <w:t xml:space="preserve">, 996–1001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27.</w:t>
        <w:tab/>
        <w:t xml:space="preserve">Luco, R.F. et al. Regulation of alternative splicing by histone modifications.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327</w:t>
      </w:r>
      <w:r w:rsidDel="00000000" w:rsidR="00000000" w:rsidRPr="00000000">
        <w:rPr>
          <w:rFonts w:ascii="Arial" w:cs="Arial" w:eastAsia="Arial" w:hAnsi="Arial"/>
          <w:sz w:val="22"/>
          <w:szCs w:val="22"/>
          <w:vertAlign w:val="baseline"/>
          <w:rtl w:val="0"/>
        </w:rPr>
        <w:t xml:space="preserve">, 996–1000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28.</w:t>
        <w:tab/>
        <w:t xml:space="preserve">Tilgner, H. et al. Chromatin mediated regulation of alternative splicing.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29.</w:t>
        <w:tab/>
        <w:t xml:space="preserve">Tilgner, H. et al. Deep sequencing of RNA from distinct subcellular fractions shows that splicing in the human genome occurs predominantly during transcription.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30.</w:t>
        <w:tab/>
        <w:t xml:space="preserve">Ørom, U.A. et al. Long noncoding RNAs with enhancer-like function in human cells.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143</w:t>
      </w:r>
      <w:r w:rsidDel="00000000" w:rsidR="00000000" w:rsidRPr="00000000">
        <w:rPr>
          <w:rFonts w:ascii="Arial" w:cs="Arial" w:eastAsia="Arial" w:hAnsi="Arial"/>
          <w:sz w:val="22"/>
          <w:szCs w:val="22"/>
          <w:vertAlign w:val="baseline"/>
          <w:rtl w:val="0"/>
        </w:rPr>
        <w:t xml:space="preserve">, 46–58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31.</w:t>
        <w:tab/>
        <w:t xml:space="preserve">Derrien, T. et al. The GENCODE v7 catalogue of human long non-coding RNAs: Analysis of their gene structure, evolution and expression.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32.</w:t>
        <w:tab/>
        <w:t xml:space="preserve">Kharchenko, P.V., Tolstorukov, M.Y. &amp; Park, P.J. Design and analysis of ChIP-seq experiments for DNA-binding proteins.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26</w:t>
      </w:r>
      <w:r w:rsidDel="00000000" w:rsidR="00000000" w:rsidRPr="00000000">
        <w:rPr>
          <w:rFonts w:ascii="Arial" w:cs="Arial" w:eastAsia="Arial" w:hAnsi="Arial"/>
          <w:sz w:val="22"/>
          <w:szCs w:val="22"/>
          <w:vertAlign w:val="baseline"/>
          <w:rtl w:val="0"/>
        </w:rPr>
        <w:t xml:space="preserve">, 1351–1359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33.</w:t>
        <w:tab/>
        <w:t xml:space="preserve">Zhang, Y. et al. Model-based analysis of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(MACS).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9</w:t>
      </w:r>
      <w:r w:rsidDel="00000000" w:rsidR="00000000" w:rsidRPr="00000000">
        <w:rPr>
          <w:rFonts w:ascii="Arial" w:cs="Arial" w:eastAsia="Arial" w:hAnsi="Arial"/>
          <w:sz w:val="22"/>
          <w:szCs w:val="22"/>
          <w:vertAlign w:val="baseline"/>
          <w:rtl w:val="0"/>
        </w:rPr>
        <w:t xml:space="preserve">, R137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34.</w:t>
        <w:tab/>
        <w:t xml:space="preserve">Rozowsky, J. et al. PeakSeq enables systematic scoring of ChIP-seq experiments relative to controls.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27</w:t>
      </w:r>
      <w:r w:rsidDel="00000000" w:rsidR="00000000" w:rsidRPr="00000000">
        <w:rPr>
          <w:rFonts w:ascii="Arial" w:cs="Arial" w:eastAsia="Arial" w:hAnsi="Arial"/>
          <w:sz w:val="22"/>
          <w:szCs w:val="22"/>
          <w:vertAlign w:val="baseline"/>
          <w:rtl w:val="0"/>
        </w:rPr>
        <w:t xml:space="preserve">, 66–75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35.</w:t>
        <w:tab/>
        <w:t xml:space="preserve">Kheradpour, P. &amp; Manolis, K. Systematic discovery and characterization of regulatory motifs in ENCODE TF binding experiments.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36.</w:t>
        <w:tab/>
        <w:t xml:space="preserve">Giardine, B. et al. Galaxy: a platform for interactive large-scale genome analysis.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15</w:t>
      </w:r>
      <w:r w:rsidDel="00000000" w:rsidR="00000000" w:rsidRPr="00000000">
        <w:rPr>
          <w:rFonts w:ascii="Arial" w:cs="Arial" w:eastAsia="Arial" w:hAnsi="Arial"/>
          <w:sz w:val="22"/>
          <w:szCs w:val="22"/>
          <w:vertAlign w:val="baseline"/>
          <w:rtl w:val="0"/>
        </w:rPr>
        <w:t xml:space="preserve">, 1451–1455 (2005).</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37.</w:t>
        <w:tab/>
        <w:t xml:space="preserve">Liu, T. et al. Cistrome: an integrative platform for transcriptional regulation studies.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R83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38.</w:t>
        <w:tab/>
        <w:t xml:space="preserve">Niranjan, T.S. et al. Effective detection of rare variants in pooled DNA samples using Cross-pool tailcurve analysis.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R93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39.</w:t>
        <w:tab/>
        <w:t xml:space="preserve">Wu, H., Irizarry, R.A. &amp; Bravo, H.C. Intensity normalization improves color calling in SOLiD sequencing. </w:t>
      </w:r>
      <w:r w:rsidDel="00000000" w:rsidR="00000000" w:rsidRPr="00000000">
        <w:rPr>
          <w:rFonts w:ascii="Arial" w:cs="Arial" w:eastAsia="Arial" w:hAnsi="Arial"/>
          <w:i w:val="1"/>
          <w:sz w:val="22"/>
          <w:szCs w:val="22"/>
          <w:vertAlign w:val="baseline"/>
          <w:rtl w:val="0"/>
        </w:rPr>
        <w:t xml:space="preserve">Nat Methods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336–337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40.</w:t>
        <w:tab/>
        <w:t xml:space="preserve">Bravo, H.C. &amp; Irizarry, R.A. Model-based quality assessment and base-calling for second-generation sequencing data. </w:t>
      </w:r>
      <w:r w:rsidDel="00000000" w:rsidR="00000000" w:rsidRPr="00000000">
        <w:rPr>
          <w:rFonts w:ascii="Arial" w:cs="Arial" w:eastAsia="Arial" w:hAnsi="Arial"/>
          <w:i w:val="1"/>
          <w:sz w:val="22"/>
          <w:szCs w:val="22"/>
          <w:vertAlign w:val="baseline"/>
          <w:rtl w:val="0"/>
        </w:rPr>
        <w:t xml:space="preserve">Biometrics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66</w:t>
      </w:r>
      <w:r w:rsidDel="00000000" w:rsidR="00000000" w:rsidRPr="00000000">
        <w:rPr>
          <w:rFonts w:ascii="Arial" w:cs="Arial" w:eastAsia="Arial" w:hAnsi="Arial"/>
          <w:sz w:val="22"/>
          <w:szCs w:val="22"/>
          <w:vertAlign w:val="baseline"/>
          <w:rtl w:val="0"/>
        </w:rPr>
        <w:t xml:space="preserve">, 665–674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41.</w:t>
        <w:tab/>
        <w:t xml:space="preserve">Hansen, K.D., Wu, Z., Irizarry, R.A. &amp; Leek, J.T. Sequencing technology does not eliminate biological variability.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29</w:t>
      </w:r>
      <w:r w:rsidDel="00000000" w:rsidR="00000000" w:rsidRPr="00000000">
        <w:rPr>
          <w:rFonts w:ascii="Arial" w:cs="Arial" w:eastAsia="Arial" w:hAnsi="Arial"/>
          <w:sz w:val="22"/>
          <w:szCs w:val="22"/>
          <w:vertAlign w:val="baseline"/>
          <w:rtl w:val="0"/>
        </w:rPr>
        <w:t xml:space="preserve">, 572–573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42.</w:t>
        <w:tab/>
        <w:t xml:space="preserve">McCall, M.N., Murakami, P.N., Lukk, M., Huber, W. &amp; Irizarry, R.A. Assessing affymetrix GeneChip microarray quality.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137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43.</w:t>
        <w:tab/>
        <w:t xml:space="preserve">Dohm, J.C., Lottaz, C., Borodina, T. &amp; Himmelbauer, H. Substantial biases in ultra-short read data sets from high-throughput DNA sequencing.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36</w:t>
      </w:r>
      <w:r w:rsidDel="00000000" w:rsidR="00000000" w:rsidRPr="00000000">
        <w:rPr>
          <w:rFonts w:ascii="Arial" w:cs="Arial" w:eastAsia="Arial" w:hAnsi="Arial"/>
          <w:sz w:val="22"/>
          <w:szCs w:val="22"/>
          <w:vertAlign w:val="baseline"/>
          <w:rtl w:val="0"/>
        </w:rPr>
        <w:t xml:space="preserve">, e105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44.</w:t>
        <w:tab/>
        <w:t xml:space="preserve">Kao, W.-C., Stevens, K. &amp; Song, Y.S. BayesCall: A model-based base-calling algorithm for high-throughput short-read sequencing.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19</w:t>
      </w:r>
      <w:r w:rsidDel="00000000" w:rsidR="00000000" w:rsidRPr="00000000">
        <w:rPr>
          <w:rFonts w:ascii="Arial" w:cs="Arial" w:eastAsia="Arial" w:hAnsi="Arial"/>
          <w:sz w:val="22"/>
          <w:szCs w:val="22"/>
          <w:vertAlign w:val="baseline"/>
          <w:rtl w:val="0"/>
        </w:rPr>
        <w:t xml:space="preserve">, 1884–1895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45.</w:t>
        <w:tab/>
        <w:t xml:space="preserve">Yang, X., Dorman, K.S. &amp; Aluru, S. Reptile: representative tiling for short read error correction.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26</w:t>
      </w:r>
      <w:r w:rsidDel="00000000" w:rsidR="00000000" w:rsidRPr="00000000">
        <w:rPr>
          <w:rFonts w:ascii="Arial" w:cs="Arial" w:eastAsia="Arial" w:hAnsi="Arial"/>
          <w:sz w:val="22"/>
          <w:szCs w:val="22"/>
          <w:vertAlign w:val="baseline"/>
          <w:rtl w:val="0"/>
        </w:rPr>
        <w:t xml:space="preserve">, 2526–2533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46.</w:t>
        <w:tab/>
        <w:t xml:space="preserve">Zhao, X. et al. EDAR: an efficient error detection and removal algorithm for next generation sequencing data. </w:t>
      </w:r>
      <w:r w:rsidDel="00000000" w:rsidR="00000000" w:rsidRPr="00000000">
        <w:rPr>
          <w:rFonts w:ascii="Arial" w:cs="Arial" w:eastAsia="Arial" w:hAnsi="Arial"/>
          <w:i w:val="1"/>
          <w:sz w:val="22"/>
          <w:szCs w:val="22"/>
          <w:vertAlign w:val="baseline"/>
          <w:rtl w:val="0"/>
        </w:rPr>
        <w:t xml:space="preserve">J.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1549–1560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47.</w:t>
        <w:tab/>
        <w:t xml:space="preserve">Schröder, J., Schröder, H., Puglisi, S.J., Sinha, R. &amp; Schmidt, B. SHREC: a short-read error correction method.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25</w:t>
      </w:r>
      <w:r w:rsidDel="00000000" w:rsidR="00000000" w:rsidRPr="00000000">
        <w:rPr>
          <w:rFonts w:ascii="Arial" w:cs="Arial" w:eastAsia="Arial" w:hAnsi="Arial"/>
          <w:sz w:val="22"/>
          <w:szCs w:val="22"/>
          <w:vertAlign w:val="baseline"/>
          <w:rtl w:val="0"/>
        </w:rPr>
        <w:t xml:space="preserve">, 2157–2163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48.</w:t>
        <w:tab/>
        <w:t xml:space="preserve">Kelley, D.R., Schatz, M.C. &amp; Salzberg, S.L. Quake: quality-aware detection and correction of sequencing errors.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R116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49.</w:t>
        <w:tab/>
        <w:t xml:space="preserve">Kuan, P.F. et al. A Statistical Framework for the Analysis of ChIP</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w:t>
      </w:r>
      <w:r w:rsidDel="00000000" w:rsidR="00000000" w:rsidRPr="00000000">
        <w:rPr>
          <w:rFonts w:ascii="Arial" w:cs="Arial" w:eastAsia="Arial" w:hAnsi="Arial"/>
          <w:i w:val="1"/>
          <w:sz w:val="22"/>
          <w:szCs w:val="22"/>
          <w:vertAlign w:val="baseline"/>
          <w:rtl w:val="0"/>
        </w:rPr>
        <w:t xml:space="preserve">Journal of the American Statistical Association</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106</w:t>
      </w:r>
      <w:r w:rsidDel="00000000" w:rsidR="00000000" w:rsidRPr="00000000">
        <w:rPr>
          <w:rFonts w:ascii="Arial" w:cs="Arial" w:eastAsia="Arial" w:hAnsi="Arial"/>
          <w:sz w:val="22"/>
          <w:szCs w:val="22"/>
          <w:vertAlign w:val="baseline"/>
          <w:rtl w:val="0"/>
        </w:rPr>
        <w:t xml:space="preserve">, 891–903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50.</w:t>
        <w:tab/>
        <w:t xml:space="preserve">Lee, W. et al. The mutation spectrum revealed by paired genome sequences from a lung cancer patient.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465</w:t>
      </w:r>
      <w:r w:rsidDel="00000000" w:rsidR="00000000" w:rsidRPr="00000000">
        <w:rPr>
          <w:rFonts w:ascii="Arial" w:cs="Arial" w:eastAsia="Arial" w:hAnsi="Arial"/>
          <w:sz w:val="22"/>
          <w:szCs w:val="22"/>
          <w:vertAlign w:val="baseline"/>
          <w:rtl w:val="0"/>
        </w:rPr>
        <w:t xml:space="preserve">, 473–477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51.</w:t>
        <w:tab/>
        <w:t xml:space="preserve">Hansen, K.D., Brenner, S.E. &amp; Dudoit, S. Biases in Illumina transcriptome sequencing caused by random hexamer priming.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38</w:t>
      </w:r>
      <w:r w:rsidDel="00000000" w:rsidR="00000000" w:rsidRPr="00000000">
        <w:rPr>
          <w:rFonts w:ascii="Arial" w:cs="Arial" w:eastAsia="Arial" w:hAnsi="Arial"/>
          <w:sz w:val="22"/>
          <w:szCs w:val="22"/>
          <w:vertAlign w:val="baseline"/>
          <w:rtl w:val="0"/>
        </w:rPr>
        <w:t xml:space="preserve">, e131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52.</w:t>
        <w:tab/>
        <w:t xml:space="preserve">Li, J., Jiang, H. &amp; Wong, W.H. Modeling non-uniformity in short-read rates in RNA</w:t>
      </w:r>
      <w:r w:rsidDel="00000000" w:rsidR="00000000" w:rsidRPr="00000000">
        <w:rPr>
          <w:rFonts w:ascii="Arial" w:cs="Arial" w:eastAsia="Arial" w:hAnsi="Arial"/>
          <w:sz w:val="22"/>
          <w:szCs w:val="22"/>
          <w:rtl w:val="0"/>
        </w:rPr>
        <w:t xml:space="preserve">-seq</w:t>
      </w:r>
      <w:r w:rsidDel="00000000" w:rsidR="00000000" w:rsidRPr="00000000">
        <w:rPr>
          <w:rFonts w:ascii="Arial" w:cs="Arial" w:eastAsia="Arial" w:hAnsi="Arial"/>
          <w:sz w:val="22"/>
          <w:szCs w:val="22"/>
          <w:vertAlign w:val="baseline"/>
          <w:rtl w:val="0"/>
        </w:rPr>
        <w:t xml:space="preserve"> data.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R50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53.</w:t>
        <w:tab/>
        <w:t xml:space="preserve">Leek, J.T. et al. Tackling the widespread and critical impact of batch effects in high-throughput data. </w:t>
      </w:r>
      <w:r w:rsidDel="00000000" w:rsidR="00000000" w:rsidRPr="00000000">
        <w:rPr>
          <w:rFonts w:ascii="Arial" w:cs="Arial" w:eastAsia="Arial" w:hAnsi="Arial"/>
          <w:i w:val="1"/>
          <w:sz w:val="22"/>
          <w:szCs w:val="22"/>
          <w:vertAlign w:val="baseline"/>
          <w:rtl w:val="0"/>
        </w:rPr>
        <w:t xml:space="preserve">Nat Rev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733–739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54.</w:t>
        <w:tab/>
        <w:t xml:space="preserve">Leek, J.T. &amp; Storey, J.D. Capturing heterogeneity in gene expression studies by surrogate variable analysis.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1724–1735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55.</w:t>
        <w:tab/>
        <w:t xml:space="preserve">Johnson, W.E., Li, C. &amp; Rabinovic, A. Adjusting batch effects in microarray expression data using empirical Bayes methods. </w:t>
      </w:r>
      <w:r w:rsidDel="00000000" w:rsidR="00000000" w:rsidRPr="00000000">
        <w:rPr>
          <w:rFonts w:ascii="Arial" w:cs="Arial" w:eastAsia="Arial" w:hAnsi="Arial"/>
          <w:i w:val="1"/>
          <w:sz w:val="22"/>
          <w:szCs w:val="22"/>
          <w:vertAlign w:val="baseline"/>
          <w:rtl w:val="0"/>
        </w:rPr>
        <w:t xml:space="preserve">Biostatistics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8</w:t>
      </w:r>
      <w:r w:rsidDel="00000000" w:rsidR="00000000" w:rsidRPr="00000000">
        <w:rPr>
          <w:rFonts w:ascii="Arial" w:cs="Arial" w:eastAsia="Arial" w:hAnsi="Arial"/>
          <w:sz w:val="22"/>
          <w:szCs w:val="22"/>
          <w:vertAlign w:val="baseline"/>
          <w:rtl w:val="0"/>
        </w:rPr>
        <w:t xml:space="preserve">, 118–127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56.</w:t>
        <w:tab/>
        <w:t xml:space="preserve">ENCODE Project Consortium et al. A user's guide to the Encyclopedia of DNA Elements (ENCODE). </w:t>
      </w:r>
      <w:r w:rsidDel="00000000" w:rsidR="00000000" w:rsidRPr="00000000">
        <w:rPr>
          <w:rFonts w:ascii="Arial" w:cs="Arial" w:eastAsia="Arial" w:hAnsi="Arial"/>
          <w:i w:val="1"/>
          <w:sz w:val="22"/>
          <w:szCs w:val="22"/>
          <w:vertAlign w:val="baseline"/>
          <w:rtl w:val="0"/>
        </w:rPr>
        <w:t xml:space="preserve">PLoS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9</w:t>
      </w:r>
      <w:r w:rsidDel="00000000" w:rsidR="00000000" w:rsidRPr="00000000">
        <w:rPr>
          <w:rFonts w:ascii="Arial" w:cs="Arial" w:eastAsia="Arial" w:hAnsi="Arial"/>
          <w:sz w:val="22"/>
          <w:szCs w:val="22"/>
          <w:vertAlign w:val="baseline"/>
          <w:rtl w:val="0"/>
        </w:rPr>
        <w:t xml:space="preserve">, e1001046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57.</w:t>
        <w:tab/>
        <w:t xml:space="preserve">Kolasinska-Zwierz, P. et al. Differential chromatin marking of introns and expressed exons by H3K36me3.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41</w:t>
      </w:r>
      <w:r w:rsidDel="00000000" w:rsidR="00000000" w:rsidRPr="00000000">
        <w:rPr>
          <w:rFonts w:ascii="Arial" w:cs="Arial" w:eastAsia="Arial" w:hAnsi="Arial"/>
          <w:sz w:val="22"/>
          <w:szCs w:val="22"/>
          <w:vertAlign w:val="baseline"/>
          <w:rtl w:val="0"/>
        </w:rPr>
        <w:t xml:space="preserve">, 376–381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58.</w:t>
        <w:tab/>
        <w:t xml:space="preserve">Guttman, M. et al. Chromatin signature reveals over a thousand highly conserved large non-coding RNAs in mammals.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458</w:t>
      </w:r>
      <w:r w:rsidDel="00000000" w:rsidR="00000000" w:rsidRPr="00000000">
        <w:rPr>
          <w:rFonts w:ascii="Arial" w:cs="Arial" w:eastAsia="Arial" w:hAnsi="Arial"/>
          <w:sz w:val="22"/>
          <w:szCs w:val="22"/>
          <w:vertAlign w:val="baseline"/>
          <w:rtl w:val="0"/>
        </w:rPr>
        <w:t xml:space="preserve">, 223–227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59.</w:t>
        <w:tab/>
        <w:t xml:space="preserve">Stark, A. et al. Discovery of functional elements in 12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genomes using evolutionary signatures.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450</w:t>
      </w:r>
      <w:r w:rsidDel="00000000" w:rsidR="00000000" w:rsidRPr="00000000">
        <w:rPr>
          <w:rFonts w:ascii="Arial" w:cs="Arial" w:eastAsia="Arial" w:hAnsi="Arial"/>
          <w:sz w:val="22"/>
          <w:szCs w:val="22"/>
          <w:vertAlign w:val="baseline"/>
          <w:rtl w:val="0"/>
        </w:rPr>
        <w:t xml:space="preserve">, 219–232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60.</w:t>
        <w:tab/>
        <w:t xml:space="preserve">modENCODE Consortium et al. Identification of functional elements and regulatory circuits by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modENCODE.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330</w:t>
      </w:r>
      <w:r w:rsidDel="00000000" w:rsidR="00000000" w:rsidRPr="00000000">
        <w:rPr>
          <w:rFonts w:ascii="Arial" w:cs="Arial" w:eastAsia="Arial" w:hAnsi="Arial"/>
          <w:sz w:val="22"/>
          <w:szCs w:val="22"/>
          <w:vertAlign w:val="baseline"/>
          <w:rtl w:val="0"/>
        </w:rPr>
        <w:t xml:space="preserve">, 1787–1797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61.</w:t>
        <w:tab/>
        <w:t xml:space="preserve">Cheng, C., Weng, Z. &amp; Gerstein, M. Understanding transcriptional regulation by integrative analysis of transcription factor binding data.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62.</w:t>
        <w:tab/>
        <w:t xml:space="preserve">Cheng, C., Shou, C., Yip, K.Y. &amp; Gerstein, M.B. Genome-wide analysis of chromatin features identifies histone modification sensitive and insensitive yeast transcription factors.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R111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63.</w:t>
        <w:tab/>
        <w:t xml:space="preserve">Cheng, C. &amp; Gerstein, M. Modeling the relative relationship of transcription factor binding and histone modifications to gene expression levels in mouse embryonic stem cells.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(2011).doi:10.1093/nar/gkr752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64.</w:t>
        <w:tab/>
        <w:t xml:space="preserve">Barash, Y. et al. Deciphering the splicing code.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465</w:t>
      </w:r>
      <w:r w:rsidDel="00000000" w:rsidR="00000000" w:rsidRPr="00000000">
        <w:rPr>
          <w:rFonts w:ascii="Arial" w:cs="Arial" w:eastAsia="Arial" w:hAnsi="Arial"/>
          <w:sz w:val="22"/>
          <w:szCs w:val="22"/>
          <w:vertAlign w:val="baseline"/>
          <w:rtl w:val="0"/>
        </w:rPr>
        <w:t xml:space="preserve">, 53–59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65.</w:t>
        <w:tab/>
        <w:t xml:space="preserve">Luco, R.F., Allo, M., Schor, I.E., Kornblihtt, A.R. &amp; Misteli, T. Epigenetics in alternative pre-mRNA splicing.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144</w:t>
      </w:r>
      <w:r w:rsidDel="00000000" w:rsidR="00000000" w:rsidRPr="00000000">
        <w:rPr>
          <w:rFonts w:ascii="Arial" w:cs="Arial" w:eastAsia="Arial" w:hAnsi="Arial"/>
          <w:sz w:val="22"/>
          <w:szCs w:val="22"/>
          <w:vertAlign w:val="baseline"/>
          <w:rtl w:val="0"/>
        </w:rPr>
        <w:t xml:space="preserve">, 16–26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66.</w:t>
        <w:tab/>
        <w:t xml:space="preserve">He, H.H. et al. Nucleosome dynamics define transcriptional enhancers.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42</w:t>
      </w:r>
      <w:r w:rsidDel="00000000" w:rsidR="00000000" w:rsidRPr="00000000">
        <w:rPr>
          <w:rFonts w:ascii="Arial" w:cs="Arial" w:eastAsia="Arial" w:hAnsi="Arial"/>
          <w:sz w:val="22"/>
          <w:szCs w:val="22"/>
          <w:vertAlign w:val="baseline"/>
          <w:rtl w:val="0"/>
        </w:rPr>
        <w:t xml:space="preserve">, 343–347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67.</w:t>
        <w:tab/>
        <w:t xml:space="preserve">Kheradpour, P., Stark, A. &amp; Roy, S. Reliable prediction of regulator targets using 12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genomes.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68.</w:t>
        <w:tab/>
        <w:t xml:space="preserve">Ernst, J. et al. Mapping and analysis of chromatin state dynamics in nine human cell types.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473</w:t>
      </w:r>
      <w:r w:rsidDel="00000000" w:rsidR="00000000" w:rsidRPr="00000000">
        <w:rPr>
          <w:rFonts w:ascii="Arial" w:cs="Arial" w:eastAsia="Arial" w:hAnsi="Arial"/>
          <w:sz w:val="22"/>
          <w:szCs w:val="22"/>
          <w:vertAlign w:val="baseline"/>
          <w:rtl w:val="0"/>
        </w:rPr>
        <w:t xml:space="preserve">, 43–49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69.</w:t>
        <w:tab/>
        <w:t xml:space="preserve">Yip, K.Y. et al. Genome-wide analysis of the binding sites of more than 100 transcription-related factors defines different types of genomic regions with distinct biological properties.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70.</w:t>
        <w:tab/>
        <w:t xml:space="preserve">Sandberg, R., Neilson, J.R., Sarma, A., Sharp, P.A. &amp; Burge, C.B. Proliferating cells express mRNAs with shortened 3' untranslated regions and fewer microRNA target sites.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320</w:t>
      </w:r>
      <w:r w:rsidDel="00000000" w:rsidR="00000000" w:rsidRPr="00000000">
        <w:rPr>
          <w:rFonts w:ascii="Arial" w:cs="Arial" w:eastAsia="Arial" w:hAnsi="Arial"/>
          <w:sz w:val="22"/>
          <w:szCs w:val="22"/>
          <w:vertAlign w:val="baseline"/>
          <w:rtl w:val="0"/>
        </w:rPr>
        <w:t xml:space="preserve">, 1643–1647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71.</w:t>
        <w:tab/>
        <w:t xml:space="preserve">Thurman, R.E., Day, N., Noble, W.S. &amp; Stamatoyannopoulos, J.A. Identification of higher-order functional domains in the human ENCODE regions.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17</w:t>
      </w:r>
      <w:r w:rsidDel="00000000" w:rsidR="00000000" w:rsidRPr="00000000">
        <w:rPr>
          <w:rFonts w:ascii="Arial" w:cs="Arial" w:eastAsia="Arial" w:hAnsi="Arial"/>
          <w:sz w:val="22"/>
          <w:szCs w:val="22"/>
          <w:vertAlign w:val="baseline"/>
          <w:rtl w:val="0"/>
        </w:rPr>
        <w:t xml:space="preserve">, 917–927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72.</w:t>
        <w:tab/>
        <w:t xml:space="preserve">Filion, G.J. et al. Systematic protein location mapping reveals five principal chromatin types in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cells. </w:t>
      </w:r>
      <w:r w:rsidDel="00000000" w:rsidR="00000000" w:rsidRPr="00000000">
        <w:rPr>
          <w:rFonts w:ascii="Arial" w:cs="Arial" w:eastAsia="Arial" w:hAnsi="Arial"/>
          <w:i w:val="1"/>
          <w:sz w:val="22"/>
          <w:szCs w:val="22"/>
          <w:vertAlign w:val="baseline"/>
          <w:rtl w:val="0"/>
        </w:rPr>
        <w:t xml:space="preserve">Cell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143</w:t>
      </w:r>
      <w:r w:rsidDel="00000000" w:rsidR="00000000" w:rsidRPr="00000000">
        <w:rPr>
          <w:rFonts w:ascii="Arial" w:cs="Arial" w:eastAsia="Arial" w:hAnsi="Arial"/>
          <w:sz w:val="22"/>
          <w:szCs w:val="22"/>
          <w:vertAlign w:val="baseline"/>
          <w:rtl w:val="0"/>
        </w:rPr>
        <w:t xml:space="preserve">, 212–224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73.</w:t>
        <w:tab/>
        <w:t xml:space="preserve">Kharchenko, P.V. et al. Comprehensive analysis of the chromatin landscape in </w:t>
      </w:r>
      <w:r w:rsidDel="00000000" w:rsidR="00000000" w:rsidRPr="00000000">
        <w:rPr>
          <w:rFonts w:ascii="Arial" w:cs="Arial" w:eastAsia="Arial" w:hAnsi="Arial"/>
          <w:i w:val="1"/>
          <w:sz w:val="22"/>
          <w:szCs w:val="22"/>
          <w:vertAlign w:val="baseline"/>
          <w:rtl w:val="0"/>
        </w:rPr>
        <w:t xml:space="preserve">Drosophila</w:t>
      </w:r>
      <w:r w:rsidDel="00000000" w:rsidR="00000000" w:rsidRPr="00000000">
        <w:rPr>
          <w:rFonts w:ascii="Arial" w:cs="Arial" w:eastAsia="Arial" w:hAnsi="Arial"/>
          <w:sz w:val="22"/>
          <w:szCs w:val="22"/>
          <w:vertAlign w:val="baseline"/>
          <w:rtl w:val="0"/>
        </w:rPr>
        <w:t xml:space="preserve"> melanogaster.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471</w:t>
      </w:r>
      <w:r w:rsidDel="00000000" w:rsidR="00000000" w:rsidRPr="00000000">
        <w:rPr>
          <w:rFonts w:ascii="Arial" w:cs="Arial" w:eastAsia="Arial" w:hAnsi="Arial"/>
          <w:sz w:val="22"/>
          <w:szCs w:val="22"/>
          <w:vertAlign w:val="baseline"/>
          <w:rtl w:val="0"/>
        </w:rPr>
        <w:t xml:space="preserve">, 480–485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74.</w:t>
        <w:tab/>
        <w:t xml:space="preserve">Jaschek, R. Spatial clustering of multivariate genomic and epigenomic information. </w:t>
      </w:r>
      <w:r w:rsidDel="00000000" w:rsidR="00000000" w:rsidRPr="00000000">
        <w:rPr>
          <w:rFonts w:ascii="Arial" w:cs="Arial" w:eastAsia="Arial" w:hAnsi="Arial"/>
          <w:i w:val="1"/>
          <w:sz w:val="22"/>
          <w:szCs w:val="22"/>
          <w:vertAlign w:val="baseline"/>
          <w:rtl w:val="0"/>
        </w:rPr>
        <w:t xml:space="preserve">Research in Computational Molecular Biology</w:t>
      </w:r>
      <w:r w:rsidDel="00000000" w:rsidR="00000000" w:rsidRPr="00000000">
        <w:rPr>
          <w:rFonts w:ascii="Arial" w:cs="Arial" w:eastAsia="Arial" w:hAnsi="Arial"/>
          <w:sz w:val="22"/>
          <w:szCs w:val="22"/>
          <w:vertAlign w:val="baseline"/>
          <w:rtl w:val="0"/>
        </w:rPr>
        <w:t xml:space="preserve">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75.</w:t>
        <w:tab/>
        <w:t xml:space="preserve">Lian, H. et al. Automated mapping of large-scale chromatin structure in ENCODE.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24</w:t>
      </w:r>
      <w:r w:rsidDel="00000000" w:rsidR="00000000" w:rsidRPr="00000000">
        <w:rPr>
          <w:rFonts w:ascii="Arial" w:cs="Arial" w:eastAsia="Arial" w:hAnsi="Arial"/>
          <w:sz w:val="22"/>
          <w:szCs w:val="22"/>
          <w:vertAlign w:val="baseline"/>
          <w:rtl w:val="0"/>
        </w:rPr>
        <w:t xml:space="preserve">, 1911–1916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76.</w:t>
        <w:tab/>
        <w:t xml:space="preserve">Ernst, J. &amp; Kellis, M. Discovery and characterization of chromatin states for systematic annotation of the human genome. </w:t>
      </w:r>
      <w:r w:rsidDel="00000000" w:rsidR="00000000" w:rsidRPr="00000000">
        <w:rPr>
          <w:rFonts w:ascii="Arial" w:cs="Arial" w:eastAsia="Arial" w:hAnsi="Arial"/>
          <w:i w:val="1"/>
          <w:sz w:val="22"/>
          <w:szCs w:val="22"/>
          <w:vertAlign w:val="baseline"/>
          <w:rtl w:val="0"/>
        </w:rPr>
        <w:t xml:space="preserve">Nat Biotechnol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28</w:t>
      </w:r>
      <w:r w:rsidDel="00000000" w:rsidR="00000000" w:rsidRPr="00000000">
        <w:rPr>
          <w:rFonts w:ascii="Arial" w:cs="Arial" w:eastAsia="Arial" w:hAnsi="Arial"/>
          <w:sz w:val="22"/>
          <w:szCs w:val="22"/>
          <w:vertAlign w:val="baseline"/>
          <w:rtl w:val="0"/>
        </w:rPr>
        <w:t xml:space="preserve">, 817–825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77.</w:t>
        <w:tab/>
        <w:t xml:space="preserve">Hoffman, M.M. et al. Unsupervised pattern discovery in human chromatin structure through genomic segmentation. </w:t>
      </w:r>
      <w:r w:rsidDel="00000000" w:rsidR="00000000" w:rsidRPr="00000000">
        <w:rPr>
          <w:rFonts w:ascii="Arial" w:cs="Arial" w:eastAsia="Arial" w:hAnsi="Arial"/>
          <w:i w:val="1"/>
          <w:sz w:val="22"/>
          <w:szCs w:val="22"/>
          <w:vertAlign w:val="baseline"/>
          <w:rtl w:val="0"/>
        </w:rPr>
        <w:t xml:space="preserve">Submitted</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78.</w:t>
        <w:tab/>
        <w:t xml:space="preserve">Hoffman, M.M. et al. Integrative annotation of chromatin elements from ENCODE data. </w:t>
      </w:r>
      <w:r w:rsidDel="00000000" w:rsidR="00000000" w:rsidRPr="00000000">
        <w:rPr>
          <w:rFonts w:ascii="Arial" w:cs="Arial" w:eastAsia="Arial" w:hAnsi="Arial"/>
          <w:i w:val="1"/>
          <w:sz w:val="22"/>
          <w:szCs w:val="22"/>
          <w:vertAlign w:val="baseline"/>
          <w:rtl w:val="0"/>
        </w:rPr>
        <w:t xml:space="preserve">ENCODE Companion submitted to Genome Res</w:t>
      </w:r>
      <w:r w:rsidDel="00000000" w:rsidR="00000000" w:rsidRPr="00000000">
        <w:rPr>
          <w:rFonts w:ascii="Arial" w:cs="Arial" w:eastAsia="Arial" w:hAnsi="Arial"/>
          <w:sz w:val="22"/>
          <w:szCs w:val="22"/>
          <w:vertAlign w:val="baseline"/>
          <w:rtl w:val="0"/>
        </w:rPr>
        <w:t xml:space="preserve"> </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79.</w:t>
        <w:tab/>
        <w:t xml:space="preserve">Day, N., Hemmaplardh, A., Thurman, R.E., Stamatoyannopoulos, J.A. &amp; Noble, W.S. Unsupervised segmentation of continuous genomic data.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23</w:t>
      </w:r>
      <w:r w:rsidDel="00000000" w:rsidR="00000000" w:rsidRPr="00000000">
        <w:rPr>
          <w:rFonts w:ascii="Arial" w:cs="Arial" w:eastAsia="Arial" w:hAnsi="Arial"/>
          <w:sz w:val="22"/>
          <w:szCs w:val="22"/>
          <w:vertAlign w:val="baseline"/>
          <w:rtl w:val="0"/>
        </w:rPr>
        <w:t xml:space="preserve">, 1424–1426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80.</w:t>
        <w:tab/>
        <w:t xml:space="preserve">Lieberman-Aiden, E. et al. Comprehensive mapping of long-range interactions reveals folding principles of the human genome.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326</w:t>
      </w:r>
      <w:r w:rsidDel="00000000" w:rsidR="00000000" w:rsidRPr="00000000">
        <w:rPr>
          <w:rFonts w:ascii="Arial" w:cs="Arial" w:eastAsia="Arial" w:hAnsi="Arial"/>
          <w:sz w:val="22"/>
          <w:szCs w:val="22"/>
          <w:vertAlign w:val="baseline"/>
          <w:rtl w:val="0"/>
        </w:rPr>
        <w:t xml:space="preserve">, 289–293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81.</w:t>
        <w:tab/>
        <w:t xml:space="preserve">Wang, J., Lunyak, V.V. &amp; Jordan, I.K. Genome-wide prediction and analysis of human chromatin boundary elements.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(2011).doi:10.1093/nar/gkr750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82.</w:t>
        <w:tab/>
        <w:t xml:space="preserve">Pearl, J. </w:t>
      </w:r>
      <w:r w:rsidDel="00000000" w:rsidR="00000000" w:rsidRPr="00000000">
        <w:rPr>
          <w:rFonts w:ascii="Arial" w:cs="Arial" w:eastAsia="Arial" w:hAnsi="Arial"/>
          <w:i w:val="1"/>
          <w:sz w:val="22"/>
          <w:szCs w:val="22"/>
          <w:vertAlign w:val="baseline"/>
          <w:rtl w:val="0"/>
        </w:rPr>
        <w:t xml:space="preserve">Probabilistic Reasoning in Intelligent Systems: Networks of Plausible Inference</w:t>
      </w:r>
      <w:r w:rsidDel="00000000" w:rsidR="00000000" w:rsidRPr="00000000">
        <w:rPr>
          <w:rFonts w:ascii="Arial" w:cs="Arial" w:eastAsia="Arial" w:hAnsi="Arial"/>
          <w:sz w:val="22"/>
          <w:szCs w:val="22"/>
          <w:vertAlign w:val="baseline"/>
          <w:rtl w:val="0"/>
        </w:rPr>
        <w:t xml:space="preserve">. 552 (Morgan Kaufmann: 1988).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83.</w:t>
        <w:tab/>
        <w:t xml:space="preserve">Reynolds, S.M., Käll, L., Riffle, M.E., Bilmes, J.A. &amp; Noble, W.S. Transmembrane topology and signal peptide prediction using dynamic bayesian networks.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w:t>
      </w:r>
      <w:r w:rsidDel="00000000" w:rsidR="00000000" w:rsidRPr="00000000">
        <w:rPr>
          <w:rFonts w:ascii="Arial" w:cs="Arial" w:eastAsia="Arial" w:hAnsi="Arial"/>
          <w:sz w:val="22"/>
          <w:szCs w:val="22"/>
          <w:vertAlign w:val="baseline"/>
          <w:rtl w:val="0"/>
        </w:rPr>
        <w:t xml:space="preserve">, e1000213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84.</w:t>
        <w:tab/>
        <w:t xml:space="preserve">Entropic Graph Regularization in Non-Parametric Semi-Supervised Classification. 1803–1811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85.</w:t>
        <w:tab/>
        <w:t xml:space="preserve">Subramanya, A. &amp; Bilmes, J. Semi-Supervised Learning with Measure Propagation. </w:t>
      </w:r>
      <w:r w:rsidDel="00000000" w:rsidR="00000000" w:rsidRPr="00000000">
        <w:rPr>
          <w:rFonts w:ascii="Arial" w:cs="Arial" w:eastAsia="Arial" w:hAnsi="Arial"/>
          <w:i w:val="1"/>
          <w:sz w:val="22"/>
          <w:szCs w:val="22"/>
          <w:vertAlign w:val="baseline"/>
          <w:rtl w:val="0"/>
        </w:rPr>
        <w:t xml:space="preserve">J. Mach. Learn.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3311–3370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86.</w:t>
        <w:tab/>
        <w:t xml:space="preserve">Parallel Graph-Based Semi-Supervised Learning.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87.</w:t>
        <w:tab/>
        <w:t xml:space="preserve">Jee, J. et al. ACT: Aggregation and Correlation Toolbox for Analyses of Genome Tracks.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(2011).doi:10.1093/bioinformatics/btr092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88.</w:t>
        <w:tab/>
        <w:t xml:space="preserve">Alexander, R.P., Fang, G., Rozowsky, J., Snyder, M. &amp; Gerstein, M.B. Annotating non-coding regions of the genome. </w:t>
      </w:r>
      <w:r w:rsidDel="00000000" w:rsidR="00000000" w:rsidRPr="00000000">
        <w:rPr>
          <w:rFonts w:ascii="Arial" w:cs="Arial" w:eastAsia="Arial" w:hAnsi="Arial"/>
          <w:i w:val="1"/>
          <w:sz w:val="22"/>
          <w:szCs w:val="22"/>
          <w:vertAlign w:val="baseline"/>
          <w:rtl w:val="0"/>
        </w:rPr>
        <w:t xml:space="preserve">Nat Rev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11</w:t>
      </w:r>
      <w:r w:rsidDel="00000000" w:rsidR="00000000" w:rsidRPr="00000000">
        <w:rPr>
          <w:rFonts w:ascii="Arial" w:cs="Arial" w:eastAsia="Arial" w:hAnsi="Arial"/>
          <w:sz w:val="22"/>
          <w:szCs w:val="22"/>
          <w:vertAlign w:val="baseline"/>
          <w:rtl w:val="0"/>
        </w:rPr>
        <w:t xml:space="preserve">, 559–571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89.</w:t>
        <w:tab/>
        <w:t xml:space="preserve">Frey, B.J. &amp; Dueck, D. Clustering by passing messages between data points.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315</w:t>
      </w:r>
      <w:r w:rsidDel="00000000" w:rsidR="00000000" w:rsidRPr="00000000">
        <w:rPr>
          <w:rFonts w:ascii="Arial" w:cs="Arial" w:eastAsia="Arial" w:hAnsi="Arial"/>
          <w:sz w:val="22"/>
          <w:szCs w:val="22"/>
          <w:vertAlign w:val="baseline"/>
          <w:rtl w:val="0"/>
        </w:rPr>
        <w:t xml:space="preserve">, 972–976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90.</w:t>
        <w:tab/>
        <w:t xml:space="preserve">Reiss, D.J., Baliga, N.S. &amp; Bonneau, R. Integrated biclustering of heterogeneous genome-wide datasets for the inference of global regulatory networks.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280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91.</w:t>
        <w:tab/>
        <w:t xml:space="preserve">Bonneau, R. Learning biological networks: from modules to dynamics. </w:t>
      </w:r>
      <w:r w:rsidDel="00000000" w:rsidR="00000000" w:rsidRPr="00000000">
        <w:rPr>
          <w:rFonts w:ascii="Arial" w:cs="Arial" w:eastAsia="Arial" w:hAnsi="Arial"/>
          <w:i w:val="1"/>
          <w:sz w:val="22"/>
          <w:szCs w:val="22"/>
          <w:vertAlign w:val="baseline"/>
          <w:rtl w:val="0"/>
        </w:rPr>
        <w:t xml:space="preserve">Nat. Chem.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w:t>
      </w:r>
      <w:r w:rsidDel="00000000" w:rsidR="00000000" w:rsidRPr="00000000">
        <w:rPr>
          <w:rFonts w:ascii="Arial" w:cs="Arial" w:eastAsia="Arial" w:hAnsi="Arial"/>
          <w:sz w:val="22"/>
          <w:szCs w:val="22"/>
          <w:vertAlign w:val="baseline"/>
          <w:rtl w:val="0"/>
        </w:rPr>
        <w:t xml:space="preserve">, 658–664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92.</w:t>
        <w:tab/>
        <w:t xml:space="preserve">Bonneau, R. et al. The Inferelator: an algorithm for learning parsimonious regulatory networks from systems-biology data sets de novo. </w:t>
      </w:r>
      <w:r w:rsidDel="00000000" w:rsidR="00000000" w:rsidRPr="00000000">
        <w:rPr>
          <w:rFonts w:ascii="Arial" w:cs="Arial" w:eastAsia="Arial" w:hAnsi="Arial"/>
          <w:i w:val="1"/>
          <w:sz w:val="22"/>
          <w:szCs w:val="22"/>
          <w:vertAlign w:val="baseline"/>
          <w:rtl w:val="0"/>
        </w:rPr>
        <w:t xml:space="preserve">Genome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R36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93.</w:t>
        <w:tab/>
        <w:t xml:space="preserve">Cheng, C. et al. Construction and analysis of an integrated regulatory network derived from high-throughput sequencing data.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e1002190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94.</w:t>
        <w:tab/>
        <w:t xml:space="preserve">Jansen, R., Greenbaum, D. &amp; Gerstein, M. Relating whole-genome expression data with protein-protein interactions.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37–46 (2002).</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95.</w:t>
        <w:tab/>
        <w:t xml:space="preserve">Lu, L.J., Xia, Y., Paccanaro, A., Yu, H. &amp; Gerstein, M. Assessing the limits of genomic data integration for predicting protein networks.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15</w:t>
      </w:r>
      <w:r w:rsidDel="00000000" w:rsidR="00000000" w:rsidRPr="00000000">
        <w:rPr>
          <w:rFonts w:ascii="Arial" w:cs="Arial" w:eastAsia="Arial" w:hAnsi="Arial"/>
          <w:sz w:val="22"/>
          <w:szCs w:val="22"/>
          <w:vertAlign w:val="baseline"/>
          <w:rtl w:val="0"/>
        </w:rPr>
        <w:t xml:space="preserve">, 945–953 (2005).</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96.</w:t>
        <w:tab/>
        <w:t xml:space="preserve">Yu, H. &amp; Gerstein, M. Genomic analysis of the hierarchical structure of regulatory networks. </w:t>
      </w:r>
      <w:r w:rsidDel="00000000" w:rsidR="00000000" w:rsidRPr="00000000">
        <w:rPr>
          <w:rFonts w:ascii="Arial" w:cs="Arial" w:eastAsia="Arial" w:hAnsi="Arial"/>
          <w:i w:val="1"/>
          <w:sz w:val="22"/>
          <w:szCs w:val="22"/>
          <w:vertAlign w:val="baseline"/>
          <w:rtl w:val="0"/>
        </w:rPr>
        <w:t xml:space="preserve">Proc Natl Acad Sci USA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103</w:t>
      </w:r>
      <w:r w:rsidDel="00000000" w:rsidR="00000000" w:rsidRPr="00000000">
        <w:rPr>
          <w:rFonts w:ascii="Arial" w:cs="Arial" w:eastAsia="Arial" w:hAnsi="Arial"/>
          <w:sz w:val="22"/>
          <w:szCs w:val="22"/>
          <w:vertAlign w:val="baseline"/>
          <w:rtl w:val="0"/>
        </w:rPr>
        <w:t xml:space="preserve">, 14724–14731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97.</w:t>
        <w:tab/>
        <w:t xml:space="preserve">Shou, C. et al. Measuring the evolutionary rewiring of biological networks.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e1001050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98.</w:t>
        <w:tab/>
        <w:t xml:space="preserve">Friedman, R.C., Farh, K.K.-H., Burge, C.B. &amp; Bartel, D.P. Most mammalian mRNAs are conserved targets of microRNAs. </w:t>
      </w:r>
      <w:r w:rsidDel="00000000" w:rsidR="00000000" w:rsidRPr="00000000">
        <w:rPr>
          <w:rFonts w:ascii="Arial" w:cs="Arial" w:eastAsia="Arial" w:hAnsi="Arial"/>
          <w:i w:val="1"/>
          <w:sz w:val="22"/>
          <w:szCs w:val="22"/>
          <w:vertAlign w:val="baseline"/>
          <w:rtl w:val="0"/>
        </w:rPr>
        <w:t xml:space="preserve">Genome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19</w:t>
      </w:r>
      <w:r w:rsidDel="00000000" w:rsidR="00000000" w:rsidRPr="00000000">
        <w:rPr>
          <w:rFonts w:ascii="Arial" w:cs="Arial" w:eastAsia="Arial" w:hAnsi="Arial"/>
          <w:sz w:val="22"/>
          <w:szCs w:val="22"/>
          <w:vertAlign w:val="baseline"/>
          <w:rtl w:val="0"/>
        </w:rPr>
        <w:t xml:space="preserve">, 92–105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99.</w:t>
        <w:tab/>
        <w:t xml:space="preserve">Yip, K.Y., Yu, H., Kim, P.M., Schultz, M. &amp; Gerstein, M. The tYNA platform for comparative interactomics: a web tool for managing, comparing and mining multiple networks. </w:t>
      </w:r>
      <w:r w:rsidDel="00000000" w:rsidR="00000000" w:rsidRPr="00000000">
        <w:rPr>
          <w:rFonts w:ascii="Arial" w:cs="Arial" w:eastAsia="Arial" w:hAnsi="Arial"/>
          <w:i w:val="1"/>
          <w:sz w:val="22"/>
          <w:szCs w:val="22"/>
          <w:vertAlign w:val="baseline"/>
          <w:rtl w:val="0"/>
        </w:rPr>
        <w:t xml:space="preserve">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22</w:t>
      </w:r>
      <w:r w:rsidDel="00000000" w:rsidR="00000000" w:rsidRPr="00000000">
        <w:rPr>
          <w:rFonts w:ascii="Arial" w:cs="Arial" w:eastAsia="Arial" w:hAnsi="Arial"/>
          <w:sz w:val="22"/>
          <w:szCs w:val="22"/>
          <w:vertAlign w:val="baseline"/>
          <w:rtl w:val="0"/>
        </w:rPr>
        <w:t xml:space="preserve">, 2968–2970 (2006).</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100.</w:t>
        <w:tab/>
        <w:t xml:space="preserve">Yu, H., Kim, P.M., Sprecher, E., Trifonov, V. &amp; Gerstein, M. The importance of bottlenecks in protein networks: correlation with gene essentiality and expression dynamics.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e59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101.</w:t>
        <w:tab/>
        <w:t xml:space="preserve">Bhardwaj, N., Kim, P.M. &amp; Gerstein, M.B. Rewiring of transcriptional regulatory networks: hierarchy, rather than connectivity, better reflects the importance of regulators. </w:t>
      </w:r>
      <w:r w:rsidDel="00000000" w:rsidR="00000000" w:rsidRPr="00000000">
        <w:rPr>
          <w:rFonts w:ascii="Arial" w:cs="Arial" w:eastAsia="Arial" w:hAnsi="Arial"/>
          <w:i w:val="1"/>
          <w:sz w:val="22"/>
          <w:szCs w:val="22"/>
          <w:vertAlign w:val="baseline"/>
          <w:rtl w:val="0"/>
        </w:rPr>
        <w:t xml:space="preserve">Sci Signal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w:t>
      </w:r>
      <w:r w:rsidDel="00000000" w:rsidR="00000000" w:rsidRPr="00000000">
        <w:rPr>
          <w:rFonts w:ascii="Arial" w:cs="Arial" w:eastAsia="Arial" w:hAnsi="Arial"/>
          <w:sz w:val="22"/>
          <w:szCs w:val="22"/>
          <w:vertAlign w:val="baseline"/>
          <w:rtl w:val="0"/>
        </w:rPr>
        <w:t xml:space="preserve">, ra79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102.</w:t>
        <w:tab/>
        <w:t xml:space="preserve">Bhardwaj, N. et al. Analysis of combinatorial regulation: scaling of partnerships between regulators with the number of governed targets. </w:t>
      </w:r>
      <w:r w:rsidDel="00000000" w:rsidR="00000000" w:rsidRPr="00000000">
        <w:rPr>
          <w:rFonts w:ascii="Arial" w:cs="Arial" w:eastAsia="Arial" w:hAnsi="Arial"/>
          <w:i w:val="1"/>
          <w:sz w:val="22"/>
          <w:szCs w:val="22"/>
          <w:vertAlign w:val="baseline"/>
          <w:rtl w:val="0"/>
        </w:rPr>
        <w:t xml:space="preserve">PLoS Comput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e1000755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103.</w:t>
        <w:tab/>
        <w:t xml:space="preserve">Bhardwaj, N., Yan, K.-K. &amp; Gerstein, M.B. Analysis of diverse regulatory networks in a hierarchical context shows consistent tendencies for collaboration in the middle levels. </w:t>
      </w:r>
      <w:r w:rsidDel="00000000" w:rsidR="00000000" w:rsidRPr="00000000">
        <w:rPr>
          <w:rFonts w:ascii="Arial" w:cs="Arial" w:eastAsia="Arial" w:hAnsi="Arial"/>
          <w:i w:val="1"/>
          <w:sz w:val="22"/>
          <w:szCs w:val="22"/>
          <w:vertAlign w:val="baseline"/>
          <w:rtl w:val="0"/>
        </w:rPr>
        <w:t xml:space="preserve">Proc Natl Acad Sci U S 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107</w:t>
      </w:r>
      <w:r w:rsidDel="00000000" w:rsidR="00000000" w:rsidRPr="00000000">
        <w:rPr>
          <w:rFonts w:ascii="Arial" w:cs="Arial" w:eastAsia="Arial" w:hAnsi="Arial"/>
          <w:sz w:val="22"/>
          <w:szCs w:val="22"/>
          <w:vertAlign w:val="baseline"/>
          <w:rtl w:val="0"/>
        </w:rPr>
        <w:t xml:space="preserve">, 6841–6846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104.</w:t>
        <w:tab/>
        <w:t xml:space="preserve">Yan, K.-K., Fang, G., Bhardwaj, N., Alexander, R.P. &amp; Gerstein, M. Comparing genomes to computer operating systems in terms of the topology and evolution of their regulatory control networks. </w:t>
      </w:r>
      <w:r w:rsidDel="00000000" w:rsidR="00000000" w:rsidRPr="00000000">
        <w:rPr>
          <w:rFonts w:ascii="Arial" w:cs="Arial" w:eastAsia="Arial" w:hAnsi="Arial"/>
          <w:i w:val="1"/>
          <w:sz w:val="22"/>
          <w:szCs w:val="22"/>
          <w:vertAlign w:val="baseline"/>
          <w:rtl w:val="0"/>
        </w:rPr>
        <w:t xml:space="preserve">Proc Natl Acad Sci U S A</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107</w:t>
      </w:r>
      <w:r w:rsidDel="00000000" w:rsidR="00000000" w:rsidRPr="00000000">
        <w:rPr>
          <w:rFonts w:ascii="Arial" w:cs="Arial" w:eastAsia="Arial" w:hAnsi="Arial"/>
          <w:sz w:val="22"/>
          <w:szCs w:val="22"/>
          <w:vertAlign w:val="baseline"/>
          <w:rtl w:val="0"/>
        </w:rPr>
        <w:t xml:space="preserve">, 9186–9191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105.</w:t>
        <w:tab/>
        <w:t xml:space="preserve">Malmström, L. et al. Superfamily assignments for the yeast proteome through integration of structure prediction with the gene ontology. </w:t>
      </w:r>
      <w:r w:rsidDel="00000000" w:rsidR="00000000" w:rsidRPr="00000000">
        <w:rPr>
          <w:rFonts w:ascii="Arial" w:cs="Arial" w:eastAsia="Arial" w:hAnsi="Arial"/>
          <w:i w:val="1"/>
          <w:sz w:val="22"/>
          <w:szCs w:val="22"/>
          <w:vertAlign w:val="baseline"/>
          <w:rtl w:val="0"/>
        </w:rPr>
        <w:t xml:space="preserve">PLoS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e76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106.</w:t>
        <w:tab/>
        <w:t xml:space="preserve">Mu, X.J., Lu, Z.J., Kong, Y., Lam, H.Y.K. &amp; Gerstein, M.B. Analysis of genomic variation in non-coding elements using population-scale sequencing data from the 1000 Genomes Project.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39</w:t>
      </w:r>
      <w:r w:rsidDel="00000000" w:rsidR="00000000" w:rsidRPr="00000000">
        <w:rPr>
          <w:rFonts w:ascii="Arial" w:cs="Arial" w:eastAsia="Arial" w:hAnsi="Arial"/>
          <w:sz w:val="22"/>
          <w:szCs w:val="22"/>
          <w:vertAlign w:val="baseline"/>
          <w:rtl w:val="0"/>
        </w:rPr>
        <w:t xml:space="preserve">, 7058–7076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107.</w:t>
        <w:tab/>
        <w:t xml:space="preserve">1000 Genomes Project Consortium et al. A map of human genome variation from population-scale sequencing.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467</w:t>
      </w:r>
      <w:r w:rsidDel="00000000" w:rsidR="00000000" w:rsidRPr="00000000">
        <w:rPr>
          <w:rFonts w:ascii="Arial" w:cs="Arial" w:eastAsia="Arial" w:hAnsi="Arial"/>
          <w:sz w:val="22"/>
          <w:szCs w:val="22"/>
          <w:vertAlign w:val="baseline"/>
          <w:rtl w:val="0"/>
        </w:rPr>
        <w:t xml:space="preserve">, 1061–1073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108.</w:t>
        <w:tab/>
        <w:t xml:space="preserve">Altshuler, D., Daly, M.J. &amp; Lander, E.S. Genetic mapping in human disease.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322</w:t>
      </w:r>
      <w:r w:rsidDel="00000000" w:rsidR="00000000" w:rsidRPr="00000000">
        <w:rPr>
          <w:rFonts w:ascii="Arial" w:cs="Arial" w:eastAsia="Arial" w:hAnsi="Arial"/>
          <w:sz w:val="22"/>
          <w:szCs w:val="22"/>
          <w:vertAlign w:val="baseline"/>
          <w:rtl w:val="0"/>
        </w:rPr>
        <w:t xml:space="preserve">, 881–888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109.</w:t>
        <w:tab/>
        <w:t xml:space="preserve">Lango Allen, H. et al. Hundreds of variants clustered in genomic loci and biological pathways affect human height.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467</w:t>
      </w:r>
      <w:r w:rsidDel="00000000" w:rsidR="00000000" w:rsidRPr="00000000">
        <w:rPr>
          <w:rFonts w:ascii="Arial" w:cs="Arial" w:eastAsia="Arial" w:hAnsi="Arial"/>
          <w:sz w:val="22"/>
          <w:szCs w:val="22"/>
          <w:vertAlign w:val="baseline"/>
          <w:rtl w:val="0"/>
        </w:rPr>
        <w:t xml:space="preserve">, 832–838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110.</w:t>
        <w:tab/>
        <w:t xml:space="preserve">Ward, L.D. &amp; Kellis, M. HaploReg: a resource for exploring chromatin states, conservation, and regulatory motif alterations within sets of genetically linked variants. </w:t>
      </w:r>
      <w:r w:rsidDel="00000000" w:rsidR="00000000" w:rsidRPr="00000000">
        <w:rPr>
          <w:rFonts w:ascii="Arial" w:cs="Arial" w:eastAsia="Arial" w:hAnsi="Arial"/>
          <w:i w:val="1"/>
          <w:sz w:val="22"/>
          <w:szCs w:val="22"/>
          <w:vertAlign w:val="baseline"/>
          <w:rtl w:val="0"/>
        </w:rPr>
        <w:t xml:space="preserve">Nucleic Acids Res</w:t>
      </w:r>
      <w:r w:rsidDel="00000000" w:rsidR="00000000" w:rsidRPr="00000000">
        <w:rPr>
          <w:rFonts w:ascii="Arial" w:cs="Arial" w:eastAsia="Arial" w:hAnsi="Arial"/>
          <w:sz w:val="22"/>
          <w:szCs w:val="22"/>
          <w:vertAlign w:val="baseline"/>
          <w:rtl w:val="0"/>
        </w:rPr>
        <w:t xml:space="preserve"> (2011).doi:10.1093/nar/gkr917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111.</w:t>
        <w:tab/>
        <w:t xml:space="preserve">Rossin, E.J. et al. Proteins encoded in genomic regions associated with immune-mediated disease physically interact and suggest underlying biology.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7</w:t>
      </w:r>
      <w:r w:rsidDel="00000000" w:rsidR="00000000" w:rsidRPr="00000000">
        <w:rPr>
          <w:rFonts w:ascii="Arial" w:cs="Arial" w:eastAsia="Arial" w:hAnsi="Arial"/>
          <w:sz w:val="22"/>
          <w:szCs w:val="22"/>
          <w:vertAlign w:val="baseline"/>
          <w:rtl w:val="0"/>
        </w:rPr>
        <w:t xml:space="preserve">, e1001273 (2011).</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112.</w:t>
        <w:tab/>
        <w:t xml:space="preserve">Raychaudhuri, S. et al. Common variants at CD40 and other loci confer risk of rheumatoid arthritis.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40</w:t>
      </w:r>
      <w:r w:rsidDel="00000000" w:rsidR="00000000" w:rsidRPr="00000000">
        <w:rPr>
          <w:rFonts w:ascii="Arial" w:cs="Arial" w:eastAsia="Arial" w:hAnsi="Arial"/>
          <w:sz w:val="22"/>
          <w:szCs w:val="22"/>
          <w:vertAlign w:val="baseline"/>
          <w:rtl w:val="0"/>
        </w:rPr>
        <w:t xml:space="preserve">, 1216–1223 (2008).</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113.</w:t>
        <w:tab/>
        <w:t xml:space="preserve">Raychaudhuri, S. et al. Identifying relationships among genomic disease regions: predicting genes at pathogenic SNP associations and rare deletions.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5</w:t>
      </w:r>
      <w:r w:rsidDel="00000000" w:rsidR="00000000" w:rsidRPr="00000000">
        <w:rPr>
          <w:rFonts w:ascii="Arial" w:cs="Arial" w:eastAsia="Arial" w:hAnsi="Arial"/>
          <w:sz w:val="22"/>
          <w:szCs w:val="22"/>
          <w:vertAlign w:val="baseline"/>
          <w:rtl w:val="0"/>
        </w:rPr>
        <w:t xml:space="preserve">, e1000534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114.</w:t>
        <w:tab/>
        <w:t xml:space="preserve">Segrè, A.V. et al. Common inherited variation in mitochondrial genes is not enriched for associations with type 2 diabetes or related glycemic traits. </w:t>
      </w:r>
      <w:r w:rsidDel="00000000" w:rsidR="00000000" w:rsidRPr="00000000">
        <w:rPr>
          <w:rFonts w:ascii="Arial" w:cs="Arial" w:eastAsia="Arial" w:hAnsi="Arial"/>
          <w:i w:val="1"/>
          <w:sz w:val="22"/>
          <w:szCs w:val="22"/>
          <w:vertAlign w:val="baseline"/>
          <w:rtl w:val="0"/>
        </w:rPr>
        <w:t xml:space="preserve">PLoS Genet</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115.</w:t>
        <w:tab/>
        <w:t xml:space="preserve">Raychaudhuri, S. et al. Genetic variants at CD28, PRDM1 and CD2/CD58 are associated with rheumatoid arthritis risk.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41</w:t>
      </w:r>
      <w:r w:rsidDel="00000000" w:rsidR="00000000" w:rsidRPr="00000000">
        <w:rPr>
          <w:rFonts w:ascii="Arial" w:cs="Arial" w:eastAsia="Arial" w:hAnsi="Arial"/>
          <w:sz w:val="22"/>
          <w:szCs w:val="22"/>
          <w:vertAlign w:val="baseline"/>
          <w:rtl w:val="0"/>
        </w:rPr>
        <w:t xml:space="preserve">, 1313–1318 (2009).</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116.</w:t>
        <w:tab/>
        <w:t xml:space="preserve">Franke, A., McGovern, D., Barrett, J. &amp; Wang, K. Genome-wide meta-analysis increases to 71 the number of confirmed Crohn's disease susceptibility loci. </w:t>
      </w:r>
      <w:r w:rsidDel="00000000" w:rsidR="00000000" w:rsidRPr="00000000">
        <w:rPr>
          <w:rFonts w:ascii="Arial" w:cs="Arial" w:eastAsia="Arial" w:hAnsi="Arial"/>
          <w:i w:val="1"/>
          <w:sz w:val="22"/>
          <w:szCs w:val="22"/>
          <w:vertAlign w:val="baseline"/>
          <w:rtl w:val="0"/>
        </w:rPr>
        <w:t xml:space="preserve">Nature genetics</w:t>
      </w:r>
      <w:r w:rsidDel="00000000" w:rsidR="00000000" w:rsidRPr="00000000">
        <w:rPr>
          <w:rFonts w:ascii="Arial" w:cs="Arial" w:eastAsia="Arial" w:hAnsi="Arial"/>
          <w:sz w:val="22"/>
          <w:szCs w:val="22"/>
          <w:vertAlign w:val="baseline"/>
          <w:rtl w:val="0"/>
        </w:rPr>
        <w:t xml:space="preserve">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117.</w:t>
        <w:tab/>
        <w:t xml:space="preserve">Gerstein, M. Annotation of the human genome. </w:t>
      </w:r>
      <w:r w:rsidDel="00000000" w:rsidR="00000000" w:rsidRPr="00000000">
        <w:rPr>
          <w:rFonts w:ascii="Arial" w:cs="Arial" w:eastAsia="Arial" w:hAnsi="Arial"/>
          <w:i w:val="1"/>
          <w:sz w:val="22"/>
          <w:szCs w:val="22"/>
          <w:vertAlign w:val="baseline"/>
          <w:rtl w:val="0"/>
        </w:rPr>
        <w:t xml:space="preserve">Science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288</w:t>
      </w:r>
      <w:r w:rsidDel="00000000" w:rsidR="00000000" w:rsidRPr="00000000">
        <w:rPr>
          <w:rFonts w:ascii="Arial" w:cs="Arial" w:eastAsia="Arial" w:hAnsi="Arial"/>
          <w:sz w:val="22"/>
          <w:szCs w:val="22"/>
          <w:vertAlign w:val="baseline"/>
          <w:rtl w:val="0"/>
        </w:rPr>
        <w:t xml:space="preserve">, 1590 (2000).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118.</w:t>
        <w:tab/>
        <w:t xml:space="preserve">Seringhaus, M.R. &amp; Gerstein, M.B. Publishing perishing? Towards tomorrow's information architecture. </w:t>
      </w:r>
      <w:r w:rsidDel="00000000" w:rsidR="00000000" w:rsidRPr="00000000">
        <w:rPr>
          <w:rFonts w:ascii="Arial" w:cs="Arial" w:eastAsia="Arial" w:hAnsi="Arial"/>
          <w:i w:val="1"/>
          <w:sz w:val="22"/>
          <w:szCs w:val="22"/>
          <w:vertAlign w:val="baseline"/>
          <w:rtl w:val="0"/>
        </w:rPr>
        <w:t xml:space="preserve">BMC Bioinformatics</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8</w:t>
      </w:r>
      <w:r w:rsidDel="00000000" w:rsidR="00000000" w:rsidRPr="00000000">
        <w:rPr>
          <w:rFonts w:ascii="Arial" w:cs="Arial" w:eastAsia="Arial" w:hAnsi="Arial"/>
          <w:sz w:val="22"/>
          <w:szCs w:val="22"/>
          <w:vertAlign w:val="baseline"/>
          <w:rtl w:val="0"/>
        </w:rPr>
        <w:t xml:space="preserve">, 17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119.</w:t>
        <w:tab/>
        <w:t xml:space="preserve">Gerstein, M., Seringhaus, M. &amp; Fields, S. Structured digital abstract makes text mining easy. </w:t>
      </w:r>
      <w:r w:rsidDel="00000000" w:rsidR="00000000" w:rsidRPr="00000000">
        <w:rPr>
          <w:rFonts w:ascii="Arial" w:cs="Arial" w:eastAsia="Arial" w:hAnsi="Arial"/>
          <w:i w:val="1"/>
          <w:sz w:val="22"/>
          <w:szCs w:val="22"/>
          <w:vertAlign w:val="baseline"/>
          <w:rtl w:val="0"/>
        </w:rPr>
        <w:t xml:space="preserve">Nature</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447</w:t>
      </w:r>
      <w:r w:rsidDel="00000000" w:rsidR="00000000" w:rsidRPr="00000000">
        <w:rPr>
          <w:rFonts w:ascii="Arial" w:cs="Arial" w:eastAsia="Arial" w:hAnsi="Arial"/>
          <w:sz w:val="22"/>
          <w:szCs w:val="22"/>
          <w:vertAlign w:val="baseline"/>
          <w:rtl w:val="0"/>
        </w:rPr>
        <w:t xml:space="preserve">, 142 (2007).</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120.</w:t>
        <w:tab/>
        <w:t xml:space="preserve">Cheung, K.-H., Samwald, M., Auerbach, R.K. &amp; Gerstein, M.B. Structured digital tables on the Semantic Web: toward a structured digital literature. </w:t>
      </w:r>
      <w:r w:rsidDel="00000000" w:rsidR="00000000" w:rsidRPr="00000000">
        <w:rPr>
          <w:rFonts w:ascii="Arial" w:cs="Arial" w:eastAsia="Arial" w:hAnsi="Arial"/>
          <w:i w:val="1"/>
          <w:sz w:val="22"/>
          <w:szCs w:val="22"/>
          <w:vertAlign w:val="baseline"/>
          <w:rtl w:val="0"/>
        </w:rPr>
        <w:t xml:space="preserve">Mol. Syst. Biol.</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6</w:t>
      </w:r>
      <w:r w:rsidDel="00000000" w:rsidR="00000000" w:rsidRPr="00000000">
        <w:rPr>
          <w:rFonts w:ascii="Arial" w:cs="Arial" w:eastAsia="Arial" w:hAnsi="Arial"/>
          <w:sz w:val="22"/>
          <w:szCs w:val="22"/>
          <w:vertAlign w:val="baseline"/>
          <w:rtl w:val="0"/>
        </w:rPr>
        <w:t xml:space="preserve">, 403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Fonts w:ascii="Arial" w:cs="Arial" w:eastAsia="Arial" w:hAnsi="Arial"/>
          <w:sz w:val="22"/>
          <w:szCs w:val="22"/>
          <w:vertAlign w:val="baseline"/>
          <w:rtl w:val="0"/>
        </w:rPr>
        <w:t xml:space="preserve">121.</w:t>
        <w:tab/>
        <w:t xml:space="preserve">Yale Law School Roundtable on Data and Code Sharing Reproducible Research: Addressing the Need for Data and Code Sharing in Computational Science. </w:t>
      </w:r>
      <w:r w:rsidDel="00000000" w:rsidR="00000000" w:rsidRPr="00000000">
        <w:rPr>
          <w:rFonts w:ascii="Arial" w:cs="Arial" w:eastAsia="Arial" w:hAnsi="Arial"/>
          <w:i w:val="1"/>
          <w:sz w:val="22"/>
          <w:szCs w:val="22"/>
          <w:vertAlign w:val="baseline"/>
          <w:rtl w:val="0"/>
        </w:rPr>
        <w:t xml:space="preserve">Computing in Science and Engineering</w:t>
      </w:r>
      <w:r w:rsidDel="00000000" w:rsidR="00000000" w:rsidRPr="00000000">
        <w:rPr>
          <w:rFonts w:ascii="Arial" w:cs="Arial" w:eastAsia="Arial" w:hAnsi="Arial"/>
          <w:sz w:val="22"/>
          <w:szCs w:val="22"/>
          <w:vertAlign w:val="baseline"/>
          <w:rtl w:val="0"/>
        </w:rPr>
        <w:t xml:space="preserve"> </w:t>
      </w:r>
      <w:r w:rsidDel="00000000" w:rsidR="00000000" w:rsidRPr="00000000">
        <w:rPr>
          <w:rFonts w:ascii="Arial" w:cs="Arial" w:eastAsia="Arial" w:hAnsi="Arial"/>
          <w:b w:val="1"/>
          <w:sz w:val="22"/>
          <w:szCs w:val="22"/>
          <w:vertAlign w:val="baseline"/>
          <w:rtl w:val="0"/>
        </w:rPr>
        <w:t xml:space="preserve">12</w:t>
      </w:r>
      <w:r w:rsidDel="00000000" w:rsidR="00000000" w:rsidRPr="00000000">
        <w:rPr>
          <w:rFonts w:ascii="Arial" w:cs="Arial" w:eastAsia="Arial" w:hAnsi="Arial"/>
          <w:sz w:val="22"/>
          <w:szCs w:val="22"/>
          <w:vertAlign w:val="baseline"/>
          <w:rtl w:val="0"/>
        </w:rPr>
        <w:t xml:space="preserve">, 8–13 (2010).</w:t>
      </w:r>
      <w:r w:rsidDel="00000000" w:rsidR="00000000" w:rsidRPr="00000000">
        <w:rPr>
          <w:rtl w:val="0"/>
        </w:rPr>
      </w:r>
    </w:p>
    <w:p w:rsidR="00000000" w:rsidDel="00000000" w:rsidP="00000000" w:rsidRDefault="00000000" w:rsidRPr="00000000">
      <w:pPr>
        <w:widowControl w:val="0"/>
        <w:tabs>
          <w:tab w:val="left" w:pos="800"/>
        </w:tabs>
        <w:spacing w:line="240" w:lineRule="auto"/>
        <w:ind w:left="800" w:hanging="800"/>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vertAlign w:val="baseline"/>
          <w:rtl w:val="0"/>
        </w:rPr>
        <w:t xml:space="preserve">Multi-</w:t>
      </w:r>
      <w:r w:rsidDel="00000000" w:rsidR="00000000" w:rsidRPr="00000000">
        <w:rPr>
          <w:rFonts w:ascii="Arial" w:cs="Arial" w:eastAsia="Arial" w:hAnsi="Arial"/>
          <w:b w:val="1"/>
          <w:color w:val="000000"/>
          <w:sz w:val="22"/>
          <w:szCs w:val="22"/>
          <w:vertAlign w:val="baseline"/>
          <w:rtl w:val="0"/>
        </w:rPr>
        <w:t xml:space="preserve">PI LEADERSHIP PLAN</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Leadership and reporting relationships</w:t>
      </w:r>
      <w:r w:rsidDel="00000000" w:rsidR="00000000" w:rsidRPr="00000000">
        <w:rPr>
          <w:rFonts w:ascii="Arial" w:cs="Arial" w:eastAsia="Arial" w:hAnsi="Arial"/>
          <w:b w:val="1"/>
          <w:color w:val="000000"/>
          <w:sz w:val="22"/>
          <w:szCs w:val="22"/>
          <w:vertAlign w:val="baseline"/>
          <w:rtl w:val="0"/>
        </w:rPr>
        <w:t xml:space="preserve">.</w:t>
      </w:r>
      <w:r w:rsidDel="00000000" w:rsidR="00000000" w:rsidRPr="00000000">
        <w:rPr>
          <w:rFonts w:ascii="Arial" w:cs="Arial" w:eastAsia="Arial" w:hAnsi="Arial"/>
          <w:b w:val="0"/>
          <w:color w:val="000000"/>
          <w:sz w:val="22"/>
          <w:szCs w:val="22"/>
          <w:vertAlign w:val="baseline"/>
          <w:rtl w:val="0"/>
        </w:rPr>
        <w:t xml:space="preserve"> The ENCODE DAC will be led by the contact PI, Prof. Zhiping Weng; around 25% of her time will be spent on DAC/ENCODE issues. All major decisions, including hiring of personnel, budgeting, etc., will be made jointly by a three-member leadership committee consisting of Profs. Zhiping Weng, Mark Gerstein, and Manolis Kellis; each will be supported by a project manager, hired at the respective university. The remaining co-investigators (Guigo, Irizzary, Liu, and Noble) will report to the leadership committee. Finally, individual team members, including research scientists, postdocs, graduate and undergraduate students, will report to their respective co-investigators. The leadership committee as a whole will report to the AWG. This management structure is depicted in </w:t>
      </w:r>
      <w:r w:rsidDel="00000000" w:rsidR="00000000" w:rsidRPr="00000000">
        <w:rPr>
          <w:rFonts w:ascii="Arial" w:cs="Arial" w:eastAsia="Arial" w:hAnsi="Arial"/>
          <w:b w:val="1"/>
          <w:color w:val="000000"/>
          <w:sz w:val="22"/>
          <w:szCs w:val="22"/>
          <w:vertAlign w:val="baseline"/>
          <w:rtl w:val="0"/>
        </w:rPr>
        <w:t xml:space="preserve">Figure 11</w:t>
      </w:r>
      <w:r w:rsidDel="00000000" w:rsidR="00000000" w:rsidRPr="00000000">
        <w:rPr>
          <w:rFonts w:ascii="Arial" w:cs="Arial" w:eastAsia="Arial" w:hAnsi="Arial"/>
          <w:b w:val="0"/>
          <w:color w:val="000000"/>
          <w:sz w:val="22"/>
          <w:szCs w:val="22"/>
          <w:vertAlign w:val="baseline"/>
          <w:rtl w:val="0"/>
        </w:rPr>
        <w:t xml:space="preserve">.</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three project managers (supporting Profs. Weng, Gerstein and Kellis respectively) will be individuals with postdoctoral experience in bioinformatics coupled with good interpersonal skills, ideally with large-consortium experience. There are a number of excellent candidates available currently. Each project manager will spend 50% effort on managing the day-to-day activities of the DAC in the larger context of the AWG, communicating priorities, monitoring results and being accessible to all Consortium members and the NHGRI program officers at short notice. Their other 50% effort will be spent on data analysis. The project managers will be hubs of the communication network of the DAC. </w:t>
      </w:r>
    </w:p>
    <w:p w:rsidR="00000000" w:rsidDel="00000000" w:rsidP="00000000" w:rsidRDefault="00000000" w:rsidRPr="00000000">
      <w:pPr>
        <w:spacing w:after="100" w:before="0" w:line="240" w:lineRule="auto"/>
        <w:contextualSpacing w:val="0"/>
      </w:pPr>
      <w:commentRangeStart w:id="60"/>
      <w:r w:rsidDel="00000000" w:rsidR="00000000" w:rsidRPr="00000000">
        <w:rPr>
          <w:rFonts w:ascii="Arial" w:cs="Arial" w:eastAsia="Arial" w:hAnsi="Arial"/>
          <w:b w:val="0"/>
          <w:color w:val="000000"/>
          <w:sz w:val="22"/>
          <w:szCs w:val="22"/>
          <w:vertAlign w:val="baseline"/>
          <w:rtl w:val="0"/>
        </w:rPr>
        <w:t xml:space="preserve">The Weng, Gerstein, and Kellis groups will each be staffed with the equivalent of four full time persons (FTEs in </w:t>
      </w:r>
      <w:r w:rsidDel="00000000" w:rsidR="00000000" w:rsidRPr="00000000">
        <w:rPr>
          <w:rFonts w:ascii="Arial" w:cs="Arial" w:eastAsia="Arial" w:hAnsi="Arial"/>
          <w:b w:val="1"/>
          <w:color w:val="000000"/>
          <w:sz w:val="22"/>
          <w:szCs w:val="22"/>
          <w:vertAlign w:val="baseline"/>
          <w:rtl w:val="0"/>
        </w:rPr>
        <w:t xml:space="preserve">Figure 11</w:t>
      </w:r>
      <w:r w:rsidDel="00000000" w:rsidR="00000000" w:rsidRPr="00000000">
        <w:rPr>
          <w:rFonts w:ascii="Arial" w:cs="Arial" w:eastAsia="Arial" w:hAnsi="Arial"/>
          <w:b w:val="0"/>
          <w:color w:val="000000"/>
          <w:sz w:val="22"/>
          <w:szCs w:val="22"/>
          <w:vertAlign w:val="baseline"/>
          <w:rtl w:val="0"/>
        </w:rPr>
        <w:t xml:space="preserve">, including the program manager, mostly postdocs with one or two graduate students), and the remaining groups will each be staffed with one postdoc. Roughly 70% of the FTEs will perform dir ected analysis, handling both “routine” analysis and more development or pipelining tasks, rapidly changing priorities as set by the leadership committee and directed by the project managers. The remaining 30% of the personnel will develop or adapt methods of interest to the DAC. They will be assigned tasks in a longer time frame, with priorities jointly set by the leadership committee and co-investigators. </w:t>
      </w:r>
      <w:commentRangeEnd w:id="60"/>
      <w:r w:rsidDel="00000000" w:rsidR="00000000" w:rsidRPr="00000000">
        <w:commentReference w:id="60"/>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-36829</wp:posOffset>
            </wp:positionH>
            <wp:positionV relativeFrom="paragraph">
              <wp:posOffset>26670</wp:posOffset>
            </wp:positionV>
            <wp:extent cx="3215005" cy="2089785"/>
            <wp:effectExtent b="0" l="0" r="0" t="0"/>
            <wp:wrapSquare wrapText="bothSides" distB="0" distT="0" distL="114300" distR="114300"/>
            <wp:docPr id="51" name="image105.png"/>
            <a:graphic>
              <a:graphicData uri="http://schemas.openxmlformats.org/drawingml/2006/picture">
                <pic:pic>
                  <pic:nvPicPr>
                    <pic:cNvPr id="0" name="image105.png"/>
                    <pic:cNvPicPr preferRelativeResize="0"/>
                  </pic:nvPicPr>
                  <pic:blipFill>
                    <a:blip r:embed="rId115"/>
                    <a:srcRect b="0" l="0" r="0" t="0"/>
                    <a:stretch>
                      <a:fillRect/>
                    </a:stretch>
                  </pic:blipFill>
                  <pic:spPr>
                    <a:xfrm>
                      <a:off x="0" y="0"/>
                      <a:ext cx="3215005" cy="2089785"/>
                    </a:xfrm>
                    <a:prstGeom prst="rect"/>
                    <a:ln/>
                  </pic:spPr>
                </pic:pic>
              </a:graphicData>
            </a:graphic>
          </wp:anchor>
        </w:drawing>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physical proximity of Weng, Gerstein, and Kellis (~2 hours door-to-door) will greatly facilitate the interactions among the DAC members in these three groups. The groups will have monthly physical meetings, rotating among the three universities. The three program managers will be in constant communication. This close interaction will be particularly beneficial for completing analyses and formulating integration manuscripts.</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All members of the DAC are expected to participate in open discussion forums. These include:</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1.</w:t>
        <w:tab/>
        <w:t xml:space="preserve">Use of a single AWG mailing list for email discussion.</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2.</w:t>
        <w:tab/>
        <w:t xml:space="preserve">A monthly priority-setting phone conference with the AWG. </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3.</w:t>
        <w:tab/>
        <w:t xml:space="preserve">At least two physical meetings per year of the entire group, often coordinated with Consortium-wide programs, but with a day before or after the Consortium meeting dedicated to analysis tasks. In some cases, these analysis meetings will be run in a mini-jamboree mode where intensive collaborative work occurs.</w:t>
      </w:r>
    </w:p>
    <w:p w:rsidR="00000000" w:rsidDel="00000000" w:rsidP="00000000" w:rsidRDefault="00000000" w:rsidRPr="00000000">
      <w:pPr>
        <w:tabs>
          <w:tab w:val="left" w:pos="360"/>
          <w:tab w:val="left" w:pos="720"/>
        </w:tabs>
        <w:spacing w:after="10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4.</w:t>
        <w:tab/>
        <w:t xml:space="preserve">All postdocs, students, and project managers will have Skype-based voice and instant messaging active during their working hours, allowing for quick and spontaneous interactions.</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Chairing of AWG calls. We will adopt the current chairing structure of the ENCODE PI calls for the AWG calls, with an incoming, outgoing, and incumbent chair, rotating the chair amongst Weng, Gerstein, and Kellis. This arrangement will ensure continuity between the calls, with a specific PI being responsible for action items raised during the previous call, and those items to be raised during the next call. </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Integration of production efforts</w:t>
      </w:r>
      <w:r w:rsidDel="00000000" w:rsidR="00000000" w:rsidRPr="00000000">
        <w:rPr>
          <w:rFonts w:ascii="Arial" w:cs="Arial" w:eastAsia="Arial" w:hAnsi="Arial"/>
          <w:b w:val="1"/>
          <w:color w:val="000000"/>
          <w:sz w:val="22"/>
          <w:szCs w:val="22"/>
          <w:vertAlign w:val="baseline"/>
          <w:rtl w:val="0"/>
        </w:rPr>
        <w:t xml:space="preserve">.</w:t>
      </w:r>
      <w:r w:rsidDel="00000000" w:rsidR="00000000" w:rsidRPr="00000000">
        <w:rPr>
          <w:rFonts w:ascii="Arial" w:cs="Arial" w:eastAsia="Arial" w:hAnsi="Arial"/>
          <w:b w:val="0"/>
          <w:color w:val="000000"/>
          <w:sz w:val="22"/>
          <w:szCs w:val="22"/>
          <w:vertAlign w:val="baseline"/>
          <w:rtl w:val="0"/>
        </w:rPr>
        <w:t xml:space="preserve">  We will begin the ENCODE DAC activities with a two-day project launch meeting that involves all of the funded members of the DAC, with representation from the funded DCC. This meeting will provide scientific background for new members of the Consortium, establish shared expectations among the co-investigators and the leadership team, and clarify individual roles within the larger AWG effort.</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Thereafter, as in the current phase of ENCODE, the project managers of the DAC will organize a weekly, minuted conference call. Scientific presentations will be made by each funded lab on a rotating basis.  Attendance at this conference call will be mandatory for all funded members of the DAC.  </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Project documentation will be managed via the ENCODE Wiki, which will include a copy of the chart shown in Figure 11, as well as a list of all funded personnel. The Wiki will include one page dedicated to each participating group. These team-specific pages will serve as the primary reporting mechanism for each subcontract. Each page will be organized chronologically, and will include links to presentations made on the weekly conference calls, results of interim analyses, in-progress or submitted manuscripts, etc.</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To maintain clarity about the direction of the DAC and to identify potential problems quickly, the project managers will conduct a survey of the entire AWG every six months.  The survey will be brief, with the aim of gathering feedback for the leadership committee regarding what aspects of the project are working well, what aspects the members would like to see change, specific feedback for the leadership committee, and an overall rating of the effectiveness of the group. This survey will be anonymous, but participation by all funded members of the DAC will be required. A summary of the survey results will be shared with the whole group.</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At the start of the project, we will recruit three individuals to form a scientific advisory board for the DAC. The SAB members will attend one DAC/AWG meeting annually and will thereafter provide written feedback to the leadership committee concerning both scientific and managerial issues.  The SAB will also be available to assist in adjudicating disputes that may arise within the DAC.</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Conflict Resolution. Most issues will be resolved by calls and meetings between the three members of the leadership committee. We will have a standing weekly 30-minute call where all issues arising will be brought up, discussed and resolved. Each member of the DAC will be able to contact any of the three members of the leadership committee, with the guarantee that any concerns will be brought up anonymously. Similarly, all members of the AWG will be able to address any concern they have anonymously to any member of the leadership committee. Similarly, the NHGRI will be able to raise its concerns with the leadership committee. Contentious issues about which complete agreement is not immediately reached among the three members of the leadership committee will be brought forward to the ENCODE steering committee for discussion. If agreement is not reached, the steering committee will cast an anonymous vote to resolve the issue.</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Budget reassignments. Budget adjustments will be made yearly based on productivity of each member of the DAC and shifting priorities of the Consortium. This will only happen will full agreement of all three members of the leadership committee, and after notification of the NHGRI staff.</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Allocation of reserved funds for existing and additional investigators. We have budgeted the equivalent funding for 25% of co-investigator effort and three postdoc-level FTEs (the TBN co-investigator box and three unconnected boxes in </w:t>
      </w:r>
      <w:r w:rsidDel="00000000" w:rsidR="00000000" w:rsidRPr="00000000">
        <w:rPr>
          <w:rFonts w:ascii="Arial" w:cs="Arial" w:eastAsia="Arial" w:hAnsi="Arial"/>
          <w:b w:val="1"/>
          <w:color w:val="000000"/>
          <w:sz w:val="22"/>
          <w:szCs w:val="22"/>
          <w:vertAlign w:val="baseline"/>
          <w:rtl w:val="0"/>
        </w:rPr>
        <w:t xml:space="preserve">Figure 11</w:t>
      </w:r>
      <w:r w:rsidDel="00000000" w:rsidR="00000000" w:rsidRPr="00000000">
        <w:rPr>
          <w:rFonts w:ascii="Arial" w:cs="Arial" w:eastAsia="Arial" w:hAnsi="Arial"/>
          <w:b w:val="0"/>
          <w:color w:val="000000"/>
          <w:sz w:val="22"/>
          <w:szCs w:val="22"/>
          <w:vertAlign w:val="baseline"/>
          <w:rtl w:val="0"/>
        </w:rPr>
        <w:t xml:space="preserve">), to be allocated in two ways. First, we envision the need to recruit new investigators as new areas of expertise are required. The decision to recruit additional members will be made upon full agreement of the leadership committee, in consultation with the NHGRI and the head of the AWG. Subcontracts will be made for six-month intervals and will be extended contingent upon successful progress and meeting deliverables. Subcontracts will be terminated only after full agreement of all three members of the leadership committee. Second, the five participating groups (Guigo, Irizarry, Liu, Kun</w:t>
      </w:r>
      <w:r w:rsidDel="00000000" w:rsidR="00000000" w:rsidRPr="00000000">
        <w:rPr>
          <w:rFonts w:ascii="Arial" w:cs="Arial" w:eastAsia="Arial" w:hAnsi="Arial"/>
          <w:sz w:val="22"/>
          <w:szCs w:val="22"/>
          <w:rtl w:val="0"/>
        </w:rPr>
        <w:t xml:space="preserve">daje </w:t>
      </w:r>
      <w:r w:rsidDel="00000000" w:rsidR="00000000" w:rsidRPr="00000000">
        <w:rPr>
          <w:rFonts w:ascii="Arial" w:cs="Arial" w:eastAsia="Arial" w:hAnsi="Arial"/>
          <w:b w:val="0"/>
          <w:color w:val="000000"/>
          <w:sz w:val="22"/>
          <w:szCs w:val="22"/>
          <w:vertAlign w:val="baseline"/>
          <w:rtl w:val="0"/>
        </w:rPr>
        <w:t xml:space="preserve">and Noble) are each staffed with one postdoc, which represents the baseline effort and lower than the effort level per group in the current ENCODE DAC because we do not know yet which production groups are going to be funded in the next round of ENCODE. When we obtain the information of the funded production groups, we will be able to assess the number of data types and amount of data in each type, and provide additional FTEs to the groups with the matching expertise.</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1"/>
          <w:color w:val="000000"/>
          <w:sz w:val="22"/>
          <w:szCs w:val="22"/>
          <w:vertAlign w:val="baseline"/>
          <w:rtl w:val="0"/>
        </w:rPr>
        <w:t xml:space="preserve">Risk assessment and Leadership</w:t>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 proposed management structure is designed to achieve multiple aims simultaneously. On the one hand, having a single PI ensures consistency and provides a single point of contact for the NHGRI, the AWG, the DCC, and the production PIs. On the other hand, no single individual has the scientific, computational and statistical expertise to span the entire range of DAC activities. Accordingly, the leadership committee brings together three co-leaders with complementary strengths and very broad expertise. Furthermore, this joint leadership plan will likely provide greater responsiveness to the many partners involved than would a single, overworked PI trying to lead the whole DAC. Indeed, one of the primary goals of the reporting mechanisms and conflict resolution procedures outlined above is to maintain clarity, efficiency, and agility about the changing priorities of the various Consortium members, including the ENCODE data production labs, the AWG, the DCC, the DAC and the NHGRI. In particular, it will be critical to balance the scientific expertise and interests of the various DAC co-investigators with the needs of the Consortium to ensure that we are achieving our aims. </w:t>
      </w:r>
    </w:p>
    <w:p w:rsidR="00000000" w:rsidDel="00000000" w:rsidP="00000000" w:rsidRDefault="00000000" w:rsidRPr="00000000">
      <w:pPr>
        <w:spacing w:after="0" w:before="0" w:line="240" w:lineRule="auto"/>
        <w:contextualSpacing w:val="0"/>
      </w:pPr>
      <w:r w:rsidDel="00000000" w:rsidR="00000000" w:rsidRPr="00000000">
        <w:rPr>
          <w:rFonts w:ascii="Arial" w:cs="Arial" w:eastAsia="Arial" w:hAnsi="Arial"/>
          <w:b w:val="0"/>
          <w:color w:val="000000"/>
          <w:sz w:val="22"/>
          <w:szCs w:val="22"/>
          <w:vertAlign w:val="baseline"/>
          <w:rtl w:val="0"/>
        </w:rPr>
        <w:t xml:space="preserve">There are a number of potential risks that a project of this size and complexity could encounter. We have discussed these in the group and feel that all the risks can be mitigated or handled appropriately if they occur.</w:t>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1.</w:t>
        <w:tab/>
        <w:t xml:space="preserve">Inefficient collaboration due to geographical separation. This problem is unlikely to occur, mainly because five of the eight groups are located within 100 miles and six groups (including the two distal groups Noble and Guigo) have been working together in the ENCODE/modENCODE Project. In addition, monthly phone calls (rising in tempo during publication drives) coupled with pervasive VoIP/instant messaging will provide a strong sense of virtual community. If one group is not responsive or integrating with others, we will discuss the issue at the PI level first, followed by personnel visits to encourage networking and integration. If the problem persists, the leadership committee will discuss it with the PIs involved together with the NHGRI program director. In the extremely unlikely scenario that there is a truly intransigent group, which is hard to imagine given the DAC membership, we would consider withdrawing funds from this group upon the NHGRI consent.</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2.</w:t>
        <w:tab/>
        <w:t xml:space="preserve">DAC groupthink excluding input from other groups. This problem is unlikely to occur because of our track record in working openly with all groups and the genuine collaborative nature we take to solving problems. The presence of the AWG to provide independent input and prioritization is a formal mechanism to ensure the DAC groups do not become a closed club. We are also happy to work with the NHGRI program directors to implement other approaches if desired. Equally important will be informal aspects of our openness to collaboration. All DAC discussions will be open to all members of the Consortium.  </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3.</w:t>
        <w:tab/>
        <w:t xml:space="preserve">Too many tasks from the AWG or switching of priorities too rapidly. We believe there is an appreciable risk that there will be a far larger task list than the DAC can accomondate, requiring tough prioritization decisions. The transparency of our process is critical here, as the AWG will need to set sensible priorities with some month-to-month consistency. It will be critical to build a high level of trust between the AWG and the DAC early in the project, before complex prioritization becomes an issue. Again, given that six of the groups are existing members of the ENCODE/modENCODE Consortium, there is already considerable trust between these groups and the AWG. </w:t>
      </w:r>
      <w:r w:rsidDel="00000000" w:rsidR="00000000" w:rsidRPr="00000000">
        <w:rPr>
          <w:rtl w:val="0"/>
        </w:rPr>
      </w:r>
    </w:p>
    <w:p w:rsidR="00000000" w:rsidDel="00000000" w:rsidP="00000000" w:rsidRDefault="00000000" w:rsidRPr="00000000">
      <w:pPr>
        <w:tabs>
          <w:tab w:val="left" w:pos="360"/>
          <w:tab w:val="left" w:pos="720"/>
        </w:tabs>
        <w:spacing w:after="0" w:before="0" w:line="240" w:lineRule="auto"/>
        <w:ind w:left="720" w:hanging="360"/>
        <w:contextualSpacing w:val="0"/>
      </w:pPr>
      <w:r w:rsidDel="00000000" w:rsidR="00000000" w:rsidRPr="00000000">
        <w:rPr>
          <w:rFonts w:ascii="Arial" w:cs="Arial" w:eastAsia="Arial" w:hAnsi="Arial"/>
          <w:b w:val="0"/>
          <w:color w:val="000000"/>
          <w:sz w:val="22"/>
          <w:szCs w:val="22"/>
          <w:vertAlign w:val="baseline"/>
          <w:rtl w:val="0"/>
        </w:rPr>
        <w:t xml:space="preserve">4.</w:t>
        <w:tab/>
        <w:t xml:space="preserve">Too few tasks from the AWG. This is a potential issue at the start of the project, but there is a healthy list of pipelining tasks that will provide infrastructure later. ENCODE datasets are accumulating rapidly, so there are a lot of data to provide input into sensible biological questions early on.</w:t>
      </w: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tl w:val="0"/>
        </w:rPr>
      </w:r>
    </w:p>
    <w:p w:rsidR="00000000" w:rsidDel="00000000" w:rsidP="00000000" w:rsidRDefault="00000000" w:rsidRPr="00000000">
      <w:pPr>
        <w:spacing w:after="100" w:before="0" w:line="240" w:lineRule="auto"/>
        <w:contextualSpacing w:val="0"/>
      </w:pPr>
      <w:r w:rsidDel="00000000" w:rsidR="00000000" w:rsidRPr="00000000">
        <w:rPr>
          <w:rFonts w:ascii="Arial" w:cs="Arial" w:eastAsia="Arial" w:hAnsi="Arial"/>
          <w:b w:val="1"/>
          <w:sz w:val="22"/>
          <w:szCs w:val="22"/>
          <w:rtl w:val="0"/>
        </w:rPr>
        <w:t xml:space="preserve">Old Section 3:</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ff00ff"/>
          <w:sz w:val="12"/>
          <w:szCs w:val="12"/>
          <w:rtl w:val="0"/>
        </w:rPr>
        <w:t xml:space="preserve">,,,,,keeppar </w:t>
      </w:r>
      <w:r w:rsidDel="00000000" w:rsidR="00000000" w:rsidRPr="00000000">
        <w:rPr>
          <w:rFonts w:ascii="Arial" w:cs="Arial" w:eastAsia="Arial" w:hAnsi="Arial"/>
          <w:color w:val="999999"/>
          <w:sz w:val="12"/>
          <w:szCs w:val="12"/>
          <w:rtl w:val="0"/>
        </w:rPr>
        <w:t xml:space="preserve">The wealth of data from the ENCODE Project will lead to biological insights only if well-defined analyses are performed with appropriate computational methods in a reasoned priority. The large number of possible analyses could lead to confusion or even stagnation if not prioritized wisely. Thus, the design of the DAC has placed a strong emphasis on posing questions that are potentially the most informative and prioritizing the work flow. The AWG is responsible for selecting the questions to be addressed and solved. This will be done in consultation with the DAC, which will provide feedback on feasibility, resource requirements, time-lines, etc. The DCC and data producers also play important roles in selecting the questions. The AWG includes other members, such as the production PIs, bioinformatics members of the production groups, members of the U01 groups interested in participating in integrative analysis, and other informatics groups loosely associated with the Consortium. The DAC will work on analyses formulated by the AWG, coordinating closely with the DCC and data producers, and to some extent with the computational groups funded by the U01s. The types and details of the analyses will be determined during the course of the project, and we provide example analyses throughout this proposal.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ff00ff"/>
          <w:sz w:val="12"/>
          <w:szCs w:val="12"/>
          <w:rtl w:val="0"/>
        </w:rPr>
        <w:t xml:space="preserve">,,,nokeep</w:t>
      </w:r>
      <w:r w:rsidDel="00000000" w:rsidR="00000000" w:rsidRPr="00000000">
        <w:rPr>
          <w:rFonts w:ascii="Arial" w:cs="Arial" w:eastAsia="Arial" w:hAnsi="Arial"/>
          <w:color w:val="999999"/>
          <w:sz w:val="12"/>
          <w:szCs w:val="12"/>
          <w:rtl w:val="0"/>
        </w:rPr>
        <w:t xml:space="preserve"> The interactions among AWG, DAC, DCC, production groups, and interested U01-funded analysis groups are best explained in the context of the entire work-flow for DAC, from experimental data through to analysis results. Much of the initial specific analysis of each dataset will occur by the appropriate production group, e.g., peak finding in ChIP-seq data and transcript identification in RNA-seq data. The DAC aims to establish specific contacts with the bioinformaticians in each production group and the DCC, in order to keep up-to-date with the nuances of the specific data types which can benefit integrative analysis. Furthermore, the DAC can assist the primary analysis in several ways: controlling data quality, maintaining data format consistency, and providing analysis pipelines.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ff00ff"/>
          <w:sz w:val="12"/>
          <w:szCs w:val="12"/>
          <w:rtl w:val="0"/>
        </w:rPr>
        <w:t xml:space="preserve">,,,,,keeppar</w:t>
      </w:r>
      <w:r w:rsidDel="00000000" w:rsidR="00000000" w:rsidRPr="00000000">
        <w:rPr>
          <w:rFonts w:ascii="Arial" w:cs="Arial" w:eastAsia="Arial" w:hAnsi="Arial"/>
          <w:color w:val="999999"/>
          <w:sz w:val="12"/>
          <w:szCs w:val="12"/>
          <w:rtl w:val="0"/>
        </w:rPr>
        <w:t xml:space="preserve"> Moving beyond the primary data processing, the main source of work will be biological questions or analysis directions posed by the AWG. The DAC leadership committee (Profs. Weng, Kellis, and Gerstein) will assign them to a group for investigation and determination of whether there are existing methods that have both appropriate statistics and are scalable to genome-wide techniques. When an existing method is appropriate, the analysis will be run. Depending on the type of the analysis, the results will be reported either as data integrated into the genome browser and/or a new pipelined approach provided for regular use by all users, in particular other members of the ENCODE Consortium.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For some questions, new statistical methods are required as some existing methods do not scale for genome-wide datasets. We may be able to draw upon the strengths of some U01 groups. An example is Prof. Peter Bickel or Prof. David Gifford. In these cases we will invite these U01 groups to perform or participate in the analysis. For other questions, we will create a small group of DAC members to focus on the problem, in many cases starting with developing new statistical methods, followed by algorithmic/engineering analysis for genome-wide scalability. The statistical methods are likely to be novel applications of the broad collection of statistical and machine-learning tool kits, but the precise outline of what models to build and test requires a complex interaction between statisticians, bioinformaticians, and biologists. Once a new method has been successfully created and scales well, this method can then be appropriately pipelined. Some problems will require us to recruit expertise outside the Consortium. We have established a procedure to invite outside investigators to join the AWG and fund some of their efforts through the DAC (see the PI Leadership Plan).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We expect to quickly have more tasks than resources, in particular because we expect to have a steady flow of tasks to change existing ad hoc analysis schemes into methods that can either be pipelined or provided as end-user tools. As the number of questions posed by the AWG mounts, they will need prioritization. We will schedule our work in a completely transparent manner, with any priority disputes being resolved, and with the AWG having the final say on priorities. Figure XXX outlines the management of the prioritized list of tasks being performed by the DAC.</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ff00ff"/>
          <w:sz w:val="12"/>
          <w:szCs w:val="12"/>
          <w:rtl w:val="0"/>
        </w:rPr>
        <w:t xml:space="preserve">,,,,,keeppar</w:t>
      </w:r>
      <w:r w:rsidDel="00000000" w:rsidR="00000000" w:rsidRPr="00000000">
        <w:rPr>
          <w:rFonts w:ascii="Arial" w:cs="Arial" w:eastAsia="Arial" w:hAnsi="Arial"/>
          <w:color w:val="999999"/>
          <w:sz w:val="12"/>
          <w:szCs w:val="12"/>
          <w:rtl w:val="0"/>
        </w:rPr>
        <w:t xml:space="preserve"> As in the current phase of ENCODE, we will organize a weekly conference call for the entire AWG. The call at the beginning of each month will be open to any member of the Consortium and used to report progress from the previous month and discuss the prioritization of the active tasks. DAC members will provide estimates on the relative “cost” of each task, and the optimal groups to handle each task. New tasks are generated by the AWG and by DAC members suggesting new pipelining or engineering approaches to make existing ad hoc methods more robust. Although the DAC members can suggest tasks and obviously must be involved in the assessment of matching tasks to groups, we will strictly enforce the prioritization by the AWG to ensure that the DAC does the analysis the Consortium needs.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The DAC will ensure openness by inclusiveness in its working practices and a formal prioritization process from the AWG. To ensure inclusiveness, the DAC will conduct all meetings in formats that allow any ENCODE Consortium member to join and participate as equal members in the analysis. The progress of analysis will be posted on the ENCODE Wiki, again allowing complete access by other Consortium members. The progress of DAC analysis tasks will be reviewed and future priorities set in an open forum with the AWG and related ENCODE Consortium members, under the working principle that the AWG is the final arbiter of any priority dispute. DAC members will be available, given practicalities, for any AWG-proposed meeting. AWG phone calls will be chaired by the three members of the DAC leadership committee, with the three members changing their roles between incoming, outgoing, and incumbent chairs in a weekly rotation. This structure is modelled on the existing ENCODE PI calls and has proven to work effectively.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The members and leadership of the proposed DAC recognize that the proposed work flow and management is quite different than the usual mode of working on investigator-initiated projects. The DAC will be responsive to a wide range of inputs, with problems defined and prioritized by the AWG, close coordination with the DCC, and inclusion of other members of the ENCODE Consortium and others with needed expertise. We will organize annual data analysis workshops to bring together researchers from both inside and outside of the Consortium including the data producers, experts in data analysis, and experts in the biology of different classes of functional elements for face-to-face interactions to promote better data analysis. We expect that these interactions will be collegial and that the expertise and experience of the DAC members will be weighed favorably as the AWG establishes priorities. Indeed, this community-based approach to problem solving will be exciting and lead to insights that may not be obtained in studies by single investigators. Below we summarize the intended interactions between the DAC and various entities in and beyond the ENCODE Consortium:</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AWG:</w:t>
      </w:r>
      <w:r w:rsidDel="00000000" w:rsidR="00000000" w:rsidRPr="00000000">
        <w:rPr>
          <w:rFonts w:ascii="Arial" w:cs="Arial" w:eastAsia="Arial" w:hAnsi="Arial"/>
          <w:color w:val="999999"/>
          <w:sz w:val="12"/>
          <w:szCs w:val="12"/>
          <w:rtl w:val="0"/>
        </w:rPr>
        <w:t xml:space="preserve"> DAC members are active participants of the AWG, and the goal of the DAC is to perform and facilitate the analyses defined by the AWG. The DAC will assist the AWG in defining and prioritizing the tasks, performing the tasks in the most efficient and thorough manner, reporting analysis progress, and disseminating analysis results.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Production groups and U01 groups:</w:t>
      </w:r>
      <w:r w:rsidDel="00000000" w:rsidR="00000000" w:rsidRPr="00000000">
        <w:rPr>
          <w:rFonts w:ascii="Arial" w:cs="Arial" w:eastAsia="Arial" w:hAnsi="Arial"/>
          <w:color w:val="999999"/>
          <w:sz w:val="12"/>
          <w:szCs w:val="12"/>
          <w:rtl w:val="0"/>
        </w:rPr>
        <w:t xml:space="preserve"> A challenge in the AWG will be to coordinate between the diversity of groups participating in analysis, and to ensure not only that each planned analysis is successfully completed, but also that there is minimal replication of effort between different groups. Achieving these goals will require constant communication between the different members of the AWG. DAC members will work closely with each production group and the U01 analysis groups to coordinate analysis goals, plan deliverables, establish milestones, and ensure that different groups build on each other’s results. In particular, we will work with the PIs of the production groups who are ideally situated for understanding the subtleties of their datasets to establish optimal protocols, sequencing depth, and number of biological and technical replicates, and agree upon uniform processing pipelines based on the statistical expertise of the DAC and the AWG and the particularities of each data type. We will also work with the PIs of the production groups to establish goals for integrative analysis, and the specific integration plan for each type of data, interpret the analysis results, and adjust analysis goals based on their biological interpretation.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DCC:</w:t>
      </w:r>
      <w:r w:rsidDel="00000000" w:rsidR="00000000" w:rsidRPr="00000000">
        <w:rPr>
          <w:rFonts w:ascii="Arial" w:cs="Arial" w:eastAsia="Arial" w:hAnsi="Arial"/>
          <w:color w:val="999999"/>
          <w:sz w:val="12"/>
          <w:szCs w:val="12"/>
          <w:rtl w:val="0"/>
        </w:rPr>
        <w:t xml:space="preserve"> The DAC and DCC components of the EDCAC will work together on several issues, with five examples listed here. (1) Perform uniform primary processing of datasets and establish a single processing pipeline to be run by the DCC component on all datasets; (2) Establish uniform naming schemes for all datasets, a transparent directory structure, and ways to access the datasets; (3) Determine data processing priorities for data freezes and data quality standards for accepting and posting individual datasets; (4) Build a common computing platform for running common tools on all datasets; and (5) Disseminate the analysis results of the DAC.</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NHGRI:</w:t>
      </w:r>
      <w:r w:rsidDel="00000000" w:rsidR="00000000" w:rsidRPr="00000000">
        <w:rPr>
          <w:rFonts w:ascii="Arial" w:cs="Arial" w:eastAsia="Arial" w:hAnsi="Arial"/>
          <w:color w:val="999999"/>
          <w:sz w:val="12"/>
          <w:szCs w:val="12"/>
          <w:rtl w:val="0"/>
        </w:rPr>
        <w:t xml:space="preserve"> On a regular basis, the DAC will update the ENCODE Consortium and the NHGRI on the progress towards completion of the comprehensive catalog of functional elements. We will also provide quarterly reports that will allow assessment of progress towards achieving DAC goals.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Additional informatics groups outside the Consortium:</w:t>
      </w:r>
      <w:r w:rsidDel="00000000" w:rsidR="00000000" w:rsidRPr="00000000">
        <w:rPr>
          <w:rFonts w:ascii="Arial" w:cs="Arial" w:eastAsia="Arial" w:hAnsi="Arial"/>
          <w:color w:val="999999"/>
          <w:sz w:val="12"/>
          <w:szCs w:val="12"/>
          <w:rtl w:val="0"/>
        </w:rPr>
        <w:t xml:space="preserve"> We will identify areas of expertise not represented in the AWG, and will invite outside investigators to join AWG analyses when necessary. We have specifically budgeted funding for the DAC to support some of these efforts. Candidates will be discussed among the DAC investigators and the AWG head, with the final decision made by the DAC leadership committee in consultation with the NHGRI.</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12"/>
          <w:szCs w:val="12"/>
          <w:highlight w:val="magenta"/>
          <w:u w:val="single"/>
          <w:rtl w:val="0"/>
        </w:rPr>
        <w:t xml:space="preserve">[[cut this b/c it's in 1.7]] </w:t>
      </w:r>
      <w:r w:rsidDel="00000000" w:rsidR="00000000" w:rsidRPr="00000000">
        <w:rPr>
          <w:rFonts w:ascii="Arial" w:cs="Arial" w:eastAsia="Arial" w:hAnsi="Arial"/>
          <w:color w:val="999999"/>
          <w:sz w:val="12"/>
          <w:szCs w:val="12"/>
          <w:u w:val="single"/>
          <w:rtl w:val="0"/>
        </w:rPr>
        <w:t xml:space="preserve">Other large consortia and outside production groups with complementary datasets:</w:t>
      </w:r>
      <w:r w:rsidDel="00000000" w:rsidR="00000000" w:rsidRPr="00000000">
        <w:rPr>
          <w:rFonts w:ascii="Arial" w:cs="Arial" w:eastAsia="Arial" w:hAnsi="Arial"/>
          <w:color w:val="999999"/>
          <w:sz w:val="12"/>
          <w:szCs w:val="12"/>
          <w:rtl w:val="0"/>
        </w:rPr>
        <w:t xml:space="preserve"> In addition to the ENCODE project, several large consortia are involved in systematic data generation activities involving the human genome, resulting in a wealth of functional information that would be of great value to ENCODE integrative analyses. We will work with the scientific leadership and analysis groups of each consortium to ensure that our analysis plans are synergistic, and to ensure mutual understanding of data use policies, embargo dates, and coordination in our published analyses. In addition to consortia, we will work with individual labs that systematically generate large-scale datasets of significant value to the ENCODE Project, based on the priorities set forth by the AWG, the ENCODE PIs and co-PIs, and the NHGRI. </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color w:val="999999"/>
          <w:sz w:val="12"/>
          <w:szCs w:val="12"/>
          <w:u w:val="single"/>
          <w:rtl w:val="0"/>
        </w:rPr>
        <w:t xml:space="preserve">3.2 Provide shared computational guidelines and infrastructure for data processing, common analysis tasks, and data exchange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To successfully accomplish the integrative analyses required in a consortium as diverse and complex as ENCODE, great care must be taken to ensure that in addition to uniform data production standards, uniform data processing standards are established and followed during each step of the analysis, in consultation with the AWG.</w:t>
      </w:r>
      <w:r w:rsidDel="00000000" w:rsidR="00000000" w:rsidRPr="00000000">
        <w:rPr>
          <w:rFonts w:ascii="Arial" w:cs="Arial" w:eastAsia="Arial" w:hAnsi="Arial"/>
          <w:b w:val="1"/>
          <w:i w:val="1"/>
          <w:color w:val="999999"/>
          <w:sz w:val="12"/>
          <w:szCs w:val="12"/>
          <w:rtl w:val="0"/>
        </w:rPr>
        <w:t xml:space="preserve"> </w:t>
      </w: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We have worked closely with the AWG and DCC to ensure that common analysis tasks are standardized. Such tasks include processing of RNA-seq datasets (short-read sequencing of mRNA), peak calling in ChIP-seq datasets (chromatin immunoprecipitation followed by deep sequencing), DNAme, and the identification of sequence motifs and transcription factor (TF) binding sites from TF ChIP-seq data. We will develop and evaluate different analysis methods for such frequently performed tasks, provide sound statistics for selecting among them, and work with the AWG to ensure uniformity in subsequent processing of each data type using the selected methods. The vast majority of ENCODE data is based on deep sequencing, a technology that only became widely practiced in the past few years. This presents potential biases and errors not yet completely understood, and thus we discuss plans for assessing the quality of ENCODE data. Lastly, we will work closely with the DCC to facilitate data import, access, and uniformity between ENCODE and the larger community. We will ensure that relevant public datasets are available in a common repository and in uniform formats to ENCODE members. We will also ensure that all analysis results by ENCODE members are shared with the larger community, in accordance with the software guideline.</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Below, we describe two examples: RNA-seq data for transcript annotation, and ChIP-seq data for TF binding and chromatin marks.</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References for DNA methyaltion section</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 </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1.     </w:t>
        <w:tab/>
        <w:t xml:space="preserve">Hansen, K.D., Langmead, B. &amp; Irizarry, R.A. BSmooth: from whole genome bisulfite sequencing reads to differentially methylated regions.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13, R83 (2012).</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2.     </w:t>
        <w:tab/>
        <w:t xml:space="preserve">Wu, H. et al. Detection of differentially methylated regions from whole-genome bisulfite sequencing data without replicates. </w:t>
      </w:r>
      <w:r w:rsidDel="00000000" w:rsidR="00000000" w:rsidRPr="00000000">
        <w:rPr>
          <w:rFonts w:ascii="Arial" w:cs="Arial" w:eastAsia="Arial" w:hAnsi="Arial"/>
          <w:i w:val="1"/>
          <w:sz w:val="12"/>
          <w:szCs w:val="12"/>
          <w:highlight w:val="white"/>
          <w:rtl w:val="0"/>
        </w:rPr>
        <w:t xml:space="preserve">Nucleic acids research</w:t>
      </w:r>
      <w:r w:rsidDel="00000000" w:rsidR="00000000" w:rsidRPr="00000000">
        <w:rPr>
          <w:rFonts w:ascii="Arial" w:cs="Arial" w:eastAsia="Arial" w:hAnsi="Arial"/>
          <w:sz w:val="12"/>
          <w:szCs w:val="12"/>
          <w:highlight w:val="white"/>
          <w:rtl w:val="0"/>
        </w:rPr>
        <w:t xml:space="preserve"> 43, e141 (2015).</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3.     </w:t>
        <w:tab/>
        <w:t xml:space="preserve">Sun, D. et al. MOABS: model based analysis of bisulfite sequencing data.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15, R38 (2014).</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4.     </w:t>
        <w:tab/>
        <w:t xml:space="preserve">Lee, W. &amp; Morris, J.S. Identification of Differentially Methylated Loci Using Wavelet-Based Functional Mixed Models.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(2015).</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5.     </w:t>
        <w:tab/>
        <w:t xml:space="preserve">Dolzhenko, E. &amp; Smith, A.D. Using beta-binomial regression for high-precision differential methylation analysis in multifactor whole genome bisulfite sequencing experiments. </w:t>
      </w:r>
      <w:r w:rsidDel="00000000" w:rsidR="00000000" w:rsidRPr="00000000">
        <w:rPr>
          <w:rFonts w:ascii="Arial" w:cs="Arial" w:eastAsia="Arial" w:hAnsi="Arial"/>
          <w:i w:val="1"/>
          <w:sz w:val="12"/>
          <w:szCs w:val="12"/>
          <w:highlight w:val="white"/>
          <w:rtl w:val="0"/>
        </w:rPr>
        <w:t xml:space="preserve">BMC Bioinformatics</w:t>
      </w:r>
      <w:r w:rsidDel="00000000" w:rsidR="00000000" w:rsidRPr="00000000">
        <w:rPr>
          <w:rFonts w:ascii="Arial" w:cs="Arial" w:eastAsia="Arial" w:hAnsi="Arial"/>
          <w:sz w:val="12"/>
          <w:szCs w:val="12"/>
          <w:highlight w:val="white"/>
          <w:rtl w:val="0"/>
        </w:rPr>
        <w:t xml:space="preserve"> 15, 215 (2014).</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6.     </w:t>
        <w:tab/>
        <w:t xml:space="preserve">Hebestreit, K., Dugas, M. &amp; Klein, H.U. Detection of significantly differentially methylated regions in targeted bisulfite sequencing data.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29, 1647-1653 (2013).</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7.     </w:t>
        <w:tab/>
        <w:t xml:space="preserve">Saito, Y., Tsuji, J. &amp; Mituyama, T. Bisulfighter: accurate detection of methylated cytosines and differentially methylated regions. </w:t>
      </w:r>
      <w:r w:rsidDel="00000000" w:rsidR="00000000" w:rsidRPr="00000000">
        <w:rPr>
          <w:rFonts w:ascii="Arial" w:cs="Arial" w:eastAsia="Arial" w:hAnsi="Arial"/>
          <w:i w:val="1"/>
          <w:sz w:val="12"/>
          <w:szCs w:val="12"/>
          <w:highlight w:val="white"/>
          <w:rtl w:val="0"/>
        </w:rPr>
        <w:t xml:space="preserve">Nucleic acids research</w:t>
      </w:r>
      <w:r w:rsidDel="00000000" w:rsidR="00000000" w:rsidRPr="00000000">
        <w:rPr>
          <w:rFonts w:ascii="Arial" w:cs="Arial" w:eastAsia="Arial" w:hAnsi="Arial"/>
          <w:sz w:val="12"/>
          <w:szCs w:val="12"/>
          <w:highlight w:val="white"/>
          <w:rtl w:val="0"/>
        </w:rPr>
        <w:t xml:space="preserve"> 42, e45 (2014).</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8.     </w:t>
        <w:tab/>
        <w:t xml:space="preserve">Akalin, A. et al. methylKit: a comprehensive R package for the analysis of genome-wide DNA methylation profiles. </w:t>
      </w:r>
      <w:r w:rsidDel="00000000" w:rsidR="00000000" w:rsidRPr="00000000">
        <w:rPr>
          <w:rFonts w:ascii="Arial" w:cs="Arial" w:eastAsia="Arial" w:hAnsi="Arial"/>
          <w:i w:val="1"/>
          <w:sz w:val="12"/>
          <w:szCs w:val="12"/>
          <w:highlight w:val="white"/>
          <w:rtl w:val="0"/>
        </w:rPr>
        <w:t xml:space="preserve">Genome biology</w:t>
      </w:r>
      <w:r w:rsidDel="00000000" w:rsidR="00000000" w:rsidRPr="00000000">
        <w:rPr>
          <w:rFonts w:ascii="Arial" w:cs="Arial" w:eastAsia="Arial" w:hAnsi="Arial"/>
          <w:sz w:val="12"/>
          <w:szCs w:val="12"/>
          <w:highlight w:val="white"/>
          <w:rtl w:val="0"/>
        </w:rPr>
        <w:t xml:space="preserve"> 13, R87 (2012).</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9.     </w:t>
        <w:tab/>
        <w:t xml:space="preserve">Park, Y., Figueroa, M.E., Rozek, L.S. &amp; Sartor, M.A. MethylSig: a whole genome DNA methylation analysis pipeline. </w:t>
      </w:r>
      <w:r w:rsidDel="00000000" w:rsidR="00000000" w:rsidRPr="00000000">
        <w:rPr>
          <w:rFonts w:ascii="Arial" w:cs="Arial" w:eastAsia="Arial" w:hAnsi="Arial"/>
          <w:i w:val="1"/>
          <w:sz w:val="12"/>
          <w:szCs w:val="12"/>
          <w:highlight w:val="white"/>
          <w:rtl w:val="0"/>
        </w:rPr>
        <w:t xml:space="preserve">Bioinformatics</w:t>
      </w:r>
      <w:r w:rsidDel="00000000" w:rsidR="00000000" w:rsidRPr="00000000">
        <w:rPr>
          <w:rFonts w:ascii="Arial" w:cs="Arial" w:eastAsia="Arial" w:hAnsi="Arial"/>
          <w:sz w:val="12"/>
          <w:szCs w:val="12"/>
          <w:highlight w:val="white"/>
          <w:rtl w:val="0"/>
        </w:rPr>
        <w:t xml:space="preserve"> 30, 2414-2422 (2014).</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10.   </w:t>
        <w:tab/>
        <w:t xml:space="preserve">Marx, V. Genetics: profiling DNA methylation and beyond. </w:t>
      </w:r>
      <w:r w:rsidDel="00000000" w:rsidR="00000000" w:rsidRPr="00000000">
        <w:rPr>
          <w:rFonts w:ascii="Arial" w:cs="Arial" w:eastAsia="Arial" w:hAnsi="Arial"/>
          <w:i w:val="1"/>
          <w:sz w:val="12"/>
          <w:szCs w:val="12"/>
          <w:highlight w:val="white"/>
          <w:rtl w:val="0"/>
        </w:rPr>
        <w:t xml:space="preserve">Nature methods</w:t>
      </w:r>
      <w:r w:rsidDel="00000000" w:rsidR="00000000" w:rsidRPr="00000000">
        <w:rPr>
          <w:rFonts w:ascii="Arial" w:cs="Arial" w:eastAsia="Arial" w:hAnsi="Arial"/>
          <w:sz w:val="12"/>
          <w:szCs w:val="12"/>
          <w:highlight w:val="white"/>
          <w:rtl w:val="0"/>
        </w:rPr>
        <w:t xml:space="preserve"> 13, 119-122 (2016).</w:t>
      </w:r>
    </w:p>
    <w:p w:rsidR="00000000" w:rsidDel="00000000" w:rsidP="00000000" w:rsidRDefault="00000000" w:rsidRPr="00000000">
      <w:pPr>
        <w:spacing w:line="276" w:lineRule="auto"/>
        <w:contextualSpacing w:val="0"/>
      </w:pPr>
      <w:r w:rsidDel="00000000" w:rsidR="00000000" w:rsidRPr="00000000">
        <w:rPr>
          <w:rFonts w:ascii="Arial" w:cs="Arial" w:eastAsia="Arial" w:hAnsi="Arial"/>
          <w:sz w:val="12"/>
          <w:szCs w:val="12"/>
          <w:highlight w:val="white"/>
          <w:rtl w:val="0"/>
        </w:rPr>
        <w:t xml:space="preserve">11.   </w:t>
        <w:tab/>
        <w:t xml:space="preserve">Ziller, M.J., Hansen, K.D., Meissner, A. &amp; Aryee, M.J. Coverage recommendations for methylation analysis by whole-genome bisulfite sequencing. </w:t>
      </w:r>
      <w:r w:rsidDel="00000000" w:rsidR="00000000" w:rsidRPr="00000000">
        <w:rPr>
          <w:rFonts w:ascii="Arial" w:cs="Arial" w:eastAsia="Arial" w:hAnsi="Arial"/>
          <w:i w:val="1"/>
          <w:sz w:val="12"/>
          <w:szCs w:val="12"/>
          <w:highlight w:val="white"/>
          <w:rtl w:val="0"/>
        </w:rPr>
        <w:t xml:space="preserve">Nature methods</w:t>
      </w:r>
      <w:r w:rsidDel="00000000" w:rsidR="00000000" w:rsidRPr="00000000">
        <w:rPr>
          <w:rFonts w:ascii="Arial" w:cs="Arial" w:eastAsia="Arial" w:hAnsi="Arial"/>
          <w:sz w:val="12"/>
          <w:szCs w:val="12"/>
          <w:highlight w:val="white"/>
          <w:rtl w:val="0"/>
        </w:rPr>
        <w:t xml:space="preserve"> 12, 230-232, 231 p following 232 (2015).</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We will keep close communication with the DCC to ensure timely and consistent processing of raw data through a uniform pipeline. The output of the pipeline will be cleansed and normalized, ready for downstream analyses. We will assemble a subgroup of DAC analysts responsible for various aspects of uniform data processing and the data transform that is necessary prior to the uniform data processing. In particular, the subgroup will include analysts who have been part of the uniform data processing during the current DAC and will be part of the next DAC. During the EDCAC kickoff meeting, these DAC analysts will meet with the appropriate DCC members to evaluate the status of uniform data processing pipelines. During the first three months of the project, all existing pipelines will be established and applied to all available datasets. This subgroup will be the point of contact with DCC on this issue. Whenever an analysis method has matured to the stage of a pipeline, it will be turned over to this subgroup to implement and apply to all existing data.</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We will work closely with the AWG and DCC to ensure that all analysis results, similar to primary data, are available in uniform formats from all groups, and additionally that all metadata are stored, including versions of programs used to generate the data, which pipeline version was used, and that all tools and data processing methods remain available for the duration of the project. For each type of functional element, we will establish a unique and standardized representation, including for enhancers, promoters, transcripts, alternative splice forms, transcription start/end sites, genome segmentation etc. We will also make sure that all analyses done in parallel in human, mouse, fly, and worm use the same formats, parameters, and pipelines whenever possible, and that these are clearly documented to facilitate cross-species comparisons. To achieve this, we will establish a single coordinator within the DAC for each type of analysis who will be responsible for ensuring reproducibility and consistency within the Consortium.</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All data exchange will also be stored at the DCC servers, and all results of validated analyses will be made public upon validation, following the ENCODE common Data Release Policy. Care will be taken to anticipate the versioning of ENCODE data generated for all three organisms between different genome builds. As the project progresses the data products generated earlier in the project will get updated to the most recent genome builds for each organism in a controlled fashion. This will either be done via simple liftOver or via uniform reprocessing. We also anticipate data freezes (approximately every six months) where the collective set of all primary processed data products generated up until that stage by the entire Consortium are frozen for more detailed integrative downstream analyses.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We will also store at the DCC all public datasets which have been reformatted for ENCODE use by members of the DAC or AWG to minimize duplication of efforts, and ensure consistency between different groups. The DCC will also serve as our intermediate repository for all datasets coming from the epigenome project, the 1000 Genomes Project, TCGA, GTEx, Brainspan, GEO, SRA, FlyBase, and WormBase. These clear guidelines and standards may appear cumbersome at first, but they will be invaluable in preparing the datasets for integration, and preparing the integrative analysis for publication. Lastly, all data shared with the larger community will be shared through the DCC servers and browsers, and through FlyBase, WormBase, and general genome browsers (such as NCBI, ENSEMBL, and NCBI) whenever possible.</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One of the main roles of the DAC is to facilitate the analysis and writing of integrative Consortium papers, specifically the paper that describes the Encyclopedia of human and mouse. In addition, the DAC will assist with other Consortium reports such as data and analysis standards documents. The leadership of these papers and documents naturally springs from the leadership of the AWG and involves the interplay of many different scientists, and the DAC is at the service of this leadership by The DAC will performing various integrative analyses and providing a technological infrastructure.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,,,,,,keep In writing these papers the data from multiple techniques and approaches must be combined in a standardized fashion in order to maximize their utility. The readers of the papers should also be able to see how large-scale genomic datasets have biological and medical utility. Thus, it is essential for the papers to provide a clear linkage between the prose describing the results and the actual data and analyses done. Moreover, clearly connecting the genomics data in a particular freeze to the literature has many scholarly advantages in terms of time stamping, attribution, and future citation</w:t>
      </w:r>
      <w:r w:rsidDel="00000000" w:rsidR="00000000" w:rsidRPr="00000000">
        <w:rPr>
          <w:rFonts w:ascii="Arial" w:cs="Arial" w:eastAsia="Arial" w:hAnsi="Arial"/>
          <w:color w:val="999999"/>
          <w:sz w:val="12"/>
          <w:szCs w:val="12"/>
          <w:vertAlign w:val="superscript"/>
          <w:rtl w:val="0"/>
        </w:rPr>
        <w:t xml:space="preserve">117,118</w:t>
      </w:r>
      <w:r w:rsidDel="00000000" w:rsidR="00000000" w:rsidRPr="00000000">
        <w:rPr>
          <w:rFonts w:ascii="Arial" w:cs="Arial" w:eastAsia="Arial" w:hAnsi="Arial"/>
          <w:color w:val="999999"/>
          <w:sz w:val="12"/>
          <w:szCs w:val="12"/>
          <w:rtl w:val="0"/>
        </w:rPr>
        <w:t xml:space="preserve">.</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b w:val="1"/>
          <w:color w:val="999999"/>
          <w:sz w:val="12"/>
          <w:szCs w:val="12"/>
          <w:rtl w:val="0"/>
        </w:rPr>
        <w:t xml:space="preserve">Aims 1-3</w:t>
      </w:r>
      <w:r w:rsidDel="00000000" w:rsidR="00000000" w:rsidRPr="00000000">
        <w:rPr>
          <w:rFonts w:ascii="Arial" w:cs="Arial" w:eastAsia="Arial" w:hAnsi="Arial"/>
          <w:color w:val="999999"/>
          <w:sz w:val="12"/>
          <w:szCs w:val="12"/>
          <w:rtl w:val="0"/>
        </w:rPr>
        <w:t xml:space="preserve"> discussed the necessary calculations to enable these integrative analysis papers, and </w:t>
      </w: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,keep here we focus on the infrastructure that the DAC will provide to enable these papers to be written. There are two aspects of this infrastructure: social and technological. In terms of social infrastructure, the DAC will organize and moderate phone calls as well as setting up and moderating meetings targeting particular analysis papers. For the conference calls and meetings we will handle creation of precise agendas and the recording of detailed minutes and action items. </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,,,,,keeppar There are a number of things to bear in mind regarding setting up a technological infrastructure for enabling collaborative papers. First of all, there is a vast and rapidly evolving industry in developing social media and computational infrastructure for collaboration, including companies such as Google, Facebook, and Twitter. In this regard, the DAC will provide a gateway for the entire Consortium to make use of such computational tools and services. Second, many genomics consortia papers are extremely complex from the perspective of paper writing, often involving many hundreds of authors and tens if not hundreds of main figures and tables as well as supplementary exhibits. Simply keeping track of all figures and supplements is a non-trivial task. </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The DAC will facilitate the use of appropriate technology to help with this. Currently most of the genomics papers written by the ENCODE Consortium make use of mailing lists and conference calls for many of these interactions. To handle manuscript preparation addition they make use of resources such as Wikis, Google Docs, and reference managers such as Endnote, Bookends, and Papers. We will continue to use these types of infrastructures, and the DAC will provide expertise and resources in these areas for future Consortium publications. However we will also be aware of newly evolving tools that are currently being developed, including improved solutions for tracking references and figures (e.g., Mendeley and BibTeX). Also, online file sharing services such as Dropbox and SugarSync can be utilized for distribution of files and figures; we also intend to investigate the use of fully-fledged open-source content management systems such as Drupal or Joomla. It is important to keep in mind that while a lot of these technologies might be appealing from a purely computational perspective, they might not be of as much use practically when employed by the various members of the Consortium, and thus we will have to keep track of their usefulness in terms of actual paper writing.</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rtl w:val="0"/>
        </w:rPr>
        <w:t xml:space="preserve">The writing of Consortium standards documents that focus on protocols and methodologies for data analyses and experimental procedures will proceed in a similar way as the writing of integrative Consortium papers. One difference, however, is that the role of the DAC for creating standards documents is sometimes to produce standardized datasets and standardized analyses that illustrate standard practices and provide a better third-party working-knowledge of the standard beyond that from individual production laboratories.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A third aspect of the DAC in writing large Consortium papers and standards documents is carefully connecting the underlying data to the prose. One can conceptualize a big genomics "roll out" (publishing a number of genomics papers commenting on a single underlying data freeze) as a hierarchical information structure, designed to present the Consortium's genomic data and results in an organized fashion. The "main" integrative paper sits at the top, synthesizing everything broadly, which provides pointers to other high-profile companion papers and further, more detailed companions focusing on specific sub-analyses. Each of these individual papers, in turn, often refers to a huge amount of supplementary calculations and datasets. Some of these are in formal paper supplements while others are on project Web sites. Moreover, the datasets most referred to in the papers are usually not the actual raw data but subsidiary analysis products that summarize the data (e.g., peak call lists, transcript structures, and segmentations). At the bottom of the hierarchy is the actual underlying raw data (usually sequencing reads), stored in central repositories (such as the short-read archive). Given that the raw data files and, to some degree the analysis summaries, are usually huge and unwieldy, it makes most sense to approach the information in a particular freeze from the top down, starting with the papers (assuming everything is linked together correctly). In the future one may see some machine readable, “structured” versions of the text of the paper (i.e., the structured digital abstract and structured digital table</w:t>
      </w:r>
      <w:r w:rsidDel="00000000" w:rsidR="00000000" w:rsidRPr="00000000">
        <w:rPr>
          <w:rFonts w:ascii="Arial" w:cs="Arial" w:eastAsia="Arial" w:hAnsi="Arial"/>
          <w:color w:val="999999"/>
          <w:sz w:val="12"/>
          <w:szCs w:val="12"/>
          <w:vertAlign w:val="superscript"/>
          <w:rtl w:val="0"/>
        </w:rPr>
        <w:t xml:space="preserve">119,120</w:t>
      </w:r>
      <w:r w:rsidDel="00000000" w:rsidR="00000000" w:rsidRPr="00000000">
        <w:rPr>
          <w:rFonts w:ascii="Arial" w:cs="Arial" w:eastAsia="Arial" w:hAnsi="Arial"/>
          <w:color w:val="999999"/>
          <w:sz w:val="12"/>
          <w:szCs w:val="12"/>
          <w:rtl w:val="0"/>
        </w:rPr>
        <w:t xml:space="preserve">, which allow authors to make this hierarchy and its linkages even more explicit. </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12"/>
          <w:szCs w:val="12"/>
          <w:highlight w:val="magenta"/>
          <w:rtl w:val="0"/>
        </w:rPr>
        <w:t xml:space="preserve">,,,,,keeppar</w:t>
      </w:r>
      <w:r w:rsidDel="00000000" w:rsidR="00000000" w:rsidRPr="00000000">
        <w:rPr>
          <w:rFonts w:ascii="Arial" w:cs="Arial" w:eastAsia="Arial" w:hAnsi="Arial"/>
          <w:color w:val="999999"/>
          <w:sz w:val="12"/>
          <w:szCs w:val="12"/>
          <w:rtl w:val="0"/>
        </w:rPr>
        <w:t xml:space="preserve"> There is an even more detailed micro-structure to the hierarchy: All of the data tables and figures in each paper rely on a considerable chain of small specific analysis results as well as programming scripts. These, in turn, connect to specific versions of the overall analysis summaries put out on the project website. One of the roles of genome analysts is to link these all together and make sure that it is clear which version of a particular analysis result goes with which version of the underlying data and how these in turn link with a specific paper figure. This can often be done through making available the small subsidiary analysis files underlying each exhibit (such as networks connecting particular genomic entities or Excel files or R data frames) in an organized fashion. (See modencode.org/publications/integrative_worm_2010 and modencode.org/publications/integrative_fly_2010 for examples.) Often in the rush to publish a large manuscript these smaller files are neglected but they are essential for truly reproducible research</w:t>
      </w:r>
      <w:r w:rsidDel="00000000" w:rsidR="00000000" w:rsidRPr="00000000">
        <w:rPr>
          <w:rFonts w:ascii="Arial" w:cs="Arial" w:eastAsia="Arial" w:hAnsi="Arial"/>
          <w:color w:val="999999"/>
          <w:sz w:val="12"/>
          <w:szCs w:val="12"/>
          <w:vertAlign w:val="superscript"/>
          <w:rtl w:val="0"/>
        </w:rPr>
        <w:t xml:space="preserve">121</w:t>
      </w:r>
      <w:r w:rsidDel="00000000" w:rsidR="00000000" w:rsidRPr="00000000">
        <w:rPr>
          <w:rFonts w:ascii="Arial" w:cs="Arial" w:eastAsia="Arial" w:hAnsi="Arial"/>
          <w:color w:val="999999"/>
          <w:sz w:val="12"/>
          <w:szCs w:val="12"/>
          <w:rtl w:val="0"/>
        </w:rPr>
        <w:t xml:space="preserve">. The DAC will strive to make all of these available through the DAC and DCC. It will also push out larger analysis product datasets such as peak calls and segmentations regularly as part of data freezes and we will version these along with the underlying data from the production groups. </w:t>
      </w:r>
    </w:p>
    <w:p w:rsidR="00000000" w:rsidDel="00000000" w:rsidP="00000000" w:rsidRDefault="00000000" w:rsidRPr="00000000">
      <w:pPr>
        <w:spacing w:after="100" w:lineRule="auto"/>
        <w:ind w:firstLine="720"/>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tl w:val="0"/>
        </w:rPr>
      </w:r>
    </w:p>
    <w:p w:rsidR="00000000" w:rsidDel="00000000" w:rsidP="00000000" w:rsidRDefault="00000000" w:rsidRPr="00000000">
      <w:pPr>
        <w:pStyle w:val="Heading1"/>
        <w:spacing w:after="100" w:lineRule="auto"/>
        <w:ind w:firstLine="0"/>
        <w:contextualSpacing w:val="0"/>
      </w:pPr>
      <w:bookmarkStart w:colFirst="0" w:colLast="0" w:name="h.x2rp28f44x5u" w:id="6"/>
      <w:bookmarkEnd w:id="6"/>
      <w:r w:rsidDel="00000000" w:rsidR="00000000" w:rsidRPr="00000000">
        <w:rPr>
          <w:highlight w:val="magenta"/>
          <w:rtl w:val="0"/>
        </w:rPr>
        <w:t xml:space="preserve">[[</w:t>
      </w:r>
      <w:r w:rsidDel="00000000" w:rsidR="00000000" w:rsidRPr="00000000">
        <w:rPr>
          <w:highlight w:val="magenta"/>
          <w:rtl w:val="0"/>
        </w:rPr>
        <w:t xml:space="preserve">From old DAC4 grant (was in Aim 1 &amp; moved by MG on 12-Mar)]]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We will create and analyze a meta-network composed of the TF regulatory network and protein-protein interactions integrated with the miRNA data. To integrate the miRNA data, the TargetScan software will be used to obtain the miRNA-TF edges in this network</w:t>
      </w:r>
      <w:r w:rsidDel="00000000" w:rsidR="00000000" w:rsidRPr="00000000">
        <w:rPr>
          <w:rFonts w:ascii="Arial" w:cs="Arial" w:eastAsia="Arial" w:hAnsi="Arial"/>
          <w:color w:val="999999"/>
          <w:sz w:val="22"/>
          <w:szCs w:val="22"/>
          <w:vertAlign w:val="superscript"/>
          <w:rtl w:val="0"/>
        </w:rPr>
        <w:t xml:space="preserve">98</w:t>
      </w:r>
      <w:r w:rsidDel="00000000" w:rsidR="00000000" w:rsidRPr="00000000">
        <w:rPr>
          <w:rFonts w:ascii="Arial" w:cs="Arial" w:eastAsia="Arial" w:hAnsi="Arial"/>
          <w:color w:val="999999"/>
          <w:sz w:val="22"/>
          <w:szCs w:val="22"/>
          <w:rtl w:val="0"/>
        </w:rPr>
        <w:t xml:space="preserve"> by assessing complementarity of the miRNA seed region coupled with conservation information. This expanded, integrated network will be analysed using the tools and methodologies described below, allowing us to look for new types of motifs, regulatory patterns, and relationships that would likely remain undetected in individual analyses of the separate networks.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The networks will be analyzed using several methods to calculate key statistics. One such method is 'tYNA'</w:t>
      </w:r>
      <w:r w:rsidDel="00000000" w:rsidR="00000000" w:rsidRPr="00000000">
        <w:rPr>
          <w:rFonts w:ascii="Arial" w:cs="Arial" w:eastAsia="Arial" w:hAnsi="Arial"/>
          <w:color w:val="999999"/>
          <w:sz w:val="22"/>
          <w:szCs w:val="22"/>
          <w:vertAlign w:val="superscript"/>
          <w:rtl w:val="0"/>
        </w:rPr>
        <w:t xml:space="preserve">99</w:t>
      </w:r>
      <w:r w:rsidDel="00000000" w:rsidR="00000000" w:rsidRPr="00000000">
        <w:rPr>
          <w:rFonts w:ascii="Arial" w:cs="Arial" w:eastAsia="Arial" w:hAnsi="Arial"/>
          <w:color w:val="999999"/>
          <w:sz w:val="22"/>
          <w:szCs w:val="22"/>
          <w:rtl w:val="0"/>
        </w:rPr>
        <w:t xml:space="preserve">, a web system developed to compare and mine multiple networks in order to identify cliques and motifs, as well as calculating statistics on a network. Statistics such as ‘eccentricity' and ‘betweeness' can help explain the connectivity and behavior of nodes in a network</w:t>
      </w:r>
      <w:r w:rsidDel="00000000" w:rsidR="00000000" w:rsidRPr="00000000">
        <w:rPr>
          <w:rFonts w:ascii="Arial" w:cs="Arial" w:eastAsia="Arial" w:hAnsi="Arial"/>
          <w:color w:val="999999"/>
          <w:sz w:val="22"/>
          <w:szCs w:val="22"/>
          <w:vertAlign w:val="superscript"/>
          <w:rtl w:val="0"/>
        </w:rPr>
        <w:t xml:space="preserve">100</w:t>
      </w:r>
      <w:r w:rsidDel="00000000" w:rsidR="00000000" w:rsidRPr="00000000">
        <w:rPr>
          <w:rFonts w:ascii="Arial" w:cs="Arial" w:eastAsia="Arial" w:hAnsi="Arial"/>
          <w:color w:val="999999"/>
          <w:sz w:val="22"/>
          <w:szCs w:val="22"/>
          <w:rtl w:val="0"/>
        </w:rPr>
        <w:t xml:space="preserve">. Eccentricity is defined as the maximum shortest path from a node to any other node in the network; this describes how a node interacts with all the other nodes it is connected to, i.e., a node with a small eccentricity is tightly connected to all nodes that it interacts with- including nodes to which it is not directly connected. Betweeness is defined as the number of shortest paths in the network that pass through a given node; this is a measure of a node’s centrality and is related to how involved a node is the communications between all other nodes in a network. These and other statistics can help in the definition and understanding of a particular network.</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Connectivity statistics, in particular the difference between out- (O) and in- (I) degree, elucidate the direction of information flow in the network and can reveal hierarchical organization. In previous work, we employed a simple simulated annealing procedure to arrange TFs into discrete levels that maximize the number of edges propagating down from higher to lower levels. To complement these discrete level assignments we defined a continuous parameter h=(O-I)/(O+I), which can be interpreted as the height of a TF within the hierarchical structure. We plan to apply the same procedures to the transcriptional regulatory network in human, mouse, fly, and worm. Of particular interest is a comparison of the distribution of TFs between the different levels to determine, for example, the extent to which middle-level regulator nodes are conserved across different networks. Furthermore, it is important to evaluate the robustness of our results, as there exist several methods of constructing network hierarchies (e.g. breadth-first search) and we intend to assess the impact of various network construction methods on these results.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We have previously exploited the model of hierarchical organization by examining the degree of collaboration among different regulators</w:t>
      </w:r>
      <w:r w:rsidDel="00000000" w:rsidR="00000000" w:rsidRPr="00000000">
        <w:rPr>
          <w:rFonts w:ascii="Arial" w:cs="Arial" w:eastAsia="Arial" w:hAnsi="Arial"/>
          <w:color w:val="999999"/>
          <w:sz w:val="22"/>
          <w:szCs w:val="22"/>
          <w:vertAlign w:val="superscript"/>
          <w:rtl w:val="0"/>
        </w:rPr>
        <w:t xml:space="preserve">101-103</w:t>
      </w:r>
      <w:r w:rsidDel="00000000" w:rsidR="00000000" w:rsidRPr="00000000">
        <w:rPr>
          <w:rFonts w:ascii="Arial" w:cs="Arial" w:eastAsia="Arial" w:hAnsi="Arial"/>
          <w:color w:val="999999"/>
          <w:sz w:val="22"/>
          <w:szCs w:val="22"/>
          <w:rtl w:val="0"/>
        </w:rPr>
        <w:t xml:space="preserve">. This is essentially the ratio of the number of genes co-regulated by two regulators (from the same or different levels) to the union of their target genes summed over all such pairs of regulators from the two levels</w:t>
      </w:r>
      <w:r w:rsidDel="00000000" w:rsidR="00000000" w:rsidRPr="00000000">
        <w:rPr>
          <w:rFonts w:ascii="Arial" w:cs="Arial" w:eastAsia="Arial" w:hAnsi="Arial"/>
          <w:color w:val="999999"/>
          <w:sz w:val="22"/>
          <w:szCs w:val="22"/>
          <w:vertAlign w:val="superscript"/>
          <w:rtl w:val="0"/>
        </w:rPr>
        <w:t xml:space="preserve">102,103</w:t>
      </w:r>
      <w:r w:rsidDel="00000000" w:rsidR="00000000" w:rsidRPr="00000000">
        <w:rPr>
          <w:rFonts w:ascii="Arial" w:cs="Arial" w:eastAsia="Arial" w:hAnsi="Arial"/>
          <w:color w:val="999999"/>
          <w:sz w:val="22"/>
          <w:szCs w:val="22"/>
          <w:rtl w:val="0"/>
        </w:rPr>
        <w:t xml:space="preserve">. We found that in E. coli, yeast, and human the highest degree of collaboration is between regulators from the middle level, which is analogous to a corporate setting in which middle managers play an important organizational role. We plan to investigate the same arrangement using more comprehensive co-regulatory networks from human, mouse, worm, and fly. In addition to co-regulation we also studied the overlap between modules in terms of their position within the hierarchy. We defined a module as all accessible nodes downstream of a top regulator and investigated the overlap (share of regulators) between modules. We found that the modules in E. coli are more independent compared to those within the call-graph of the Linux kernel</w:t>
      </w:r>
      <w:r w:rsidDel="00000000" w:rsidR="00000000" w:rsidRPr="00000000">
        <w:rPr>
          <w:rFonts w:ascii="Arial" w:cs="Arial" w:eastAsia="Arial" w:hAnsi="Arial"/>
          <w:color w:val="999999"/>
          <w:sz w:val="22"/>
          <w:szCs w:val="22"/>
          <w:vertAlign w:val="superscript"/>
          <w:rtl w:val="0"/>
        </w:rPr>
        <w:t xml:space="preserve">104</w:t>
      </w:r>
      <w:r w:rsidDel="00000000" w:rsidR="00000000" w:rsidRPr="00000000">
        <w:rPr>
          <w:rFonts w:ascii="Arial" w:cs="Arial" w:eastAsia="Arial" w:hAnsi="Arial"/>
          <w:color w:val="999999"/>
          <w:sz w:val="22"/>
          <w:szCs w:val="22"/>
          <w:rtl w:val="0"/>
        </w:rPr>
        <w:t xml:space="preserve">. We intend to examine the module-overlap in human, mouse, worm and fly, and other eukaryotes compared to our previous observations in E. coli. We speculate that these networks of more complex eukaryotes will be more similar to the Linux call-graph.</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22"/>
          <w:szCs w:val="22"/>
          <w:rtl w:val="0"/>
        </w:rPr>
        <w:t xml:space="preserve">Building upon the expertise in dynamic Bayesian network (DBN) in the Noble lab in close collaboration with the Weng lab, we propose to develop computational methods to identify TF binding sites in a generalized way. We will focus in particular on the problem of predicting the results of a ChIP-seq assay for binding of a sequence-specific transcription factor in formulating the problem as follows. Other ENCODE data types (e.g., chromatin accessibility measured by DNase-seq) can be easily incorporated into our computational framework. In a particular cell line or tissue, we are given several generic chromatin architecture datasets—e.g., DNase accessibility plus a variety of informative histone modification ChIP-seq assays—as well as the results of ChIP-seq experiments for a set of “training” TFs. We are then asked to predict what would happen if we were to run a ChIP-seq experiment for a given “test” TF, knowing only its binding affinity sequence motif, as determined from a ChIP-seq assay in another cell line.</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22"/>
          <w:szCs w:val="22"/>
          <w:rtl w:val="0"/>
        </w:rPr>
        <w:t xml:space="preserve">This problem is akin to what is known in the field of speech recognition as “speaker adaptation.” In that context, a system trained to produce a textual translation of a spoken utterance must learn to adapt to the peculiar characteristics of a new speaker. Similarly, our model will learn to adapt to the characteristics of a new TF, using methods developed in speech recognition. In particular, the model will predict the locations of in vivo binding events based upon features of the local chromatin architecture, while taking into account that some types of TF binding exhibit different local chromatin properties than others.</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22"/>
          <w:szCs w:val="22"/>
          <w:rtl w:val="0"/>
        </w:rPr>
        <w:t xml:space="preserve">We will solve this problem using a combined classifier and DBN. The classifier (a support vector machine or a deep neural network) will learn to predict the binding of a given TF based on the observed local chromatin profile. We will train one such classifier for each TF in the training set. The scores produced by these classifiers will then be combined in the context of a DBN such as the one shown in Figure 6. In this model, MotifScore is an observed variable measuring how well the sequence starting at the current position matches the known motif of the target TF represented by its PSSM. The hidden variables state and Class indicate (respectively) whether a position is inside a binding site of the target TF and the identity of the training TF whose chromatin pattern is the closest match to those of the current position. In addition, the model contains one virtual evidence track for each of the </w:t>
      </w:r>
      <w:r w:rsidDel="00000000" w:rsidR="00000000" w:rsidRPr="00000000">
        <w:rPr>
          <w:rFonts w:ascii="Arial" w:cs="Arial" w:eastAsia="Arial" w:hAnsi="Arial"/>
          <w:i w:val="1"/>
          <w:color w:val="999999"/>
          <w:sz w:val="22"/>
          <w:szCs w:val="22"/>
          <w:rtl w:val="0"/>
        </w:rPr>
        <w:t xml:space="preserve">N</w:t>
      </w:r>
      <w:r w:rsidDel="00000000" w:rsidR="00000000" w:rsidRPr="00000000">
        <w:rPr>
          <w:rFonts w:ascii="Arial" w:cs="Arial" w:eastAsia="Arial" w:hAnsi="Arial"/>
          <w:color w:val="999999"/>
          <w:sz w:val="22"/>
          <w:szCs w:val="22"/>
          <w:rtl w:val="0"/>
        </w:rPr>
        <w:t xml:space="preserve"> training TFs. Thus, </w:t>
      </w:r>
      <w:r w:rsidDel="00000000" w:rsidR="00000000" w:rsidRPr="00000000">
        <w:rPr>
          <w:rFonts w:ascii="Arial" w:cs="Arial" w:eastAsia="Arial" w:hAnsi="Arial"/>
          <w:i w:val="1"/>
          <w:color w:val="999999"/>
          <w:sz w:val="22"/>
          <w:szCs w:val="22"/>
          <w:rtl w:val="0"/>
        </w:rPr>
        <w:t xml:space="preserve">V</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is a positional virtual evidence variable that tells how well the chromatin pattern associated with the sequence starting at position </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color w:val="999999"/>
          <w:sz w:val="22"/>
          <w:szCs w:val="22"/>
          <w:rtl w:val="0"/>
        </w:rPr>
        <w:t xml:space="preserve"> matches the patterns learned for the training TF </w:t>
      </w:r>
      <w:r w:rsidDel="00000000" w:rsidR="00000000" w:rsidRPr="00000000">
        <w:rPr>
          <w:rFonts w:ascii="Arial" w:cs="Arial" w:eastAsia="Arial" w:hAnsi="Arial"/>
          <w:i w:val="1"/>
          <w:color w:val="999999"/>
          <w:sz w:val="22"/>
          <w:szCs w:val="22"/>
          <w:rtl w:val="0"/>
        </w:rPr>
        <w:t xml:space="preserve">t</w:t>
      </w:r>
      <w:r w:rsidDel="00000000" w:rsidR="00000000" w:rsidRPr="00000000">
        <w:rPr>
          <w:rFonts w:ascii="Arial" w:cs="Arial" w:eastAsia="Arial" w:hAnsi="Arial"/>
          <w:color w:val="999999"/>
          <w:sz w:val="22"/>
          <w:szCs w:val="22"/>
          <w:rtl w:val="0"/>
        </w:rPr>
        <w:t xml:space="preserve">. Because every virtual evidence track corresponds to exactly one class value, we introduce a binary variable </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indicating the corresponding virtual evidence track of each class value. The conditional probability of this indicator variable, </w:t>
      </w:r>
      <w:r w:rsidDel="00000000" w:rsidR="00000000" w:rsidRPr="00000000">
        <w:rPr>
          <w:rFonts w:ascii="Arial" w:cs="Arial" w:eastAsia="Arial" w:hAnsi="Arial"/>
          <w:i w:val="1"/>
          <w:color w:val="999999"/>
          <w:sz w:val="22"/>
          <w:szCs w:val="22"/>
          <w:rtl w:val="0"/>
        </w:rPr>
        <w:t xml:space="preserve">Pr</w:t>
      </w:r>
      <w:r w:rsidDel="00000000" w:rsidR="00000000" w:rsidRPr="00000000">
        <w:rPr>
          <w:rFonts w:ascii="Arial" w:cs="Arial" w:eastAsia="Arial" w:hAnsi="Arial"/>
          <w:color w:val="999999"/>
          <w:sz w:val="22"/>
          <w:szCs w:val="22"/>
          <w:rtl w:val="0"/>
        </w:rPr>
        <w:t xml:space="preserve">[</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1|</w:t>
      </w:r>
      <w:r w:rsidDel="00000000" w:rsidR="00000000" w:rsidRPr="00000000">
        <w:rPr>
          <w:rFonts w:ascii="Arial" w:cs="Arial" w:eastAsia="Arial" w:hAnsi="Arial"/>
          <w:i w:val="1"/>
          <w:color w:val="999999"/>
          <w:sz w:val="22"/>
          <w:szCs w:val="22"/>
          <w:rtl w:val="0"/>
        </w:rPr>
        <w:t xml:space="preserve">class</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w:t>
      </w:r>
      <w:r w:rsidDel="00000000" w:rsidR="00000000" w:rsidRPr="00000000">
        <w:rPr>
          <w:rFonts w:ascii="Arial" w:cs="Arial" w:eastAsia="Arial" w:hAnsi="Arial"/>
          <w:i w:val="1"/>
          <w:color w:val="999999"/>
          <w:sz w:val="22"/>
          <w:szCs w:val="22"/>
          <w:rtl w:val="0"/>
        </w:rPr>
        <w:t xml:space="preserve">c</w:t>
      </w:r>
      <w:r w:rsidDel="00000000" w:rsidR="00000000" w:rsidRPr="00000000">
        <w:rPr>
          <w:rFonts w:ascii="Arial" w:cs="Arial" w:eastAsia="Arial" w:hAnsi="Arial"/>
          <w:color w:val="999999"/>
          <w:sz w:val="22"/>
          <w:szCs w:val="22"/>
          <w:rtl w:val="0"/>
        </w:rPr>
        <w:t xml:space="preserve">], equals 1 only if </w:t>
      </w:r>
      <w:r w:rsidDel="00000000" w:rsidR="00000000" w:rsidRPr="00000000">
        <w:rPr>
          <w:rFonts w:ascii="Arial" w:cs="Arial" w:eastAsia="Arial" w:hAnsi="Arial"/>
          <w:i w:val="1"/>
          <w:color w:val="999999"/>
          <w:sz w:val="22"/>
          <w:szCs w:val="22"/>
          <w:rtl w:val="0"/>
        </w:rPr>
        <w:t xml:space="preserve">c</w:t>
      </w:r>
      <w:r w:rsidDel="00000000" w:rsidR="00000000" w:rsidRPr="00000000">
        <w:rPr>
          <w:rFonts w:ascii="Arial" w:cs="Arial" w:eastAsia="Arial" w:hAnsi="Arial"/>
          <w:color w:val="999999"/>
          <w:sz w:val="22"/>
          <w:szCs w:val="22"/>
          <w:rtl w:val="0"/>
        </w:rPr>
        <w:t xml:space="preserve"> = </w:t>
      </w:r>
      <w:r w:rsidDel="00000000" w:rsidR="00000000" w:rsidRPr="00000000">
        <w:rPr>
          <w:rFonts w:ascii="Arial" w:cs="Arial" w:eastAsia="Arial" w:hAnsi="Arial"/>
          <w:i w:val="1"/>
          <w:color w:val="999999"/>
          <w:sz w:val="22"/>
          <w:szCs w:val="22"/>
          <w:rtl w:val="0"/>
        </w:rPr>
        <w:t xml:space="preserve">t</w:t>
      </w:r>
      <w:r w:rsidDel="00000000" w:rsidR="00000000" w:rsidRPr="00000000">
        <w:rPr>
          <w:rFonts w:ascii="Arial" w:cs="Arial" w:eastAsia="Arial" w:hAnsi="Arial"/>
          <w:color w:val="999999"/>
          <w:sz w:val="22"/>
          <w:szCs w:val="22"/>
          <w:rtl w:val="0"/>
        </w:rPr>
        <w:t xml:space="preserve">, and is 0 otherwise. As mentioned above, the virtual evidence, </w:t>
      </w:r>
      <w:r w:rsidDel="00000000" w:rsidR="00000000" w:rsidRPr="00000000">
        <w:rPr>
          <w:rFonts w:ascii="Arial" w:cs="Arial" w:eastAsia="Arial" w:hAnsi="Arial"/>
          <w:i w:val="1"/>
          <w:color w:val="999999"/>
          <w:sz w:val="22"/>
          <w:szCs w:val="22"/>
          <w:rtl w:val="0"/>
        </w:rPr>
        <w:t xml:space="preserve">Pr</w:t>
      </w:r>
      <w:r w:rsidDel="00000000" w:rsidR="00000000" w:rsidRPr="00000000">
        <w:rPr>
          <w:rFonts w:ascii="Arial" w:cs="Arial" w:eastAsia="Arial" w:hAnsi="Arial"/>
          <w:color w:val="999999"/>
          <w:sz w:val="22"/>
          <w:szCs w:val="22"/>
          <w:rtl w:val="0"/>
        </w:rPr>
        <w:t xml:space="preserve">[</w:t>
      </w:r>
      <w:r w:rsidDel="00000000" w:rsidR="00000000" w:rsidRPr="00000000">
        <w:rPr>
          <w:rFonts w:ascii="Arial" w:cs="Arial" w:eastAsia="Arial" w:hAnsi="Arial"/>
          <w:i w:val="1"/>
          <w:color w:val="999999"/>
          <w:sz w:val="22"/>
          <w:szCs w:val="22"/>
          <w:rtl w:val="0"/>
        </w:rPr>
        <w:t xml:space="preserve">V</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 1|</w:t>
      </w:r>
      <w:r w:rsidDel="00000000" w:rsidR="00000000" w:rsidRPr="00000000">
        <w:rPr>
          <w:rFonts w:ascii="Arial" w:cs="Arial" w:eastAsia="Arial" w:hAnsi="Arial"/>
          <w:i w:val="1"/>
          <w:color w:val="999999"/>
          <w:sz w:val="22"/>
          <w:szCs w:val="22"/>
          <w:rtl w:val="0"/>
        </w:rPr>
        <w:t xml:space="preserve">I</w:t>
      </w:r>
      <w:r w:rsidDel="00000000" w:rsidR="00000000" w:rsidRPr="00000000">
        <w:rPr>
          <w:rFonts w:ascii="Arial" w:cs="Arial" w:eastAsia="Arial" w:hAnsi="Arial"/>
          <w:i w:val="1"/>
          <w:color w:val="999999"/>
          <w:sz w:val="22"/>
          <w:szCs w:val="22"/>
          <w:vertAlign w:val="superscript"/>
          <w:rtl w:val="0"/>
        </w:rPr>
        <w:t xml:space="preserve">t</w:t>
      </w:r>
      <w:r w:rsidDel="00000000" w:rsidR="00000000" w:rsidRPr="00000000">
        <w:rPr>
          <w:rFonts w:ascii="Arial" w:cs="Arial" w:eastAsia="Arial" w:hAnsi="Arial"/>
          <w:i w:val="1"/>
          <w:color w:val="999999"/>
          <w:sz w:val="22"/>
          <w:szCs w:val="22"/>
          <w:vertAlign w:val="subscript"/>
          <w:rtl w:val="0"/>
        </w:rPr>
        <w:t xml:space="preserve">i</w:t>
      </w:r>
      <w:r w:rsidDel="00000000" w:rsidR="00000000" w:rsidRPr="00000000">
        <w:rPr>
          <w:rFonts w:ascii="Arial" w:cs="Arial" w:eastAsia="Arial" w:hAnsi="Arial"/>
          <w:color w:val="999999"/>
          <w:sz w:val="22"/>
          <w:szCs w:val="22"/>
          <w:rtl w:val="0"/>
        </w:rPr>
        <w:t xml:space="preserve">], is produced by the TF-specific classifier. Finally, the observed binary variable missing is used as a switching parent of the virtual evidence nodes to handle positions where the chromatin profile contains missing data.</w:t>
      </w:r>
    </w:p>
    <w:p w:rsidR="00000000" w:rsidDel="00000000" w:rsidP="00000000" w:rsidRDefault="00000000" w:rsidRPr="00000000">
      <w:pPr>
        <w:spacing w:after="100" w:lineRule="auto"/>
        <w:ind w:firstLine="720"/>
        <w:contextualSpacing w:val="0"/>
      </w:pPr>
      <w:r w:rsidDel="00000000" w:rsidR="00000000" w:rsidRPr="00000000">
        <w:rPr>
          <w:rFonts w:ascii="Arial" w:cs="Arial" w:eastAsia="Arial" w:hAnsi="Arial"/>
          <w:color w:val="999999"/>
          <w:sz w:val="22"/>
          <w:szCs w:val="22"/>
          <w:rtl w:val="0"/>
        </w:rPr>
        <w:t xml:space="preserve">The accuracy of this predictive model can be validated in a prospective fashion within the context of ENCODE, because the Consortium is constantly producing new data. Accordingly, we will make predictions for experiments that are currently in the pipeline, and directly measure the accuracy of our predictions once the data become available. In addition to providing a valuable resource for TFs that have not yet been fully characterized experimentally and shedding light on the relationship between local chromatin architecture and TF binding, this project will enable us to prioritize future experiments. By investigating the dependence of prediction accuracy upon properties of the cell line, available local chromatin data, and properties of the TF itself, we will be able to predict which entries in the 2D experimental matrix can be easily imputed and which entries will likely provide the most value in training future imputation models.</w:t>
      </w:r>
    </w:p>
    <w:p w:rsidR="00000000" w:rsidDel="00000000" w:rsidP="00000000" w:rsidRDefault="00000000" w:rsidRPr="00000000">
      <w:pPr>
        <w:spacing w:after="100" w:lineRule="auto"/>
        <w:ind w:firstLine="720"/>
        <w:contextualSpacing w:val="0"/>
      </w:pPr>
      <w:r w:rsidDel="00000000" w:rsidR="00000000" w:rsidRPr="00000000">
        <w:rPr>
          <w:rtl w:val="0"/>
        </w:rPr>
      </w:r>
    </w:p>
    <w:p w:rsidR="00000000" w:rsidDel="00000000" w:rsidP="00000000" w:rsidRDefault="00000000" w:rsidRPr="00000000">
      <w:pPr>
        <w:spacing w:after="100" w:lineRule="auto"/>
        <w:ind w:firstLine="720"/>
        <w:contextualSpacing w:val="0"/>
      </w:pPr>
      <w:r w:rsidDel="00000000" w:rsidR="00000000" w:rsidRPr="00000000">
        <w:rPr>
          <w:rtl w:val="0"/>
        </w:rPr>
      </w:r>
    </w:p>
    <w:p w:rsidR="00000000" w:rsidDel="00000000" w:rsidP="00000000" w:rsidRDefault="00000000" w:rsidRPr="00000000">
      <w:pPr>
        <w:tabs>
          <w:tab w:val="left" w:pos="360"/>
          <w:tab w:val="left" w:pos="720"/>
          <w:tab w:val="left" w:pos="1080"/>
          <w:tab w:val="left" w:pos="1440"/>
        </w:tabs>
        <w:spacing w:after="100" w:lineRule="auto"/>
        <w:contextualSpacing w:val="0"/>
      </w:pPr>
      <w:r w:rsidDel="00000000" w:rsidR="00000000" w:rsidRPr="00000000">
        <w:rPr>
          <w:rFonts w:ascii="Arial" w:cs="Arial" w:eastAsia="Arial" w:hAnsi="Arial"/>
          <w:color w:val="999999"/>
          <w:sz w:val="22"/>
          <w:szCs w:val="22"/>
          <w:u w:val="single"/>
          <w:rtl w:val="0"/>
        </w:rPr>
        <w:t xml:space="preserve">Using protein domains to identify and evaluate orthologs</w:t>
      </w:r>
      <w:r w:rsidDel="00000000" w:rsidR="00000000" w:rsidRPr="00000000">
        <w:rPr>
          <w:rFonts w:ascii="Arial" w:cs="Arial" w:eastAsia="Arial" w:hAnsi="Arial"/>
          <w:color w:val="999999"/>
          <w:sz w:val="22"/>
          <w:szCs w:val="22"/>
          <w:rtl w:val="0"/>
        </w:rPr>
        <w:t xml:space="preserve">: In addition to phylogenetic approaches, we will use protein domain annotations to help map orthologous proteins and evaluate ortholog assignments by other methods. We will use the Proteome Folding Pipeline</w:t>
      </w:r>
      <w:r w:rsidDel="00000000" w:rsidR="00000000" w:rsidRPr="00000000">
        <w:rPr>
          <w:rFonts w:ascii="Arial" w:cs="Arial" w:eastAsia="Arial" w:hAnsi="Arial"/>
          <w:color w:val="999999"/>
          <w:sz w:val="22"/>
          <w:szCs w:val="22"/>
          <w:vertAlign w:val="superscript"/>
          <w:rtl w:val="0"/>
        </w:rPr>
        <w:t xml:space="preserve">105</w:t>
      </w:r>
      <w:r w:rsidDel="00000000" w:rsidR="00000000" w:rsidRPr="00000000">
        <w:rPr>
          <w:rFonts w:ascii="Arial" w:cs="Arial" w:eastAsia="Arial" w:hAnsi="Arial"/>
          <w:color w:val="999999"/>
          <w:sz w:val="22"/>
          <w:szCs w:val="22"/>
          <w:rtl w:val="0"/>
        </w:rPr>
        <w:t xml:space="preserve"> to sequentially analyze primary, secondary, and tertiary structures of protein sequences encoded globally in these four genomes. The analysis of potential 3D structures can allow us to recognize very distant homologs, as structural relationships can often be identified well into the “twilight zone” of sequence identity (as low as ~15-25%). Protein domains and structure will also provide testable functional hypotheses at the molecular level for directed experimental studies. We will use these results to help evaluate ortholog assignments, and compare the domain content of orthologous proteins, especially with regard to functional differences between the species.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22"/>
          <w:szCs w:val="22"/>
          <w:rtl w:val="0"/>
        </w:rPr>
        <w:t xml:space="preserve">A unique opportunity with ENCODE comes from the parallel experiments in human and mouse. We will study the relative role of pre- and post-transcriptional regulation in the two organisms, the interplay between orthologous transcription factors and orthologous chromatin marks, and the expression patterns, onset stages, targets, and target expression for orthologous factors and miRNAs. We will also study patterns of alternative splicing and alternative polyadenylation for orthologous genes in corresponding stages, especially with respect to how they affect miRNA targeting and functional protein domains. More generally, we will compare the transcription factor and miRNA inventory of the two species, the relative distributions of target gene counts for orthologous regulators, and similarly the relative distribution and diversity of regulators bound for orthologous gene targets. We will also study whether discovered modules of biologically related genes in </w:t>
      </w:r>
      <w:r w:rsidDel="00000000" w:rsidR="00000000" w:rsidRPr="00000000">
        <w:rPr>
          <w:rFonts w:ascii="Arial" w:cs="Arial" w:eastAsia="Arial" w:hAnsi="Arial"/>
          <w:b w:val="1"/>
          <w:color w:val="999999"/>
          <w:sz w:val="22"/>
          <w:szCs w:val="22"/>
          <w:rtl w:val="0"/>
        </w:rPr>
        <w:t xml:space="preserve">Aim 3.5</w:t>
      </w:r>
      <w:r w:rsidDel="00000000" w:rsidR="00000000" w:rsidRPr="00000000">
        <w:rPr>
          <w:rFonts w:ascii="Arial" w:cs="Arial" w:eastAsia="Arial" w:hAnsi="Arial"/>
          <w:color w:val="999999"/>
          <w:sz w:val="22"/>
          <w:szCs w:val="22"/>
          <w:rtl w:val="0"/>
        </w:rPr>
        <w:t xml:space="preserve"> correspond to orthologous modules across species and for significantly conserved modules we will study the properties of gained and lost components. Using network properties discovered in </w:t>
      </w:r>
      <w:r w:rsidDel="00000000" w:rsidR="00000000" w:rsidRPr="00000000">
        <w:rPr>
          <w:rFonts w:ascii="Arial" w:cs="Arial" w:eastAsia="Arial" w:hAnsi="Arial"/>
          <w:b w:val="1"/>
          <w:color w:val="999999"/>
          <w:sz w:val="22"/>
          <w:szCs w:val="22"/>
          <w:rtl w:val="0"/>
        </w:rPr>
        <w:t xml:space="preserve">Aim 4.3</w:t>
      </w:r>
      <w:r w:rsidDel="00000000" w:rsidR="00000000" w:rsidRPr="00000000">
        <w:rPr>
          <w:rFonts w:ascii="Arial" w:cs="Arial" w:eastAsia="Arial" w:hAnsi="Arial"/>
          <w:color w:val="999999"/>
          <w:sz w:val="22"/>
          <w:szCs w:val="22"/>
          <w:rtl w:val="0"/>
        </w:rPr>
        <w:t xml:space="preserve"> we will compare the two species in terms of determining if similar network motifs are discovered in the regulatory networks of the two species, and the types of feedback loops that are found in mixed TF/miRNA regulatory networks.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Old Aim 1 text on integrating ENCODE with other consortia  [[ANS on 03/15/2016]]</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Integrate and harmonize ENCODE with other data sets from all the other consortia - normalize or 4DN may have sophisticated pictures of chromatin that we (simplify) or variant kind of data</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IHEC, Roadmap - done </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GTex - Roderic, Manolis - Normalize data and harmonize eQTLs</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PsychENCODE, BrainSpan - MG/ZW are part of this and we need to normalize the data/consitency in pipelines. Also have eQTLs</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exRNA - Gerstein</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1000G- MG - germline variants</w:t>
      </w:r>
    </w:p>
    <w:p w:rsidR="00000000" w:rsidDel="00000000" w:rsidP="00000000" w:rsidRDefault="00000000" w:rsidRPr="00000000">
      <w:pPr>
        <w:numPr>
          <w:ilvl w:val="0"/>
          <w:numId w:val="8"/>
        </w:numPr>
        <w:spacing w:after="100" w:lineRule="auto"/>
        <w:ind w:left="720" w:hanging="360"/>
        <w:contextualSpacing w:val="1"/>
        <w:rPr>
          <w:rFonts w:ascii="Arial" w:cs="Arial" w:eastAsia="Arial" w:hAnsi="Arial"/>
          <w:sz w:val="12"/>
          <w:szCs w:val="12"/>
        </w:rPr>
      </w:pPr>
      <w:r w:rsidDel="00000000" w:rsidR="00000000" w:rsidRPr="00000000">
        <w:rPr>
          <w:rFonts w:ascii="Arial" w:cs="Arial" w:eastAsia="Arial" w:hAnsi="Arial"/>
          <w:sz w:val="12"/>
          <w:szCs w:val="12"/>
          <w:u w:val="single"/>
          <w:rtl w:val="0"/>
        </w:rPr>
        <w:t xml:space="preserve">TCGA/ICGC/PCAWG - somatic variants + harmonizing RNA-seq</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u w:val="single"/>
          <w:rtl w:val="0"/>
        </w:rPr>
        <w:t xml:space="preserve">***Integration of ENCODE with </w:t>
      </w:r>
      <w:commentRangeStart w:id="61"/>
      <w:commentRangeStart w:id="62"/>
      <w:commentRangeStart w:id="63"/>
      <w:r w:rsidDel="00000000" w:rsidR="00000000" w:rsidRPr="00000000">
        <w:rPr>
          <w:rFonts w:ascii="Arial" w:cs="Arial" w:eastAsia="Arial" w:hAnsi="Arial"/>
          <w:color w:val="999999"/>
          <w:sz w:val="12"/>
          <w:szCs w:val="12"/>
          <w:u w:val="single"/>
          <w:rtl w:val="0"/>
        </w:rPr>
        <w:t xml:space="preserve">Roadmap Epigenomics data and international human epigenome consortium (IHEC)***</w:t>
      </w:r>
      <w:r w:rsidDel="00000000" w:rsidR="00000000" w:rsidRPr="00000000">
        <w:rPr>
          <w:rFonts w:ascii="Arial" w:cs="Arial" w:eastAsia="Arial" w:hAnsi="Arial"/>
          <w:color w:val="999999"/>
          <w:sz w:val="12"/>
          <w:szCs w:val="12"/>
          <w:highlight w:val="magenta"/>
          <w:u w:val="single"/>
          <w:rtl w:val="0"/>
        </w:rPr>
        <w:t xml:space="preserve"> [[already done, Manolis]]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2"/>
          <w:szCs w:val="12"/>
          <w:rtl w:val="0"/>
        </w:rPr>
        <w:t xml:space="preserve">The NIH Common Fund Epigenomics Roadmap Project (</w:t>
      </w:r>
      <w:hyperlink r:id="rId116">
        <w:r w:rsidDel="00000000" w:rsidR="00000000" w:rsidRPr="00000000">
          <w:rPr>
            <w:rFonts w:ascii="Arial" w:cs="Arial" w:eastAsia="Arial" w:hAnsi="Arial"/>
            <w:color w:val="999999"/>
            <w:sz w:val="12"/>
            <w:szCs w:val="12"/>
            <w:u w:val="single"/>
            <w:rtl w:val="0"/>
          </w:rPr>
          <w:t xml:space="preserve">http://www.roadmapepigenomics.org</w:t>
        </w:r>
      </w:hyperlink>
      <w:r w:rsidDel="00000000" w:rsidR="00000000" w:rsidRPr="00000000">
        <w:rPr>
          <w:rFonts w:ascii="Arial" w:cs="Arial" w:eastAsia="Arial" w:hAnsi="Arial"/>
          <w:color w:val="999999"/>
          <w:sz w:val="12"/>
          <w:szCs w:val="12"/>
          <w:rtl w:val="0"/>
        </w:rPr>
        <w:t xml:space="preserve">/) and the International Human Epigenome Consortium (</w:t>
      </w:r>
      <w:hyperlink r:id="rId117">
        <w:r w:rsidDel="00000000" w:rsidR="00000000" w:rsidRPr="00000000">
          <w:rPr>
            <w:rFonts w:ascii="Arial" w:cs="Arial" w:eastAsia="Arial" w:hAnsi="Arial"/>
            <w:color w:val="999999"/>
            <w:sz w:val="12"/>
            <w:szCs w:val="12"/>
            <w:u w:val="single"/>
            <w:rtl w:val="0"/>
          </w:rPr>
          <w:t xml:space="preserve">http://www.ihec-epigenomes.org/</w:t>
        </w:r>
      </w:hyperlink>
      <w:r w:rsidDel="00000000" w:rsidR="00000000" w:rsidRPr="00000000">
        <w:rPr>
          <w:rFonts w:ascii="Arial" w:cs="Arial" w:eastAsia="Arial" w:hAnsi="Arial"/>
          <w:color w:val="999999"/>
          <w:sz w:val="12"/>
          <w:szCs w:val="12"/>
          <w:rtl w:val="0"/>
        </w:rPr>
        <w:t xml:space="preserve">) have generated rich maps of histone modifications, including high-resolution maps of more than 20 modifications in a small number of cell lines, maps of a few modifications in a large number of cell types, as well as maps of DNA methylation and DNA accessibility. As each of these data types are widely used in the ENCODE Consortium, we will work with the data coordination centers and informatics groups participating in these consortia to integrate relevant datasets into ENCODE pipelines for joint integrative analyses by the ENCODE AWG. For those cases in which we seek to integrate non-ENCODE datasets into our existing pipelines, we will ensure that such data meet the same quality standards as ENCODE datasets. To optimize the compatibility with published papers by each of these consortia, we will use the processed files from the investigators as much as possible. However, when necessary, we will reprocess the primary data according to the ENCODE uniform pipelines to ensure that data quality standards are met. </w:t>
      </w:r>
      <w:commentRangeEnd w:id="61"/>
      <w:r w:rsidDel="00000000" w:rsidR="00000000" w:rsidRPr="00000000">
        <w:commentReference w:id="61"/>
      </w:r>
      <w:commentRangeEnd w:id="62"/>
      <w:r w:rsidDel="00000000" w:rsidR="00000000" w:rsidRPr="00000000">
        <w:commentReference w:id="62"/>
      </w:r>
      <w:commentRangeEnd w:id="63"/>
      <w:r w:rsidDel="00000000" w:rsidR="00000000" w:rsidRPr="00000000">
        <w:commentReference w:id="63"/>
      </w:r>
      <w:r w:rsidDel="00000000" w:rsidR="00000000" w:rsidRPr="00000000">
        <w:rPr>
          <w:rtl w:val="0"/>
        </w:rPr>
      </w:r>
    </w:p>
    <w:p w:rsidR="00000000" w:rsidDel="00000000" w:rsidP="00000000" w:rsidRDefault="00000000" w:rsidRPr="00000000">
      <w:pPr>
        <w:spacing w:after="100" w:lineRule="auto"/>
        <w:contextualSpacing w:val="0"/>
      </w:pPr>
      <w:commentRangeStart w:id="64"/>
      <w:commentRangeStart w:id="65"/>
      <w:commentRangeStart w:id="66"/>
      <w:r w:rsidDel="00000000" w:rsidR="00000000" w:rsidRPr="00000000">
        <w:rPr>
          <w:rFonts w:ascii="Arial" w:cs="Arial" w:eastAsia="Arial" w:hAnsi="Arial"/>
          <w:color w:val="999999"/>
          <w:sz w:val="12"/>
          <w:szCs w:val="12"/>
          <w:rtl w:val="0"/>
        </w:rPr>
        <w:t xml:space="preserve">Members of the DAC have been highly involved in the analysis of the Roadmap Epigenomics consortium datasets, and its continuation, the international human epigenome consortium (IHEC). In particular, we have jointly re-processed all raw datasets from ENCODE and </w:t>
      </w:r>
      <w:commentRangeStart w:id="67"/>
      <w:r w:rsidDel="00000000" w:rsidR="00000000" w:rsidRPr="00000000">
        <w:rPr>
          <w:rFonts w:ascii="Arial" w:cs="Arial" w:eastAsia="Arial" w:hAnsi="Arial"/>
          <w:color w:val="999999"/>
          <w:sz w:val="12"/>
          <w:szCs w:val="12"/>
          <w:rtl w:val="0"/>
        </w:rPr>
        <w:t xml:space="preserve">the </w:t>
      </w:r>
      <w:commentRangeEnd w:id="67"/>
      <w:r w:rsidDel="00000000" w:rsidR="00000000" w:rsidRPr="00000000">
        <w:commentReference w:id="67"/>
      </w:r>
      <w:commentRangeEnd w:id="64"/>
      <w:r w:rsidDel="00000000" w:rsidR="00000000" w:rsidRPr="00000000">
        <w:commentReference w:id="64"/>
      </w:r>
      <w:commentRangeEnd w:id="65"/>
      <w:r w:rsidDel="00000000" w:rsidR="00000000" w:rsidRPr="00000000">
        <w:commentReference w:id="65"/>
      </w:r>
      <w:commentRangeEnd w:id="66"/>
      <w:r w:rsidDel="00000000" w:rsidR="00000000" w:rsidRPr="00000000">
        <w:commentReference w:id="66"/>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bookmarkStart w:colFirst="0" w:colLast="0" w:name="h.tgj9n4p0vbmm" w:id="7"/>
      <w:bookmarkEnd w:id="7"/>
      <w:r w:rsidDel="00000000" w:rsidR="00000000" w:rsidRPr="00000000">
        <w:rPr>
          <w:rFonts w:ascii="Arial" w:cs="Arial" w:eastAsia="Arial" w:hAnsi="Arial"/>
          <w:color w:val="999999"/>
          <w:sz w:val="12"/>
          <w:szCs w:val="12"/>
          <w:u w:val="single"/>
          <w:rtl w:val="0"/>
        </w:rPr>
        <w:t xml:space="preserve">***GTEx - Inter-relating ENCODE annotations with large-scale RNAseq &amp; eQTLs </w:t>
      </w:r>
      <w:r w:rsidDel="00000000" w:rsidR="00000000" w:rsidRPr="00000000">
        <w:rPr>
          <w:rFonts w:ascii="Arial" w:cs="Arial" w:eastAsia="Arial" w:hAnsi="Arial"/>
          <w:sz w:val="12"/>
          <w:szCs w:val="12"/>
          <w:rtl w:val="0"/>
        </w:rPr>
        <w:t xml:space="preserve">[[Roderic, Manolis, normalize, harmonize eQTLs ]]</w:t>
      </w:r>
    </w:p>
    <w:p w:rsidR="00000000" w:rsidDel="00000000" w:rsidP="00000000" w:rsidRDefault="00000000" w:rsidRPr="00000000">
      <w:pPr>
        <w:spacing w:after="100" w:lineRule="auto"/>
        <w:contextualSpacing w:val="0"/>
      </w:pPr>
      <w:bookmarkStart w:colFirst="0" w:colLast="0" w:name="h.265rwh2nvkws" w:id="8"/>
      <w:bookmarkEnd w:id="8"/>
      <w:r w:rsidDel="00000000" w:rsidR="00000000" w:rsidRPr="00000000">
        <w:rPr>
          <w:rtl w:val="0"/>
        </w:rPr>
      </w:r>
    </w:p>
    <w:p w:rsidR="00000000" w:rsidDel="00000000" w:rsidP="00000000" w:rsidRDefault="00000000" w:rsidRPr="00000000">
      <w:pPr>
        <w:spacing w:after="100" w:lineRule="auto"/>
        <w:contextualSpacing w:val="0"/>
      </w:pPr>
      <w:bookmarkStart w:colFirst="0" w:colLast="0" w:name="h.3i1uellenhoi" w:id="9"/>
      <w:bookmarkEnd w:id="9"/>
      <w:r w:rsidDel="00000000" w:rsidR="00000000" w:rsidRPr="00000000">
        <w:rPr>
          <w:rFonts w:ascii="Arial" w:cs="Arial" w:eastAsia="Arial" w:hAnsi="Arial"/>
          <w:color w:val="999999"/>
          <w:sz w:val="12"/>
          <w:szCs w:val="12"/>
          <w:rtl w:val="0"/>
        </w:rPr>
        <w:t xml:space="preserve">Other sources of complementary, large-scale human data include the NIH GTEx (Genotype-Tissue Expression) Project (</w:t>
      </w:r>
      <w:hyperlink r:id="rId118">
        <w:r w:rsidDel="00000000" w:rsidR="00000000" w:rsidRPr="00000000">
          <w:rPr>
            <w:rFonts w:ascii="Arial" w:cs="Arial" w:eastAsia="Arial" w:hAnsi="Arial"/>
            <w:color w:val="999999"/>
            <w:sz w:val="12"/>
            <w:szCs w:val="12"/>
            <w:u w:val="single"/>
            <w:rtl w:val="0"/>
          </w:rPr>
          <w:t xml:space="preserve">http://genome.gov/gtex</w:t>
        </w:r>
      </w:hyperlink>
      <w:r w:rsidDel="00000000" w:rsidR="00000000" w:rsidRPr="00000000">
        <w:rPr>
          <w:rFonts w:ascii="Arial" w:cs="Arial" w:eastAsia="Arial" w:hAnsi="Arial"/>
          <w:color w:val="999999"/>
          <w:sz w:val="12"/>
          <w:szCs w:val="12"/>
          <w:rtl w:val="0"/>
        </w:rPr>
        <w:t xml:space="preserve">), the NIMH Brainspan Project (</w:t>
      </w:r>
      <w:hyperlink r:id="rId119">
        <w:r w:rsidDel="00000000" w:rsidR="00000000" w:rsidRPr="00000000">
          <w:rPr>
            <w:rFonts w:ascii="Arial" w:cs="Arial" w:eastAsia="Arial" w:hAnsi="Arial"/>
            <w:color w:val="999999"/>
            <w:sz w:val="12"/>
            <w:szCs w:val="12"/>
            <w:u w:val="single"/>
            <w:rtl w:val="0"/>
          </w:rPr>
          <w:t xml:space="preserve">http://brainspan.org</w:t>
        </w:r>
      </w:hyperlink>
      <w:r w:rsidDel="00000000" w:rsidR="00000000" w:rsidRPr="00000000">
        <w:rPr>
          <w:rFonts w:ascii="Arial" w:cs="Arial" w:eastAsia="Arial" w:hAnsi="Arial"/>
          <w:color w:val="999999"/>
          <w:sz w:val="12"/>
          <w:szCs w:val="12"/>
          <w:rtl w:val="0"/>
        </w:rPr>
        <w:t xml:space="preserve">), and the NCI Cancer Genome Atlas (TCGA) Project (</w:t>
      </w:r>
      <w:hyperlink r:id="rId120">
        <w:r w:rsidDel="00000000" w:rsidR="00000000" w:rsidRPr="00000000">
          <w:rPr>
            <w:rFonts w:ascii="Arial" w:cs="Arial" w:eastAsia="Arial" w:hAnsi="Arial"/>
            <w:color w:val="999999"/>
            <w:sz w:val="12"/>
            <w:szCs w:val="12"/>
            <w:u w:val="single"/>
            <w:rtl w:val="0"/>
          </w:rPr>
          <w:t xml:space="preserve">http://cancergenome.nih.gov</w:t>
        </w:r>
      </w:hyperlink>
      <w:r w:rsidDel="00000000" w:rsidR="00000000" w:rsidRPr="00000000">
        <w:rPr>
          <w:rFonts w:ascii="Arial" w:cs="Arial" w:eastAsia="Arial" w:hAnsi="Arial"/>
          <w:color w:val="999999"/>
          <w:sz w:val="12"/>
          <w:szCs w:val="12"/>
          <w:rtl w:val="0"/>
        </w:rPr>
        <w:t xml:space="preserve">). Over 1,200 data samples from primary tissues have already been collected and analyzed during the initial stages of the GTEx project. We propose combining the large amount of population-specific lymphoblastoid genotype and mRNA expression data in ENCODE with the GTEx samples to improve the identification of expression quantitative trait loci (eQTL). In addition, compilation and comparison of DNA methylation, mRNA/miRNA expression, as well as genotype data from ENCODE, GTEx, and Brainspan, will permit a robust analysis of the expression landscape of the human brain and provide a valuable resource for other investigators given the scarcity of such large-scale, high-quality datasets.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12"/>
          <w:szCs w:val="12"/>
          <w:rtl w:val="0"/>
        </w:rPr>
        <w:t xml:space="preserve">***PsychENCODE/BrainSpan [[Gerstein, Weng, normalize, look consistency in pipelines, connect w eQTLs]]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12"/>
          <w:szCs w:val="12"/>
          <w:rtl w:val="0"/>
        </w:rPr>
        <w:t xml:space="preserve">We will compare parameters like thresholds for calling peaks in ChIP-seq data, look at discrepancies between the two projects and calibrate parameters to reduce biases due to cross-project analyses. In addition to comparing the parameters in the uniform processing pipelines, we will also directly compare the annotated genomic regions or transcripts called by these pipelines. For example, we will identify the brain cell types studied by ENCODE and other consortia, match them with the most appropriate datasets in psychENCODE, and investigate whether the corresponding pipelines in the two consortia have detected a similar set of genomic elements. While performing this comparison, we will take into account the differences in cell sources and the inherent variation among biological replicates, and focus on the regions and transcripts deemed most significant by either or both pipelines. If we identify major differences, we will investigate whether they are due to the underlying raw data, or the differences in the pipelines.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12"/>
          <w:szCs w:val="12"/>
          <w:rtl w:val="0"/>
        </w:rPr>
        <w:t xml:space="preserve">***</w:t>
      </w:r>
      <w:r w:rsidDel="00000000" w:rsidR="00000000" w:rsidRPr="00000000">
        <w:rPr>
          <w:rFonts w:ascii="Arial" w:cs="Arial" w:eastAsia="Arial" w:hAnsi="Arial"/>
          <w:sz w:val="12"/>
          <w:szCs w:val="12"/>
          <w:rtl w:val="0"/>
        </w:rPr>
        <w:t xml:space="preserve">exRNA [[Gerstein, shorten, different types]]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sz w:val="12"/>
          <w:szCs w:val="12"/>
          <w:rtl w:val="0"/>
        </w:rPr>
        <w:t xml:space="preserve">Moreover, Gerstein lab has considerable expertise in developing standardized pipelines and quality control metrics for RNA-Seq and evaluating them in many consortia including the Extracellular RNA Communication Consortium (ERCC). The lab has developed a custom pipeline developed for the analysis of small exRNA-seq data for the Extracellular RNA Communication Consortium (ERCC). The Gerstein Lab is in charge of the DIAC of the exRNA consortium to develop the standardized RNA-seq pipelines for the analysis of exRNAs.</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color w:val="999999"/>
          <w:sz w:val="12"/>
          <w:szCs w:val="12"/>
          <w:u w:val="single"/>
          <w:rtl w:val="0"/>
        </w:rPr>
        <w:t xml:space="preserve">***1000 Genomes &amp; Germline Variants [[Gerstein]]</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color w:val="999999"/>
          <w:sz w:val="12"/>
          <w:szCs w:val="12"/>
          <w:rtl w:val="0"/>
        </w:rPr>
        <w:t xml:space="preserve">We aim to integrate different non-coding annotations with the variants identified by the 1000 Genomes Consortium. In this way, the non-coding annotation of each variant will be available to all users of the 1000 Genomes data and should serve as a valuable resource for the genetics community to identify the causal variant in GWAS. It will also provide easy access to downstream analyses for all the users. For instance, it will enable the calculation of selection pressure on variants in different annotation classes. The integration of ENCODE data with 1000 Genomes variants (SNPs, small insertions and deletions, and large structural variants) will be provided in the annotated Variant Call Format (VCF; </w:t>
      </w:r>
      <w:hyperlink r:id="rId121">
        <w:r w:rsidDel="00000000" w:rsidR="00000000" w:rsidRPr="00000000">
          <w:rPr>
            <w:rFonts w:ascii="Arial" w:cs="Arial" w:eastAsia="Arial" w:hAnsi="Arial"/>
            <w:color w:val="999999"/>
            <w:sz w:val="12"/>
            <w:szCs w:val="12"/>
            <w:u w:val="single"/>
            <w:rtl w:val="0"/>
          </w:rPr>
          <w:t xml:space="preserve">http://www.1000genomes.org/node/101</w:t>
        </w:r>
      </w:hyperlink>
      <w:r w:rsidDel="00000000" w:rsidR="00000000" w:rsidRPr="00000000">
        <w:rPr>
          <w:rFonts w:ascii="Arial" w:cs="Arial" w:eastAsia="Arial" w:hAnsi="Arial"/>
          <w:color w:val="999999"/>
          <w:sz w:val="12"/>
          <w:szCs w:val="12"/>
          <w:rtl w:val="0"/>
        </w:rPr>
        <w:t xml:space="preserve">) These VCF files will contain the annotation of each genomic variant, including presence in non-coding RNA, TF peaks, TF motifs, and pseudogenes. Furthermore, SNPs which exhibit allele-specific behavior will also be identified with a distinct tag in the VCF files.</w:t>
      </w:r>
    </w:p>
    <w:p w:rsidR="00000000" w:rsidDel="00000000" w:rsidP="00000000" w:rsidRDefault="00000000" w:rsidRPr="00000000">
      <w:pPr>
        <w:spacing w:after="100" w:lineRule="auto"/>
        <w:contextualSpacing w:val="0"/>
      </w:pPr>
      <w:bookmarkStart w:colFirst="0" w:colLast="0" w:name="h.fxav2az61mho" w:id="10"/>
      <w:bookmarkEnd w:id="10"/>
      <w:r w:rsidDel="00000000" w:rsidR="00000000" w:rsidRPr="00000000">
        <w:rPr>
          <w:rFonts w:ascii="Arial" w:cs="Arial" w:eastAsia="Arial" w:hAnsi="Arial"/>
          <w:color w:val="999999"/>
          <w:sz w:val="12"/>
          <w:szCs w:val="12"/>
          <w:rtl w:val="0"/>
        </w:rPr>
        <w:t xml:space="preserve">***TCGA/ICGC/PCAWG - Somatic Variants &amp; Cancer Functional Genomics Data [[Shirley, Gerstein, somatic variants &amp; also harmonizing RNA-seq]] </w:t>
      </w:r>
    </w:p>
    <w:p w:rsidR="00000000" w:rsidDel="00000000" w:rsidP="00000000" w:rsidRDefault="00000000" w:rsidRPr="00000000">
      <w:pPr>
        <w:spacing w:after="100" w:lineRule="auto"/>
        <w:contextualSpacing w:val="0"/>
      </w:pPr>
      <w:bookmarkStart w:colFirst="0" w:colLast="0" w:name="h.mc2f8zc6fp5d" w:id="11"/>
      <w:bookmarkEnd w:id="11"/>
      <w:r w:rsidDel="00000000" w:rsidR="00000000" w:rsidRPr="00000000">
        <w:rPr>
          <w:rFonts w:ascii="Arial" w:cs="Arial" w:eastAsia="Arial" w:hAnsi="Arial"/>
          <w:color w:val="999999"/>
          <w:sz w:val="12"/>
          <w:szCs w:val="12"/>
          <w:rtl w:val="0"/>
        </w:rPr>
        <w:t xml:space="preserve">Finally, the integration of the large volume of ENCODE cancer data (from both primary tissue samples and immortalized cell lines) with over 500 clinical samples in TGCA will enable analyses of somatic mutations, mRNA/miRNA expression, copy number, and DNA methylation on an unprecedented scale.</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12"/>
          <w:szCs w:val="12"/>
          <w:u w:val="single"/>
          <w:rtl w:val="0"/>
        </w:rPr>
        <w:t xml:space="preserve">***</w:t>
      </w:r>
      <w:commentRangeStart w:id="68"/>
      <w:r w:rsidDel="00000000" w:rsidR="00000000" w:rsidRPr="00000000">
        <w:rPr>
          <w:rFonts w:ascii="Arial" w:cs="Arial" w:eastAsia="Arial" w:hAnsi="Arial"/>
          <w:sz w:val="12"/>
          <w:szCs w:val="12"/>
          <w:u w:val="single"/>
          <w:rtl w:val="0"/>
        </w:rPr>
        <w:t xml:space="preserve">4D Nucleome Consortium</w:t>
      </w:r>
      <w:commentRangeEnd w:id="68"/>
      <w:r w:rsidDel="00000000" w:rsidR="00000000" w:rsidRPr="00000000">
        <w:commentReference w:id="68"/>
      </w:r>
      <w:r w:rsidDel="00000000" w:rsidR="00000000" w:rsidRPr="00000000">
        <w:rPr>
          <w:rFonts w:ascii="Arial" w:cs="Arial" w:eastAsia="Arial" w:hAnsi="Arial"/>
          <w:sz w:val="12"/>
          <w:szCs w:val="12"/>
          <w:u w:val="single"/>
          <w:rtl w:val="0"/>
        </w:rPr>
        <w:t xml:space="preserve"> - [[Noble, More elaborate chromatin annotations]]</w:t>
      </w:r>
    </w:p>
    <w:p w:rsidR="00000000" w:rsidDel="00000000" w:rsidP="00000000" w:rsidRDefault="00000000" w:rsidRPr="00000000">
      <w:pPr>
        <w:spacing w:before="60" w:lineRule="auto"/>
        <w:contextualSpacing w:val="0"/>
      </w:pPr>
      <w:r w:rsidDel="00000000" w:rsidR="00000000" w:rsidRPr="00000000">
        <w:rPr>
          <w:rFonts w:ascii="Arial" w:cs="Arial" w:eastAsia="Arial" w:hAnsi="Arial"/>
          <w:sz w:val="12"/>
          <w:szCs w:val="12"/>
          <w:rtl w:val="0"/>
        </w:rPr>
        <w:t xml:space="preserve">Recently, Dr. Noble and and Dr. Jay Shendure, in collaboration with five other UW investigators, were awarded a U54 center grant as part of the NIH 4D Nucleome Consortium. With Bing Ren, Dr. Noble is co-chairing the steering committee for the 4D Nucleome Nuclear Organization and Function Interdisciplinary Consortium. Dr. Noble is thus in an excellent position to ensure coordination between the ENCODE and 4D Nucleome consortia.</w:t>
      </w:r>
    </w:p>
    <w:p w:rsidR="00000000" w:rsidDel="00000000" w:rsidP="00000000" w:rsidRDefault="00000000" w:rsidRPr="00000000">
      <w:pPr>
        <w:ind w:firstLine="340"/>
        <w:contextualSpacing w:val="0"/>
      </w:pPr>
      <w:commentRangeStart w:id="69"/>
      <w:commentRangeStart w:id="70"/>
      <w:r w:rsidDel="00000000" w:rsidR="00000000" w:rsidRPr="00000000">
        <w:rPr>
          <w:rFonts w:ascii="Arial" w:cs="Arial" w:eastAsia="Arial" w:hAnsi="Arial"/>
          <w:sz w:val="12"/>
          <w:szCs w:val="12"/>
          <w:rtl w:val="0"/>
        </w:rPr>
        <w:t xml:space="preserve">We have already developed one computational method that will facilitate integration between ENCODE and 4DN data. Graph-based regularization (GBR) is a principled method for making use of Hi-C data during the semi-automated annotation of the genome 41 (); 64 (). GBR expresses a pairwise prior that encourages certain pairs of genomic loci to receive the same label in a genome annotation. We used GBR to exploit Hi-C data during genome annotation by encouraging positions that are close in 3D to occupy the same type of domain. Using this approach, we produced a model of chromatin domains in eight human cell types, thereby revealing the relationships among known domain types. Through this model, we identified clusters of tightly regulated genes expressed in only a small number of cell types, which we term “specific expression domains.” We also found that domain boundaries marked by promoters and CTCF motifs are consistent between cell types even when domain activity changes. During the next phase of the ENCODE project, we will deploy GBR in Segway, thereby making use of Hi-C data being generated both within ENCODE and by the 4D Nucleome Consortium.</w:t>
      </w:r>
    </w:p>
    <w:p w:rsidR="00000000" w:rsidDel="00000000" w:rsidP="00000000" w:rsidRDefault="00000000" w:rsidRPr="00000000">
      <w:pPr>
        <w:ind w:firstLine="340"/>
        <w:contextualSpacing w:val="0"/>
      </w:pPr>
      <w:r w:rsidDel="00000000" w:rsidR="00000000" w:rsidRPr="00000000">
        <w:rPr>
          <w:rFonts w:ascii="Arial" w:cs="Arial" w:eastAsia="Arial" w:hAnsi="Arial"/>
          <w:sz w:val="12"/>
          <w:szCs w:val="12"/>
          <w:rtl w:val="0"/>
        </w:rPr>
        <w:t xml:space="preserve">We will also explore the use of Hi-C and other ENCODE data types to assist in 3D structural inference. One particularly valuable, orthogonal type of data that the 4D Nucleome Consortium will be generating is microscopy data. For example, oligopainting data can be used to visualize different types of topologically associated domains 65 (). We will use such data in combination with Hi-C data generated by ENCODE in a hierarchical extension of our existing Pastis 3D structure inference algorithm 13 (). In general, we expect within-domain contact probabilities to exhibit different scaling properties relative to genomic distance 66 (). Accordingly, a series of hyperparameters corresponding to domains of different sizes will adjust the Poisson distribution in the Pastis model, or the Poisson rates might be sampled from a prior distribution derived from the microscopy data. Additional constraints will come from ENCODE CTCF and PolII ChIP-seq data, which empirical evidence based on Hi-C suggests tend to bind to regions on the outside of the 3D structure 9 ().</w:t>
      </w:r>
      <w:commentRangeEnd w:id="69"/>
      <w:r w:rsidDel="00000000" w:rsidR="00000000" w:rsidRPr="00000000">
        <w:commentReference w:id="69"/>
      </w:r>
      <w:commentRangeEnd w:id="70"/>
      <w:r w:rsidDel="00000000" w:rsidR="00000000" w:rsidRPr="00000000">
        <w:commentReference w:id="70"/>
      </w:r>
      <w:r w:rsidDel="00000000" w:rsidR="00000000" w:rsidRPr="00000000">
        <w:rPr>
          <w:rtl w:val="0"/>
        </w:rPr>
      </w:r>
    </w:p>
    <w:p w:rsidR="00000000" w:rsidDel="00000000" w:rsidP="00000000" w:rsidRDefault="00000000" w:rsidRPr="00000000">
      <w:pPr>
        <w:ind w:firstLine="340"/>
        <w:contextualSpacing w:val="0"/>
      </w:pPr>
      <w:r w:rsidDel="00000000" w:rsidR="00000000" w:rsidRPr="00000000">
        <w:rPr>
          <w:rtl w:val="0"/>
        </w:rPr>
      </w:r>
    </w:p>
    <w:p w:rsidR="00000000" w:rsidDel="00000000" w:rsidP="00000000" w:rsidRDefault="00000000" w:rsidRPr="00000000">
      <w:pPr>
        <w:spacing w:after="100" w:lineRule="auto"/>
        <w:contextualSpacing w:val="0"/>
      </w:pPr>
      <w:commentRangeStart w:id="71"/>
      <w:r w:rsidDel="00000000" w:rsidR="00000000" w:rsidRPr="00000000">
        <w:rPr>
          <w:rFonts w:ascii="Arial" w:cs="Arial" w:eastAsia="Arial" w:hAnsi="Arial"/>
          <w:color w:val="999999"/>
          <w:sz w:val="18"/>
          <w:szCs w:val="18"/>
          <w:u w:val="single"/>
          <w:rtl w:val="0"/>
        </w:rPr>
        <w:t xml:space="preserve">2.XXX. Data integration for defining protein-coding and non-coding genes and transcripts. </w:t>
      </w:r>
      <w:commentRangeEnd w:id="71"/>
      <w:r w:rsidDel="00000000" w:rsidR="00000000" w:rsidRPr="00000000">
        <w:commentReference w:id="71"/>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rtl w:val="0"/>
        </w:rPr>
        <w:t xml:space="preserve">To characterize coding and non-coding transcripts, we will integrate RNA-seq data, promoter-associated chromatin marks, transcription elongation-associated chromatin marks, and comparative genomics of related species.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Transcriptional evidence:</w:t>
      </w:r>
      <w:r w:rsidDel="00000000" w:rsidR="00000000" w:rsidRPr="00000000">
        <w:rPr>
          <w:rFonts w:ascii="Arial" w:cs="Arial" w:eastAsia="Arial" w:hAnsi="Arial"/>
          <w:color w:val="999999"/>
          <w:sz w:val="18"/>
          <w:szCs w:val="18"/>
          <w:rtl w:val="0"/>
        </w:rPr>
        <w:t xml:space="preserve"> Several types of data generated by ENCODE provide transcriptional evidence</w:t>
      </w:r>
      <w:r w:rsidDel="00000000" w:rsidR="00000000" w:rsidRPr="00000000">
        <w:rPr>
          <w:rFonts w:ascii="Arial" w:cs="Arial" w:eastAsia="Arial" w:hAnsi="Arial"/>
          <w:color w:val="999999"/>
          <w:sz w:val="18"/>
          <w:szCs w:val="18"/>
          <w:vertAlign w:val="superscript"/>
          <w:rtl w:val="0"/>
        </w:rPr>
        <w:t xml:space="preserve">56</w:t>
      </w:r>
      <w:r w:rsidDel="00000000" w:rsidR="00000000" w:rsidRPr="00000000">
        <w:rPr>
          <w:rFonts w:ascii="Arial" w:cs="Arial" w:eastAsia="Arial" w:hAnsi="Arial"/>
          <w:color w:val="999999"/>
          <w:sz w:val="18"/>
          <w:szCs w:val="18"/>
          <w:rtl w:val="0"/>
        </w:rPr>
        <w:t xml:space="preserve">: RNA-seq can be used to derive the structure and level of transcripts, CAGE determines the precise positions of the 5’ ends of transcripts, and RNA-PET (also called diTAGs) provides connectivity for the 5’ and 3’ ends of transcripts. Moreover, ENCODE has generated transcript data with high-density (5 bp) tiling DNA microarrays for some cell lines.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Chromatin evidence:</w:t>
      </w:r>
      <w:r w:rsidDel="00000000" w:rsidR="00000000" w:rsidRPr="00000000">
        <w:rPr>
          <w:rFonts w:ascii="Arial" w:cs="Arial" w:eastAsia="Arial" w:hAnsi="Arial"/>
          <w:color w:val="999999"/>
          <w:sz w:val="18"/>
          <w:szCs w:val="18"/>
          <w:rtl w:val="0"/>
        </w:rPr>
        <w:t xml:space="preserve"> We have found that distinct combinations of chromatin marks and chromatin accessibility are associated with promoter regions, transcribed regions, and transcription termination regions. Surprisingly, internal exon-intron boundaries are also associated with distinct chromatin marks and nucleosome positioning biases</w:t>
      </w:r>
      <w:r w:rsidDel="00000000" w:rsidR="00000000" w:rsidRPr="00000000">
        <w:rPr>
          <w:rFonts w:ascii="Arial" w:cs="Arial" w:eastAsia="Arial" w:hAnsi="Arial"/>
          <w:color w:val="999999"/>
          <w:sz w:val="18"/>
          <w:szCs w:val="18"/>
          <w:vertAlign w:val="superscript"/>
          <w:rtl w:val="0"/>
        </w:rPr>
        <w:t xml:space="preserve">57</w:t>
      </w:r>
      <w:r w:rsidDel="00000000" w:rsidR="00000000" w:rsidRPr="00000000">
        <w:rPr>
          <w:rFonts w:ascii="Arial" w:cs="Arial" w:eastAsia="Arial" w:hAnsi="Arial"/>
          <w:color w:val="999999"/>
          <w:sz w:val="18"/>
          <w:szCs w:val="18"/>
          <w:rtl w:val="0"/>
        </w:rPr>
        <w:t xml:space="preserve">, suggesting that these can be used as an additional line of evidence in defining transcript boundaries, especially with respect to low-expression genes for which the transcriptional evidence may be weaker. We have recently used such marks to discover more than a thousand novel long intergenic non-coding RNAs (lincRNAs) in mouse</w:t>
      </w:r>
      <w:r w:rsidDel="00000000" w:rsidR="00000000" w:rsidRPr="00000000">
        <w:rPr>
          <w:rFonts w:ascii="Arial" w:cs="Arial" w:eastAsia="Arial" w:hAnsi="Arial"/>
          <w:color w:val="999999"/>
          <w:sz w:val="18"/>
          <w:szCs w:val="18"/>
          <w:vertAlign w:val="superscript"/>
          <w:rtl w:val="0"/>
        </w:rPr>
        <w:t xml:space="preserve">58</w:t>
      </w:r>
      <w:r w:rsidDel="00000000" w:rsidR="00000000" w:rsidRPr="00000000">
        <w:rPr>
          <w:rFonts w:ascii="Arial" w:cs="Arial" w:eastAsia="Arial" w:hAnsi="Arial"/>
          <w:color w:val="999999"/>
          <w:sz w:val="18"/>
          <w:szCs w:val="18"/>
          <w:rtl w:val="0"/>
        </w:rPr>
        <w:t xml:space="preserve"> and more recently in human</w:t>
      </w:r>
      <w:r w:rsidDel="00000000" w:rsidR="00000000" w:rsidRPr="00000000">
        <w:rPr>
          <w:rFonts w:ascii="Arial" w:cs="Arial" w:eastAsia="Arial" w:hAnsi="Arial"/>
          <w:color w:val="999999"/>
          <w:sz w:val="18"/>
          <w:szCs w:val="18"/>
          <w:vertAlign w:val="superscript"/>
          <w:rtl w:val="0"/>
        </w:rPr>
        <w:t xml:space="preserve">24</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Comparative evidence:</w:t>
      </w:r>
      <w:r w:rsidDel="00000000" w:rsidR="00000000" w:rsidRPr="00000000">
        <w:rPr>
          <w:rFonts w:ascii="Arial" w:cs="Arial" w:eastAsia="Arial" w:hAnsi="Arial"/>
          <w:color w:val="999999"/>
          <w:sz w:val="18"/>
          <w:szCs w:val="18"/>
          <w:rtl w:val="0"/>
        </w:rPr>
        <w:t xml:space="preserve"> The Kellis lab identified evolutionary signatures that are uniquely associated with each class of functional elements</w:t>
      </w:r>
      <w:r w:rsidDel="00000000" w:rsidR="00000000" w:rsidRPr="00000000">
        <w:rPr>
          <w:rFonts w:ascii="Arial" w:cs="Arial" w:eastAsia="Arial" w:hAnsi="Arial"/>
          <w:color w:val="999999"/>
          <w:sz w:val="18"/>
          <w:szCs w:val="18"/>
          <w:vertAlign w:val="superscript"/>
          <w:rtl w:val="0"/>
        </w:rPr>
        <w:t xml:space="preserve">59</w:t>
      </w:r>
      <w:r w:rsidDel="00000000" w:rsidR="00000000" w:rsidRPr="00000000">
        <w:rPr>
          <w:rFonts w:ascii="Arial" w:cs="Arial" w:eastAsia="Arial" w:hAnsi="Arial"/>
          <w:color w:val="999999"/>
          <w:sz w:val="18"/>
          <w:szCs w:val="18"/>
          <w:rtl w:val="0"/>
        </w:rPr>
        <w:t xml:space="preserve">, with protein-coding genes showing distinct patterns of codon substitution frequencies and reading-frame conservation, non-coding RNAs showing compensatory changes and silent GU-involving substitutions, miRNAs showing a distinct conservation profile (high conservation in the star and mature arm and lower conservation in loop and flanking regions), and other structural conservation properties. We used these signatures to reveal at least 30 non-coding genes in the fly genome using modENCODE transcript data and comparative genomics of 12 Drosophila species</w:t>
      </w:r>
      <w:r w:rsidDel="00000000" w:rsidR="00000000" w:rsidRPr="00000000">
        <w:rPr>
          <w:rFonts w:ascii="Arial" w:cs="Arial" w:eastAsia="Arial" w:hAnsi="Arial"/>
          <w:color w:val="999999"/>
          <w:sz w:val="18"/>
          <w:szCs w:val="18"/>
          <w:vertAlign w:val="superscript"/>
          <w:rtl w:val="0"/>
        </w:rPr>
        <w:t xml:space="preserve">60</w:t>
      </w:r>
      <w:r w:rsidDel="00000000" w:rsidR="00000000" w:rsidRPr="00000000">
        <w:rPr>
          <w:rFonts w:ascii="Arial" w:cs="Arial" w:eastAsia="Arial" w:hAnsi="Arial"/>
          <w:color w:val="999999"/>
          <w:sz w:val="18"/>
          <w:szCs w:val="18"/>
          <w:rtl w:val="0"/>
        </w:rPr>
        <w:t xml:space="preserve">. We will apply a similar approach to human and mouse ENCODE data.</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Combinations of features:</w:t>
      </w:r>
      <w:r w:rsidDel="00000000" w:rsidR="00000000" w:rsidRPr="00000000">
        <w:rPr>
          <w:rFonts w:ascii="Arial" w:cs="Arial" w:eastAsia="Arial" w:hAnsi="Arial"/>
          <w:color w:val="999999"/>
          <w:sz w:val="18"/>
          <w:szCs w:val="18"/>
          <w:rtl w:val="0"/>
        </w:rPr>
        <w:t xml:space="preserve"> We will combine these transcriptional, chromatin, and comparative features to distinguish different classes of genes in a machine learning framework. We will use Support Vector Machines to classify each transcript into coding or non-coding. We will also apply a previously developed Conditional Random Field (CRF) framework to predict coding and non-coding exons and transcripts from the combined evidence. CRFs are graphical probabilistic models similar to Hidden Markov Models (HMMs) but they allow much richer feature sets due to their discriminative training nature. Lastly, we will associate non-coding RNAs with precursors of miRNAs, piRNAs, and other classes of small RNAs using short-RNA sequencing results.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Identification of non-coding RNA genes:</w:t>
      </w:r>
      <w:r w:rsidDel="00000000" w:rsidR="00000000" w:rsidRPr="00000000">
        <w:rPr>
          <w:rFonts w:ascii="Arial" w:cs="Arial" w:eastAsia="Arial" w:hAnsi="Arial"/>
          <w:color w:val="999999"/>
          <w:sz w:val="18"/>
          <w:szCs w:val="18"/>
          <w:rtl w:val="0"/>
        </w:rPr>
        <w:t xml:space="preserve"> We will utilize an integrative machine learning approach for identifying novel non-coding RNA (ncRNA) genes</w:t>
      </w:r>
      <w:r w:rsidDel="00000000" w:rsidR="00000000" w:rsidRPr="00000000">
        <w:rPr>
          <w:rFonts w:ascii="Arial" w:cs="Arial" w:eastAsia="Arial" w:hAnsi="Arial"/>
          <w:color w:val="999999"/>
          <w:sz w:val="18"/>
          <w:szCs w:val="18"/>
          <w:vertAlign w:val="superscript"/>
          <w:rtl w:val="0"/>
        </w:rPr>
        <w:t xml:space="preserve">17</w:t>
      </w:r>
      <w:r w:rsidDel="00000000" w:rsidR="00000000" w:rsidRPr="00000000">
        <w:rPr>
          <w:rFonts w:ascii="Arial" w:cs="Arial" w:eastAsia="Arial" w:hAnsi="Arial"/>
          <w:color w:val="999999"/>
          <w:sz w:val="18"/>
          <w:szCs w:val="18"/>
          <w:rtl w:val="0"/>
        </w:rPr>
        <w:t xml:space="preserve">. The method is based on support vector classification to classify non-coding RNAs from other elements like coding sequences and UTRs. For each non-coding RNA, a set of features are computed which are then used for training. These features comprise the quantities that are chosen to maximize the discriminatory power of the machine-learning algorithm. For example, high short RNA-seq expression levels, high secondary structure stability and conservation, medium nucleotide conservation, and low amino acid conservation are the expected characteristics for the non-coding RNAs. The machine learning algorithm enables combining these features for prediction of the new ncRNAs in a formal manner. The known non-coding RNAs are utilized as the training set for the method. We will then apply the method on the remaining unannotated parts of the genome to discover novel non-coding RNA genes.</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2.XXX Correlating gene expression with TF binding and histone modifications: </w:t>
      </w:r>
      <w:r w:rsidDel="00000000" w:rsidR="00000000" w:rsidRPr="00000000">
        <w:rPr>
          <w:rFonts w:ascii="Arial" w:cs="Arial" w:eastAsia="Arial" w:hAnsi="Arial"/>
          <w:color w:val="999999"/>
          <w:sz w:val="18"/>
          <w:szCs w:val="18"/>
          <w:rtl w:val="0"/>
        </w:rPr>
        <w:t xml:space="preserve">Transcriptome monitoring by RNA-seq can provide accurate genome-wide estimates of the steady-state abundance of transcripts. Such estimates are essential to fully understand the pathways involved in RNA biogenesis. A number of genetic and epigenetic factors cooperate to determine the abundance of a specific RNA species in a particular cellular compartment: 1. signals in genomic DNA and in intermediate RNA molecules, e.g., TF binding sites, splicing regulatory sites, and polyadenylation signals; 2. the structure and status of chromatin; and 3. the abundance and concentration of the regulatory molecules—including both proteins and RNAs themselves. The relative contribution of each of these factors and their mode of cooperation, are largely unknown. The goal of the ENCODE Project is to simultaneously monitor many of these factors across multiple cell conditions and types. </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rtl w:val="0"/>
        </w:rPr>
        <w:t xml:space="preserve">Given the gene expression data from RNA-seq and the TF binding or histone modification data from ChIP-seq experiments, the Gerstein and Weng labs have investigated their relationship in a quantitative fashion</w:t>
      </w:r>
      <w:r w:rsidDel="00000000" w:rsidR="00000000" w:rsidRPr="00000000">
        <w:rPr>
          <w:rFonts w:ascii="Arial" w:cs="Arial" w:eastAsia="Arial" w:hAnsi="Arial"/>
          <w:color w:val="999999"/>
          <w:sz w:val="18"/>
          <w:szCs w:val="18"/>
          <w:vertAlign w:val="superscript"/>
          <w:rtl w:val="0"/>
        </w:rPr>
        <w:t xml:space="preserve">5,61</w:t>
      </w:r>
      <w:r w:rsidDel="00000000" w:rsidR="00000000" w:rsidRPr="00000000">
        <w:rPr>
          <w:rFonts w:ascii="Arial" w:cs="Arial" w:eastAsia="Arial" w:hAnsi="Arial"/>
          <w:color w:val="999999"/>
          <w:sz w:val="18"/>
          <w:szCs w:val="18"/>
          <w:rtl w:val="0"/>
        </w:rPr>
        <w:t xml:space="preserve">. We have previously constructed TF models and histone modification models in different species from yeast to human</w:t>
      </w:r>
      <w:r w:rsidDel="00000000" w:rsidR="00000000" w:rsidRPr="00000000">
        <w:rPr>
          <w:rFonts w:ascii="Arial" w:cs="Arial" w:eastAsia="Arial" w:hAnsi="Arial"/>
          <w:color w:val="999999"/>
          <w:sz w:val="18"/>
          <w:szCs w:val="18"/>
          <w:vertAlign w:val="superscript"/>
          <w:rtl w:val="0"/>
        </w:rPr>
        <w:t xml:space="preserve">18,62,63</w:t>
      </w:r>
      <w:r w:rsidDel="00000000" w:rsidR="00000000" w:rsidRPr="00000000">
        <w:rPr>
          <w:rFonts w:ascii="Arial" w:cs="Arial" w:eastAsia="Arial" w:hAnsi="Arial"/>
          <w:color w:val="999999"/>
          <w:sz w:val="18"/>
          <w:szCs w:val="18"/>
          <w:rtl w:val="0"/>
        </w:rPr>
        <w:t xml:space="preserve">. Our results indicate that both TF binding and histone modifications are predictive of gene expression levels in a position dependent manner, and either account for at least 50% of gene expression level variation. The histone modification model accurately predicts gene expression in a wide chromatin region from the promoter to the transcribed regions, whereas the TF model achieves high accuracy only in a narrow chromatin region around transcription start sites (TSSs) of genes (Figure 4). Our study also indicates that TF and histone modifications are highly coordinated during transcriptional regulation and a combination of TF and histone modification signals does not further improve prediction accuracy relative to using each alone.</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rtl w:val="0"/>
        </w:rPr>
        <w:t xml:space="preserve">Based on the CpG content, promoters of genes can be divided into high CpG (HCP) and low CpG (LCP). Interestingly, we find that expression levels of HCPs are easier to predict than those of LCPs</w:t>
      </w:r>
      <w:r w:rsidDel="00000000" w:rsidR="00000000" w:rsidRPr="00000000">
        <w:rPr>
          <w:rFonts w:ascii="Arial" w:cs="Arial" w:eastAsia="Arial" w:hAnsi="Arial"/>
          <w:color w:val="999999"/>
          <w:sz w:val="18"/>
          <w:szCs w:val="18"/>
          <w:vertAlign w:val="superscript"/>
          <w:rtl w:val="0"/>
        </w:rPr>
        <w:t xml:space="preserve">5</w:t>
      </w:r>
      <w:r w:rsidDel="00000000" w:rsidR="00000000" w:rsidRPr="00000000">
        <w:rPr>
          <w:rFonts w:ascii="Arial" w:cs="Arial" w:eastAsia="Arial" w:hAnsi="Arial"/>
          <w:color w:val="999999"/>
          <w:sz w:val="18"/>
          <w:szCs w:val="18"/>
          <w:rtl w:val="0"/>
        </w:rPr>
        <w:t xml:space="preserve">. More detailed analysis indicates that the relative importance of TFs and histone modifications in the models are different between the two promoter categories. These results suggest different regulatory mechanisms between HCPs and LCPs. The prediction accuracy of TF and histone modification models to some extent reflects the quality of the expression data. For example, the models achieve significantly higher accuracy for expression measured by RNA-seq than by microarray. In addition, the models can also be used to predict the expression levels of non-coding RNAs (miRNAs) with fairly high accuracy. In the future, we suggest using the TF and histone modification models as a benchmark to understand transcription regulation.</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Predicting alternative splicing using chromatin modifications and TF binding</w:t>
      </w:r>
      <w:r w:rsidDel="00000000" w:rsidR="00000000" w:rsidRPr="00000000">
        <w:rPr>
          <w:rFonts w:ascii="Arial" w:cs="Arial" w:eastAsia="Arial" w:hAnsi="Arial"/>
          <w:color w:val="999999"/>
          <w:sz w:val="18"/>
          <w:szCs w:val="18"/>
          <w:rtl w:val="0"/>
        </w:rPr>
        <w:t xml:space="preserve">. We propose to investigate how inclusion levels of alternative exons covariate with histone modifications and TF binding, which will help us understand how these factors cooperate to modulate the specific abundance of RNA splice variants in the cell. Sophisticated probabilistic models have been recently developed to successfully predict tissue specific exonic inclusion</w:t>
      </w:r>
      <w:r w:rsidDel="00000000" w:rsidR="00000000" w:rsidRPr="00000000">
        <w:rPr>
          <w:rFonts w:ascii="Arial" w:cs="Arial" w:eastAsia="Arial" w:hAnsi="Arial"/>
          <w:color w:val="999999"/>
          <w:sz w:val="18"/>
          <w:szCs w:val="18"/>
          <w:vertAlign w:val="superscript"/>
          <w:rtl w:val="0"/>
        </w:rPr>
        <w:t xml:space="preserve">64</w:t>
      </w:r>
      <w:r w:rsidDel="00000000" w:rsidR="00000000" w:rsidRPr="00000000">
        <w:rPr>
          <w:rFonts w:ascii="Arial" w:cs="Arial" w:eastAsia="Arial" w:hAnsi="Arial"/>
          <w:color w:val="999999"/>
          <w:sz w:val="18"/>
          <w:szCs w:val="18"/>
          <w:rtl w:val="0"/>
        </w:rPr>
        <w:t xml:space="preserve">. However, the splicing code delineated in such a way includes hundreds of variables, many of which are concomitant but unlikely to be mechanistically involved in splicing. Within the current phase of ENCODE the Guigo lab has used statistical models to explore the relationship between levels of histone modifications and inclusion of exons. We found that, even when controlled for gene expression, some histone marks (e.g., H3K9ac and H3K36me3) are consistently significant (albeit weak) predictors of exon inclusion, and we built a predictive model of exon inclusion by combining the signals of these marks</w:t>
      </w:r>
      <w:r w:rsidDel="00000000" w:rsidR="00000000" w:rsidRPr="00000000">
        <w:rPr>
          <w:rFonts w:ascii="Arial" w:cs="Arial" w:eastAsia="Arial" w:hAnsi="Arial"/>
          <w:color w:val="999999"/>
          <w:sz w:val="18"/>
          <w:szCs w:val="18"/>
          <w:vertAlign w:val="superscript"/>
          <w:rtl w:val="0"/>
        </w:rPr>
        <w:t xml:space="preserve">25,28</w:t>
      </w:r>
      <w:r w:rsidDel="00000000" w:rsidR="00000000" w:rsidRPr="00000000">
        <w:rPr>
          <w:rFonts w:ascii="Arial" w:cs="Arial" w:eastAsia="Arial" w:hAnsi="Arial"/>
          <w:color w:val="999999"/>
          <w:sz w:val="18"/>
          <w:szCs w:val="18"/>
          <w:rtl w:val="0"/>
        </w:rPr>
        <w:t xml:space="preserve"> (Figure 5). By computing a measure of splicing completion on RNA-seq datasets obtained in different sub-cellular compartments, we found strong evidence that splicing in the human genome occurs predominantly during transcription</w:t>
      </w:r>
      <w:r w:rsidDel="00000000" w:rsidR="00000000" w:rsidRPr="00000000">
        <w:rPr>
          <w:rFonts w:ascii="Arial" w:cs="Arial" w:eastAsia="Arial" w:hAnsi="Arial"/>
          <w:color w:val="999999"/>
          <w:sz w:val="18"/>
          <w:szCs w:val="18"/>
          <w:vertAlign w:val="superscript"/>
          <w:rtl w:val="0"/>
        </w:rPr>
        <w:t xml:space="preserve">29</w:t>
      </w:r>
      <w:r w:rsidDel="00000000" w:rsidR="00000000" w:rsidRPr="00000000">
        <w:rPr>
          <w:rFonts w:ascii="Arial" w:cs="Arial" w:eastAsia="Arial" w:hAnsi="Arial"/>
          <w:color w:val="999999"/>
          <w:sz w:val="18"/>
          <w:szCs w:val="18"/>
          <w:rtl w:val="0"/>
        </w:rPr>
        <w:t xml:space="preserve">, providing a molecular justification to the increasing evidence connecting chromatin with splicing</w:t>
      </w:r>
      <w:r w:rsidDel="00000000" w:rsidR="00000000" w:rsidRPr="00000000">
        <w:rPr>
          <w:rFonts w:ascii="Arial" w:cs="Arial" w:eastAsia="Arial" w:hAnsi="Arial"/>
          <w:color w:val="999999"/>
          <w:sz w:val="18"/>
          <w:szCs w:val="18"/>
          <w:vertAlign w:val="superscript"/>
          <w:rtl w:val="0"/>
        </w:rPr>
        <w:t xml:space="preserve">65</w:t>
      </w:r>
      <w:r w:rsidDel="00000000" w:rsidR="00000000" w:rsidRPr="00000000">
        <w:rPr>
          <w:rFonts w:ascii="Arial" w:cs="Arial" w:eastAsia="Arial" w:hAnsi="Arial"/>
          <w:color w:val="999999"/>
          <w:sz w:val="18"/>
          <w:szCs w:val="18"/>
          <w:rtl w:val="0"/>
        </w:rPr>
        <w:t xml:space="preserve">. We propose to further develop and apply statistical methods to the data obtained through the ENCODE Project, as well as to other publicly available data, to identify novel genetic and epigenetic factors involved in RNA processing, splicing in particular. We propose to:</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rtl w:val="0"/>
        </w:rPr>
        <w:t xml:space="preserve">1. Identify and characterize histone modifications that play a role in the regulation of alternative splicing, using correlation and modeling analysis.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rtl w:val="0"/>
        </w:rPr>
        <w:t xml:space="preserve">2. Apply methods used to investigate the distribution of TF binding sites in promoter regions to investigate their distribution in exons and exon-intron boundaries. We will further correlate exon skipping events, as measured by RNA-seq, with differential binding of TFs.</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rtl w:val="0"/>
        </w:rPr>
        <w:t xml:space="preserve">3. Identify novel regulators of splicing by searching for co-variation between the levels of exon inclusion (or alternative splicing events in general) and gene expression. This approach will uncover protein coding genes not yet known to play a role in splicing regulation, and more interestingly, lncRNAs that may act as splicing regulators. The RNA expression levels of protein coding genes are only a proxy for protein expression—the latter is the effector of the biological function. In contrast, expression levels of lncRNAs are almost the actual physiological levels. Inferences based on co-variation between exon inclusion and abundances of lncRNAs are therefore more likely to be biologically meaningful.</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rtl w:val="0"/>
        </w:rPr>
        <w:t xml:space="preserve">4. We will investigate the relationship between RNA expression levels, protein expression levels, and protein binding activity—both to DNA and RNA—for transcription and splicing regulators, and determine how they relate to cellular abundance of the regulated RNAs.</w:t>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2.XXX Associate TF/miRNA with their targets: </w:t>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rtl w:val="0"/>
        </w:rPr>
        <w:t xml:space="preserve">Given a high-quality annotation of enhancers, promoters, insulators, protein-coding genes (including all transcription factors, TFs), microRNAs, and other non-coding RNAs, we will work to piece together regulatory networks based on condition-specific TF binding, conserved TF motif instances in active promoter and enhancer regions, and conserved miRNA motif instances in 3’UTRs. The Kellis lab previously showed that comparative genomics of the 12 Drosophila genomes enables the high-accuracy definition of regulator targets, and that combining comparative genomics with condition-specific TF binding led to a further increase in signal</w:t>
      </w:r>
      <w:r w:rsidDel="00000000" w:rsidR="00000000" w:rsidRPr="00000000">
        <w:rPr>
          <w:rFonts w:ascii="Arial" w:cs="Arial" w:eastAsia="Arial" w:hAnsi="Arial"/>
          <w:color w:val="999999"/>
          <w:sz w:val="18"/>
          <w:szCs w:val="18"/>
          <w:vertAlign w:val="superscript"/>
          <w:rtl w:val="0"/>
        </w:rPr>
        <w:t xml:space="preserve">67</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Binding vs. regulation</w:t>
      </w:r>
      <w:r w:rsidDel="00000000" w:rsidR="00000000" w:rsidRPr="00000000">
        <w:rPr>
          <w:rFonts w:ascii="Arial" w:cs="Arial" w:eastAsia="Arial" w:hAnsi="Arial"/>
          <w:color w:val="999999"/>
          <w:sz w:val="18"/>
          <w:szCs w:val="18"/>
          <w:rtl w:val="0"/>
        </w:rPr>
        <w:t xml:space="preserve">: We will use condition-specific changes in gene expression levels of TFs, miRNAs, and their targets to distinguish ‘biochemical’ binding from ‘biological’ transcriptional regulation. The Kellis lab previously showed that bound motifs associated with expression changes are under stronger selective pressure across related species, and show stronger functional enrichments</w:t>
      </w:r>
      <w:r w:rsidDel="00000000" w:rsidR="00000000" w:rsidRPr="00000000">
        <w:rPr>
          <w:rFonts w:ascii="Arial" w:cs="Arial" w:eastAsia="Arial" w:hAnsi="Arial"/>
          <w:color w:val="999999"/>
          <w:sz w:val="18"/>
          <w:szCs w:val="18"/>
          <w:vertAlign w:val="superscript"/>
          <w:rtl w:val="0"/>
        </w:rPr>
        <w:t xml:space="preserve">67</w:t>
      </w:r>
      <w:r w:rsidDel="00000000" w:rsidR="00000000" w:rsidRPr="00000000">
        <w:rPr>
          <w:rFonts w:ascii="Arial" w:cs="Arial" w:eastAsia="Arial" w:hAnsi="Arial"/>
          <w:color w:val="999999"/>
          <w:sz w:val="18"/>
          <w:szCs w:val="18"/>
          <w:rtl w:val="0"/>
        </w:rPr>
        <w:t xml:space="preserve">. This suggests that we can use positive or negative expression changes to further annotate our inferred transcriptional networks with activation, repression, or simply binding edges, when no effect is detectable. We have further characterized the chromatin and sequence context of each of these three classes of edges, to search for predictive features of each class that could lead to new insights on the logic of gene regulation</w:t>
      </w:r>
      <w:r w:rsidDel="00000000" w:rsidR="00000000" w:rsidRPr="00000000">
        <w:rPr>
          <w:rFonts w:ascii="Arial" w:cs="Arial" w:eastAsia="Arial" w:hAnsi="Arial"/>
          <w:color w:val="999999"/>
          <w:sz w:val="18"/>
          <w:szCs w:val="18"/>
          <w:vertAlign w:val="superscript"/>
          <w:rtl w:val="0"/>
        </w:rPr>
        <w:t xml:space="preserve">68</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tl w:val="0"/>
        </w:rPr>
      </w:r>
    </w:p>
    <w:p w:rsidR="00000000" w:rsidDel="00000000" w:rsidP="00000000" w:rsidRDefault="00000000" w:rsidRPr="00000000">
      <w:pPr>
        <w:spacing w:after="100" w:lineRule="auto"/>
        <w:contextualSpacing w:val="0"/>
      </w:pPr>
      <w:r w:rsidDel="00000000" w:rsidR="00000000" w:rsidRPr="00000000">
        <w:rPr>
          <w:rFonts w:ascii="Arial" w:cs="Arial" w:eastAsia="Arial" w:hAnsi="Arial"/>
          <w:color w:val="999999"/>
          <w:sz w:val="18"/>
          <w:szCs w:val="18"/>
          <w:u w:val="single"/>
          <w:rtl w:val="0"/>
        </w:rPr>
        <w:t xml:space="preserve">2.XXX miRNA regulation:</w:t>
      </w:r>
      <w:r w:rsidDel="00000000" w:rsidR="00000000" w:rsidRPr="00000000">
        <w:rPr>
          <w:rFonts w:ascii="Arial" w:cs="Arial" w:eastAsia="Arial" w:hAnsi="Arial"/>
          <w:color w:val="999999"/>
          <w:sz w:val="18"/>
          <w:szCs w:val="18"/>
          <w:rtl w:val="0"/>
        </w:rPr>
        <w:t xml:space="preserve"> A complete view of mixed TF/miRNA pre- and post-transcriptional networks requires accurate promoter and enhancer annotation for miRNA precursors, and accurate tissue- and stage-specific 3’UTRs for all miRNA target genes. Kellis led the fly modENCODE integrative paper and generated TF/miRNA regulatory networks</w:t>
      </w:r>
      <w:r w:rsidDel="00000000" w:rsidR="00000000" w:rsidRPr="00000000">
        <w:rPr>
          <w:rFonts w:ascii="Arial" w:cs="Arial" w:eastAsia="Arial" w:hAnsi="Arial"/>
          <w:color w:val="999999"/>
          <w:sz w:val="18"/>
          <w:szCs w:val="18"/>
          <w:vertAlign w:val="superscript"/>
          <w:rtl w:val="0"/>
        </w:rPr>
        <w:t xml:space="preserve">60</w:t>
      </w:r>
      <w:r w:rsidDel="00000000" w:rsidR="00000000" w:rsidRPr="00000000">
        <w:rPr>
          <w:rFonts w:ascii="Arial" w:cs="Arial" w:eastAsia="Arial" w:hAnsi="Arial"/>
          <w:color w:val="999999"/>
          <w:sz w:val="18"/>
          <w:szCs w:val="18"/>
          <w:rtl w:val="0"/>
        </w:rPr>
        <w:t xml:space="preserve"> (Figure 7) and we will perform similar analysis on human and mouse ENCODE data. We will use chromatin marks to annotate miRNA promoters based on genomic proximity and tissue-correlated activity. We will use the longest 3’UTR from updated gene models combined with multi-species sequence alignments based on the most up-to-date genome alignments with all sequenced species to identify evolutionarily conserved 3’UTR target sites. We will search for and re-evaluate previously-discovered 3’UTR motifs that were not associated with miRNAs to determine whether we can now identify putative trans-acting agents that may mediate regulation through these sites. We will also evaluate the potential for other non-coding genes to serve as targets for miRNA regulation. Lastly, we will study the effect of alternative polyadenylation sites on miRNA regulatory networks. We have identified many such sites within protein-coding transcripts resulting in loss of key functional miRNA binding sites, which may play key roles in altering regulatory relationships during development and proliferation. We will look for anti-correlations between miR NAs and their predicted targets, and assess whether transcripts with short vs. long 3’UTR isoforms which exclude or include conserved miRNA binding sites, differ in expression in the presence of cognate miRNAs. This may have major implications for human gene regulation as well, as the Burge and Sharp labs reported that proliferating cells, and by extension cancer cells, preferentially shift towards shorter transcript isoforms that escape miRNA regulation</w:t>
      </w:r>
      <w:r w:rsidDel="00000000" w:rsidR="00000000" w:rsidRPr="00000000">
        <w:rPr>
          <w:rFonts w:ascii="Arial" w:cs="Arial" w:eastAsia="Arial" w:hAnsi="Arial"/>
          <w:color w:val="999999"/>
          <w:sz w:val="18"/>
          <w:szCs w:val="18"/>
          <w:vertAlign w:val="superscript"/>
          <w:rtl w:val="0"/>
        </w:rPr>
        <w:t xml:space="preserve">70</w:t>
      </w:r>
      <w:r w:rsidDel="00000000" w:rsidR="00000000" w:rsidRPr="00000000">
        <w:rPr>
          <w:rFonts w:ascii="Arial" w:cs="Arial" w:eastAsia="Arial" w:hAnsi="Arial"/>
          <w:color w:val="999999"/>
          <w:sz w:val="18"/>
          <w:szCs w:val="18"/>
          <w:rtl w:val="0"/>
        </w:rPr>
        <w:t xml:space="preserve">.</w:t>
      </w:r>
      <w:r w:rsidDel="00000000" w:rsidR="00000000" w:rsidRPr="00000000">
        <w:rPr>
          <w:rtl w:val="0"/>
        </w:rPr>
      </w:r>
    </w:p>
    <w:sectPr>
      <w:headerReference r:id="rId122" w:type="default"/>
      <w:footerReference r:id="rId123" w:type="default"/>
      <w:pgSz w:h="15840" w:w="12240"/>
      <w:pgMar w:bottom="720" w:top="720" w:left="720" w:right="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comment w:author="Roderic Guigo" w:id="33" w:date="2016-03-16T19:17:4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3.2.7.1</w:t>
      </w:r>
    </w:p>
  </w:comment>
  <w:comment w:author="Generic LabMember" w:id="32" w:date="2016-03-16T00:37:1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Numbering for subsections within section 2 have to be corrected</w:t>
      </w:r>
    </w:p>
  </w:comment>
  <w:comment w:author="Zhiping Weng" w:id="53" w:date="2016-02-17T10:45:1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Manolis please work on Aim 4.</w:t>
      </w:r>
    </w:p>
  </w:comment>
  <w:comment w:author="Zhiping Weng" w:id="52" w:date="2016-03-17T22:11:0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This heading sounds wrong.</w:t>
      </w:r>
    </w:p>
  </w:comment>
  <w:comment w:author="Zhiping Weng" w:id="39" w:date="2016-03-15T00:43: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+mark@gersteinlab.org refer to Aim 1.</w:t>
      </w:r>
    </w:p>
  </w:comment>
  <w:comment w:author="Mark Gerstein" w:id="40" w:date="2016-03-15T00:43: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Given the integration in Aim 1 of Roadmap, GTex, IHEC, PEC... we are now in a position to use MARGE</w:t>
      </w:r>
    </w:p>
  </w:comment>
  <w:comment w:author="Mark Gerstein" w:id="69" w:date="2016-03-16T02:59:4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+zhipingweng@gmail.com Suggest shortening these &amp; removing latex look</w:t>
      </w:r>
    </w:p>
  </w:comment>
  <w:comment w:author="Mark Gerstein" w:id="70" w:date="2016-03-16T02:59:4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cut by 50%</w:t>
      </w:r>
    </w:p>
  </w:comment>
  <w:comment w:author="Mark Gerstein" w:id="17" w:date="2016-03-16T02:57:3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ToDo4MG: we need to segment &amp; add subheads</w:t>
      </w:r>
    </w:p>
  </w:comment>
  <w:comment w:author="Mark Gerstein" w:id="18" w:date="2016-03-15T00:21:2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MG to handle 1.2</w:t>
      </w:r>
    </w:p>
  </w:comment>
  <w:comment w:author="Mark Gerstein" w:id="19" w:date="2016-03-16T02:57:3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cut by 33%</w:t>
      </w:r>
    </w:p>
  </w:comment>
  <w:comment w:author="Mark Gerstein" w:id="61"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ToDo4MG: describe as already ongoing. Might need to be updated by Manolis</w:t>
      </w:r>
    </w:p>
  </w:comment>
  <w:comment w:author="Mark Gerstein" w:id="64"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ToDo4MG: describe as already ongoing. Might need to be updated by Manolis</w:t>
      </w:r>
    </w:p>
  </w:comment>
  <w:comment w:author="Mark Gerstein" w:id="62" w:date="2016-03-15T00:26:1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put something in ASAP</w:t>
      </w:r>
    </w:p>
  </w:comment>
  <w:comment w:author="Mark Gerstein" w:id="65" w:date="2016-03-15T00:26:1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put something in ASAP</w:t>
      </w:r>
    </w:p>
  </w:comment>
  <w:comment w:author="Mark Gerstein" w:id="63"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pls update too</w:t>
      </w:r>
    </w:p>
  </w:comment>
  <w:comment w:author="Mark Gerstein" w:id="66" w:date="2016-03-15T00:26: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pls update too</w:t>
      </w:r>
    </w:p>
  </w:comment>
  <w:comment w:author="William Stafford Noble" w:id="57" w:date="2016-03-17T22:49:5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Here are these cites: [57] Y. Liu, K. Wei, K. Kirchhoff, Y. Song, and J. Bilmes. Submodular feature selection for high-dimensional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acoustic score spaces. In Acoustics, Speech and Signal Processing (ICASSP), 2013 IEEE International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Conference on, pages 7184–7188. IEEE, 2013.</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[62] B. Mirzasoleiman, A. Karbasi, R. Sarkar, and A. Krause. Distributed submodular maximization: Identifying</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representative elements in massive data. In Advances in Neural Information Processing Systems, 2013.</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[63] R. Gomes, A. Krause, and P. Perona. Discriminative clustering by regularized information maximization. In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Advances in Neural Information Processing Systems, 2010.</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[64] M. Libbrecht, M. M. Hoffman, J. A. Bilmes, and W. S. Noble. Entropic graph-based posterior regularization.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In Proceedings of the International Conference on Machine Learning, Lille, France, 2015.</w:t>
      </w:r>
    </w:p>
  </w:comment>
  <w:comment w:author="Zhiping Weng" w:id="24" w:date="2016-03-16T03:19:0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 added this paragraph</w:t>
      </w:r>
    </w:p>
  </w:comment>
  <w:comment w:author="Zhiping Weng" w:id="34" w:date="2016-03-14T21:51:5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shorten this paragraph, or move to another location.</w:t>
      </w:r>
    </w:p>
  </w:comment>
  <w:comment w:author="Mark Gerstein" w:id="71" w:date="2016-03-16T02:51:2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think we should cut this entire gray block</w:t>
      </w:r>
    </w:p>
  </w:comment>
  <w:comment w:author="Zhiping Weng" w:id="37" w:date="2016-03-15T00:40: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+mark@gersteinlab.org to add</w:t>
      </w:r>
    </w:p>
  </w:comment>
  <w:comment w:author="Mark Gerstein" w:id="38" w:date="2016-03-15T00:40:4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something on TIP</w:t>
      </w:r>
    </w:p>
  </w:comment>
  <w:comment w:author="Zhiping Weng" w:id="68" w:date="2016-03-11T05:47:4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please insert reference in the {FirstAuthor, Year, #PMID} format.</w:t>
      </w:r>
    </w:p>
  </w:comment>
  <w:comment w:author="William Stafford Noble" w:id="56" w:date="2016-03-17T22:50:3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[50] J. Edmonds. Matroids, submodular functions, and certain polyhedra. Combinatorial Structures and Their</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Applications, pages 69–87, 1970.</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[51] L. Lovasz. Submodular functions and convexity. In M. Grotchel A. Bachem and B. Korte, editors, Mathemat-</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ical Programming – The State of the Art, pages 235–257. Springer-Verlag, 1983.</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[52] A. Schrijver. Combinatorial Optimization. Springer, 2004.</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[53] H. Narayanan. Submodular functions and electrical networks. Annals of Discrete Mathematics, 54, 1997.</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[54] G. Cornunejols, G. L. Nemhauser, and L. A. Wolsey. The uncapacitated facility location problem. In P.B.</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Mirchandani and R.L. Franci, editors, Discrete Location Theory, chapter 3. Wiley/Interscience, New York,</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1990.</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[55] M. Narasimhan and J. Bilmes. A submodular-supermodular procedure with applications to discriminative</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structure learning. In Uncertainty in Artificial Intelligence (UAI), Edinburgh, Scotland, July 2005. Morgan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Kaufmann Publishers.</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[56] A. Krause, A. Singh, and C. Guestrin. Near-optimal sensor placements in gaussian processes: Theory,</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efficient algorithms and empirical studies. The Journal of Machine Learning Research, 9:235–284, 2008.</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[57] Y. Liu, K. Wei, K. Kirchhoff, Y. Song, and J. Bilmes. Submodular feature selection for high-dimensional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acoustic score spaces. In Acoustics, Speech and Signal Processing (ICASSP), 2013 IEEE International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Conference on, pages 7184–7188. IEEE, 2013.</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[58] Kai Wei, Yuzong Liu, Katrin Kirchhoff, Christopher Bartels, and Jeff Bilmes. Submodular subset selection</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for large-scale speech training data. In Acoustics, Speech and Signal Processing (ICASSP), 2014 IEEE</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International Conference on, pages 3311–3315. IEEE, 2014.</w:t>
      </w:r>
    </w:p>
  </w:comment>
  <w:comment w:author="Mark Gerstein" w:id="25" w:date="2016-03-16T03:01:1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cut  allelic annotations  1.4.2 by 50%</w:t>
      </w:r>
    </w:p>
  </w:comment>
  <w:comment w:author="Anurag Sethi" w:id="23" w:date="2016-03-16T07:40:4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+mark@gersteinlab.org +zhipingweng@gmail.com I have shortened the text for the inter-consortia integration a lot. The old text is at the end of the grant for reference.</w:t>
      </w:r>
    </w:p>
  </w:comment>
  <w:comment w:author="Keegan Korthauer" w:id="48" w:date="2016-03-18T05:32:5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Added in discussion of analyzing individual CpGs with beta-binomial posterior probabilities (column 4 below) versus our approach (column 5-6 below).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tl w:val="0"/>
        </w:rPr>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May want to include the following details: For comparisons 2-4, DMRs cover between 59 and 70% of CpGs found by single-CpG approach.  On the flip side, between 12 and 23% of the CpGs covered by the DMRs are significant by the single-CpG approach.</w:t>
      </w:r>
    </w:p>
  </w:comment>
  <w:comment w:author="Manolis Kellis" w:id="58" w:date="2016-03-15T01:13:4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+meuleman@gmail.com Could you please look at how much of the Riken datasets we cover with Roadmap and ENCODE? Thanks!!! (this is pretty urgent)</w:t>
      </w:r>
    </w:p>
  </w:comment>
  <w:comment w:author="Wouter Meuleman" w:id="59" w:date="2016-03-15T01:13:4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Can you elaborate on what is meant by 'Riken datasets'?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Overlap in terms of cell types?  In terms of genomic coverage of element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type xxx?</w:t>
      </w:r>
    </w:p>
  </w:comment>
  <w:comment w:author="Manolis Kellis" w:id="55" w:date="2016-03-18T06:23:2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 condense to one paragraph</w:t>
      </w:r>
    </w:p>
  </w:comment>
  <w:comment w:author="Zhiping Weng" w:id="14" w:date="2016-03-17T02:41:0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+zhipingweng@gmail.com add a paragraph</w:t>
      </w:r>
    </w:p>
  </w:comment>
  <w:comment w:author="Mark Gerstein" w:id="15" w:date="2016-03-15T00:21:0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do this ASAP &amp; then MG will harmonize</w:t>
      </w:r>
    </w:p>
  </w:comment>
  <w:comment w:author="Zhiping Weng" w:id="16" w:date="2016-03-17T02:41:0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Zhiping added one paragraph in the end of this section.</w:t>
      </w:r>
    </w:p>
  </w:comment>
  <w:comment w:author="Zhiping Weng" w:id="35" w:date="2016-03-14T22:03:1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+ty.umassmed@gmail.com Tylor, can you find any high-throughput data on insulators (enhancer blocking assay) or repressors/silencers ?</w:t>
      </w:r>
    </w:p>
  </w:comment>
  <w:comment w:author="Keegan Korthauer" w:id="49" w:date="2016-03-18T05:42:0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I've inserted a .png version since I couldn't figure out how to insert a .pdf</w:t>
      </w:r>
    </w:p>
  </w:comment>
  <w:comment w:author="Manolis Kellis" w:id="29" w:date="2016-03-15T00:30:2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w:t>
      </w:r>
    </w:p>
  </w:comment>
  <w:comment w:author="Zhiping Weng" w:id="6" w:date="2016-03-15T23:42:0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+mark@gersteinlab.org please update</w:t>
      </w:r>
    </w:p>
  </w:comment>
  <w:comment w:author="Zhiping Weng" w:id="5" w:date="2016-03-15T23:41:3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please update</w:t>
      </w:r>
    </w:p>
  </w:comment>
  <w:comment w:author="Manolis Kellis" w:id="67" w:date="2016-03-15T00:27:2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Manolis to continue</w:t>
      </w:r>
    </w:p>
  </w:comment>
  <w:comment w:author="Zhiping Weng" w:id="8" w:date="2016-03-15T23:43:4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+rairizarry@gmail.com Please update this paragraph</w:t>
      </w:r>
    </w:p>
  </w:comment>
  <w:comment w:author="Zhiping Weng" w:id="36" w:date="2016-03-14T22:57:2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+wnoble@uw.edu </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insert reference in the {FirstAuthor, Year, #PMID} format, in this section and the previous paragraph.</w:t>
      </w:r>
    </w:p>
  </w:comment>
  <w:comment w:author="Manolis Kellis" w:id="28" w:date="2016-03-15T00:27:5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 do</w:t>
      </w:r>
    </w:p>
  </w:comment>
  <w:comment w:author="Zhiping Weng" w:id="7" w:date="2016-03-15T23:44:0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Roderic please update this paragraph.</w:t>
      </w:r>
    </w:p>
  </w:comment>
  <w:comment w:author="Mark Gerstein" w:id="2" w:date="2016-03-18T06:11:0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completely updated see 750p email 16mar</w:t>
      </w:r>
    </w:p>
  </w:comment>
  <w:comment w:author="Mark Gerstein" w:id="3" w:date="2016-03-18T06:11:0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now at 861words</w:t>
      </w:r>
    </w:p>
  </w:comment>
  <w:comment w:author="Mark Gerstein" w:id="26" w:date="2016-03-15T00:31:4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MG &amp; others ToDo put in modencode experience</w:t>
      </w:r>
    </w:p>
  </w:comment>
  <w:comment w:author="Mark Gerstein" w:id="27" w:date="2016-03-15T00:32:3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to update based on orthologs</w:t>
      </w:r>
    </w:p>
  </w:comment>
  <w:comment w:author="Rafael Irizarry" w:id="44" w:date="2016-03-18T05:33:1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Say more. mouse? what are the developmental tissues?</w:t>
      </w:r>
    </w:p>
  </w:comment>
  <w:comment w:author="Rafael Irizarry" w:id="46" w:date="2016-03-18T05:33:1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Say more. mouse? what are the developmental tissues?</w:t>
      </w:r>
    </w:p>
  </w:comment>
  <w:comment w:author="Keegan Korthauer" w:id="45" w:date="2016-03-18T05:33:1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 have added some more details here</w:t>
      </w:r>
    </w:p>
  </w:comment>
  <w:comment w:author="Keegan Korthauer" w:id="47" w:date="2016-03-18T05:33:1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 have added some more details here</w:t>
      </w:r>
    </w:p>
  </w:comment>
  <w:comment w:author="Zhiping Weng" w:id="41" w:date="2016-03-18T01:21:4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Move to Aim 4?</w:t>
      </w:r>
    </w:p>
  </w:comment>
  <w:comment w:author="Manolis Kellis" w:id="54" w:date="2016-03-18T06:19:42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Manolis todo</w:t>
      </w:r>
    </w:p>
  </w:comment>
  <w:comment w:author="Mark Gerstein" w:id="9" w:date="2016-03-16T02:26:0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smooth &amp; edit</w:t>
      </w:r>
    </w:p>
  </w:comment>
  <w:comment w:author="Mark Gerstein" w:id="30" w:date="2016-03-16T03:02:2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BP quickly change text a bit &amp; move to bit</w:t>
      </w:r>
    </w:p>
  </w:comment>
  <w:comment w:author="Mark Gerstein" w:id="31" w:date="2016-03-16T03:02:24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condense to 1 para</w:t>
      </w:r>
    </w:p>
  </w:comment>
  <w:comment w:author="Mark Gerstein" w:id="20" w:date="2016-03-16T07:38:5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work on &amp; cut by 33%</w:t>
      </w:r>
    </w:p>
  </w:comment>
  <w:comment w:author="Mark Gerstein" w:id="21" w:date="2016-03-16T02:58:3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aim for 4 para in total</w:t>
      </w:r>
    </w:p>
  </w:comment>
  <w:comment w:author="Anurag Sethi" w:id="22" w:date="2016-03-16T07:38:59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 have kept 2-3 lines per consortia and have modified the header paragraph you had written for consortia integration. Reduced from 3 pages to &lt;1.5 pages - about 2-3 lines on integrating ENCODE data per consortium.</w:t>
      </w:r>
    </w:p>
  </w:comment>
  <w:comment w:author="Mark Gerstein" w:id="4" w:date="2016-03-16T00:26:1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Did small edit</w:t>
      </w:r>
    </w:p>
  </w:comment>
  <w:comment w:author="Zhiping Weng" w:id="42" w:date="2016-03-16T02:49:2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Move this to the next subsection? We have not finished implementing the DMR pipeline yet.</w:t>
      </w:r>
    </w:p>
  </w:comment>
  <w:comment w:author="Mark Gerstein" w:id="43" w:date="2016-03-16T02:49:2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I think this should be cut to 2 para but I'll leave to you...</w:t>
      </w:r>
    </w:p>
  </w:comment>
  <w:comment w:author="Anshul Kundaje" w:id="51" w:date="2016-03-14T12:36:1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replace Fig. ATAC with appropriate Fig. number once that is finalized</w:t>
      </w:r>
    </w:p>
  </w:comment>
  <w:comment w:author="Manolis Kellis" w:id="10" w:date="2016-03-16T02:47:3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TODO: +manoli@mit.edu</w:t>
      </w:r>
    </w:p>
  </w:comment>
  <w:comment w:author="Mark Gerstein" w:id="11" w:date="2016-03-15T00:20:1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you're responsible to update 1.1.1 quickly &amp; then MG will harmonize &amp; edit</w:t>
      </w:r>
    </w:p>
  </w:comment>
  <w:comment w:author="Mark Gerstein" w:id="12" w:date="2016-03-16T02:46:36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Actually, I think we should cut this and just have this in Aim 4</w:t>
      </w:r>
    </w:p>
  </w:comment>
  <w:comment w:author="Mark Gerstein" w:id="13" w:date="2016-03-16T02:47:35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+manoli@mit.edu I will cut on Thurs unless you object</w:t>
      </w:r>
    </w:p>
  </w:comment>
  <w:comment w:author="William Stafford Noble" w:id="50" w:date="2016-03-17T23:00:21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[15] E. Yaffe and A. Tanay. Probabilistic modeling of Hi-C contact maps eliminates systematic biases to charac-</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terize global chromosomal architecture. Nat Genet, 43:1059–1065, 2011.</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[16] M. Imakaev, G. Fudenberg, R. P. McCord, N. Naumova, A. Goloborodko, B. R. Lajoie, J. Dekker, and L. A.</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Mirny. Iterative correction of Hi-C data reveals hallmarks of chromosome organization. Nat Methods, 9:999–</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1003, 2012.</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[17] M. Hu, K. Deng, S. Selvaraj, Z. Qin, B. Ren, and J. S. Liu. HiCNorm: removing biases in Hi-C data via</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Poisson regression. Bioinformatics, 28(23):3131–3133, 2012.</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[18] A. Cournac, H. Marie-Nelly, M. Marbouty, R. Koszul, and J. Mozziconacci. Normalization of a chromosomal</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contact map. BMC Genomics, 13:436, 2012.</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[19] W. Li, K. Gong, Q. Li, F. Alber, and X.J. Zhou. Hi-Corrector: a fast, scalable and memory-efficient package</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for normalizing large-scale Hi-C data. Bioinformatics, 31(6):960–962, 2015.</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[20] Ei-Wen Yang and Tao Jiang. GDNorm: An improved poisson regression model for reducing biases in Hi-C</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data. In Proceedings of the 14th International Workshop of Algorithms in Bioinformatics, volume 8701 of</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Lecture Notes in Computer Science, pages 263–280, Berlin, Heidelberg, 2014. Springer-Verlag.</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[21] Yoli Shavit and Pietro Lio’. Combining a wavelet change point and the bayes factor for analysing chromoso-</w:t>
      </w:r>
    </w:p>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mal interaction data. Mol. Biosyst., 10(6):1576–1585, 2014.</w:t>
      </w:r>
    </w:p>
  </w:comment>
  <w:comment w:author="Joel Rozowsky" w:id="60" w:date="2016-03-17T23:20:2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You probably want to edit the figure to make sure it has Anshul instead of Mark Daly</w:t>
      </w:r>
    </w:p>
  </w:comment>
  <w:comment w:author="Zhiping Weng" w:id="1" w:date="2016-03-07T02:04:53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edit existing text in Aim 3.</w:t>
      </w:r>
    </w:p>
  </w:comment>
  <w:comment w:author="Zhiping Weng" w:id="0" w:date="2016-03-07T02:07:0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szCs w:val="22"/>
          <w:u w:val="none"/>
          <w:vertAlign w:val="baseline"/>
          <w:rtl w:val="0"/>
        </w:rPr>
        <w:t xml:space="preserve">Please work on this. the old text is in gray in this document</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Georgia"/>
  <w:font w:name="Arial"/>
  <w:font w:name="Meiryo"/>
  <w:font w:name="Nova Mono">
    <w:embedRegular r:id="rId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center" w:pos="4320"/>
        <w:tab w:val="right" w:pos="8640"/>
      </w:tabs>
      <w:spacing w:after="0" w:before="0" w:line="240" w:lineRule="auto"/>
      <w:contextualSpacing w:val="0"/>
    </w:pPr>
    <w:r w:rsidDel="00000000" w:rsidR="00000000" w:rsidRPr="00000000">
      <w:rPr>
        <w:rtl w:val="0"/>
      </w:rPr>
    </w:r>
  </w:p>
  <w:p w:rsidR="00000000" w:rsidDel="00000000" w:rsidP="00000000" w:rsidRDefault="00000000" w:rsidRPr="00000000">
    <w:pPr>
      <w:tabs>
        <w:tab w:val="center" w:pos="5400"/>
        <w:tab w:val="right" w:pos="10800"/>
      </w:tabs>
      <w:spacing w:after="864" w:before="0" w:line="240" w:lineRule="auto"/>
      <w:contextualSpacing w:val="0"/>
      <w:jc w:val="right"/>
    </w:pPr>
    <w:fldSimple w:instr="PAGE" w:fldLock="0" w:dirty="0">
      <w:r w:rsidDel="00000000" w:rsidR="00000000" w:rsidRPr="00000000">
        <w:rPr>
          <w:rFonts w:ascii="Arial" w:cs="Arial" w:eastAsia="Arial" w:hAnsi="Arial"/>
          <w:b w:val="1"/>
          <w:sz w:val="16"/>
          <w:szCs w:val="16"/>
          <w:vertAlign w:val="baseline"/>
        </w:rPr>
      </w:r>
    </w:fldSimple>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spacing w:after="40" w:before="720" w:line="240" w:lineRule="auto"/>
      <w:ind w:left="0" w:firstLine="0"/>
      <w:contextualSpacing w:val="0"/>
      <w:jc w:val="center"/>
    </w:pPr>
    <w:r w:rsidDel="00000000" w:rsidR="00000000" w:rsidRPr="00000000">
      <w:rPr>
        <w:rFonts w:ascii="Arial" w:cs="Arial" w:eastAsia="Arial" w:hAnsi="Arial"/>
        <w:b w:val="0"/>
        <w:sz w:val="16"/>
        <w:szCs w:val="16"/>
        <w:vertAlign w:val="baseline"/>
        <w:rtl w:val="0"/>
      </w:rPr>
      <w:t xml:space="preserve">Program Director/Principal Investigator (Last, First, Middle</w:t>
    </w:r>
    <w:r w:rsidDel="00000000" w:rsidR="00000000" w:rsidRPr="00000000">
      <w:rPr>
        <w:rFonts w:ascii="Arial" w:cs="Arial" w:eastAsia="Arial" w:hAnsi="Arial"/>
        <w:b w:val="0"/>
        <w:sz w:val="22"/>
        <w:szCs w:val="22"/>
        <w:vertAlign w:val="baseline"/>
        <w:rtl w:val="0"/>
      </w:rPr>
      <w:t xml:space="preserve">): </w:t>
    </w:r>
    <w:r w:rsidDel="00000000" w:rsidR="00000000" w:rsidRPr="00000000">
      <w:rPr>
        <w:rFonts w:ascii="Arial" w:cs="Arial" w:eastAsia="Arial" w:hAnsi="Arial"/>
        <w:b w:val="0"/>
        <w:sz w:val="20"/>
        <w:szCs w:val="20"/>
        <w:vertAlign w:val="baseline"/>
        <w:rtl w:val="0"/>
      </w:rPr>
      <w:t xml:space="preserve">Weng, Zhiping</w:t>
    </w:r>
    <w:r w:rsidDel="00000000" w:rsidR="00000000" w:rsidRPr="00000000">
      <w:rPr>
        <w:rFonts w:ascii="Arial" w:cs="Arial" w:eastAsia="Arial" w:hAnsi="Arial"/>
        <w:b w:val="0"/>
        <w:sz w:val="22"/>
        <w:szCs w:val="22"/>
        <w:vertAlign w:val="baseline"/>
        <w:rtl w:val="0"/>
      </w:rPr>
      <w:t xml:space="preserve">   </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Times New Roman" w:cs="Times New Roman" w:eastAsia="Times New Roman" w:hAnsi="Times New Roman"/>
        <w:b w:val="0"/>
        <w:i w:val="0"/>
        <w:smallCaps w:val="0"/>
        <w:strike w:val="0"/>
        <w:color w:val="000000"/>
        <w:sz w:val="24"/>
        <w:szCs w:val="24"/>
        <w:u w:val="none"/>
        <w:vertAlign w:val="baseline"/>
      </w:rPr>
    </w:rPrDefault>
    <w:pPrDefault>
      <w:pPr>
        <w:keepNext w:val="0"/>
        <w:keepLines w:val="0"/>
        <w:widowControl w:val="1"/>
        <w:spacing w:after="0" w:before="0" w:line="240"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contextualSpacing w:val="1"/>
    </w:pPr>
    <w:rPr>
      <w:b w:val="1"/>
      <w:sz w:val="48"/>
      <w:szCs w:val="48"/>
    </w:rPr>
  </w:style>
  <w:style w:type="paragraph" w:styleId="Heading2">
    <w:name w:val="heading 2"/>
    <w:basedOn w:val="Normal"/>
    <w:next w:val="Normal"/>
    <w:pPr>
      <w:keepNext w:val="1"/>
      <w:keepLines w:val="1"/>
      <w:spacing w:after="80" w:before="360" w:lineRule="auto"/>
      <w:contextualSpacing w:val="1"/>
    </w:pPr>
    <w:rPr>
      <w:b w:val="1"/>
      <w:sz w:val="36"/>
      <w:szCs w:val="36"/>
    </w:rPr>
  </w:style>
  <w:style w:type="paragraph" w:styleId="Heading3">
    <w:name w:val="heading 3"/>
    <w:basedOn w:val="Normal"/>
    <w:next w:val="Normal"/>
    <w:pPr>
      <w:keepNext w:val="1"/>
      <w:keepLines w:val="1"/>
      <w:spacing w:after="80" w:before="280" w:lineRule="auto"/>
      <w:contextualSpacing w:val="1"/>
    </w:pPr>
    <w:rPr>
      <w:b w:val="1"/>
      <w:sz w:val="28"/>
      <w:szCs w:val="28"/>
    </w:rPr>
  </w:style>
  <w:style w:type="paragraph" w:styleId="Heading4">
    <w:name w:val="heading 4"/>
    <w:basedOn w:val="Normal"/>
    <w:next w:val="Normal"/>
    <w:pPr>
      <w:keepNext w:val="1"/>
      <w:keepLines w:val="1"/>
      <w:spacing w:after="40" w:before="240" w:lineRule="auto"/>
      <w:contextualSpacing w:val="1"/>
    </w:pPr>
    <w:rPr>
      <w:b w:val="1"/>
      <w:sz w:val="24"/>
      <w:szCs w:val="24"/>
    </w:rPr>
  </w:style>
  <w:style w:type="paragraph" w:styleId="Heading5">
    <w:name w:val="heading 5"/>
    <w:basedOn w:val="Normal"/>
    <w:next w:val="Normal"/>
    <w:pPr>
      <w:keepNext w:val="1"/>
      <w:keepLines w:val="1"/>
      <w:spacing w:after="40" w:before="220" w:lineRule="auto"/>
      <w:contextualSpacing w:val="1"/>
    </w:pPr>
    <w:rPr>
      <w:b w:val="1"/>
      <w:sz w:val="22"/>
      <w:szCs w:val="22"/>
    </w:rPr>
  </w:style>
  <w:style w:type="paragraph" w:styleId="Heading6">
    <w:name w:val="heading 6"/>
    <w:basedOn w:val="Normal"/>
    <w:next w:val="Normal"/>
    <w:pPr>
      <w:keepNext w:val="1"/>
      <w:keepLines w:val="1"/>
      <w:spacing w:after="40" w:before="200" w:lineRule="auto"/>
      <w:contextualSpacing w:val="1"/>
    </w:pPr>
    <w:rPr>
      <w:b w:val="1"/>
      <w:sz w:val="20"/>
      <w:szCs w:val="20"/>
    </w:rPr>
  </w:style>
  <w:style w:type="paragraph" w:styleId="Title">
    <w:name w:val="Title"/>
    <w:basedOn w:val="Normal"/>
    <w:next w:val="Normal"/>
    <w:pPr>
      <w:keepNext w:val="1"/>
      <w:keepLines w:val="1"/>
      <w:spacing w:after="120" w:before="480" w:lineRule="auto"/>
      <w:contextualSpacing w:val="1"/>
    </w:pPr>
    <w:rPr>
      <w:b w:val="1"/>
      <w:sz w:val="72"/>
      <w:szCs w:val="72"/>
    </w:rPr>
  </w:style>
  <w:style w:type="paragraph" w:styleId="Subtitle">
    <w:name w:val="Subtitle"/>
    <w:basedOn w:val="Normal"/>
    <w:next w:val="Normal"/>
    <w:pPr>
      <w:keepNext w:val="1"/>
      <w:keepLines w:val="1"/>
      <w:spacing w:after="80" w:before="360" w:lineRule="auto"/>
      <w:contextualSpacing w:val="1"/>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3.0" w:type="dxa"/>
        <w:bottom w:w="0.0" w:type="dxa"/>
        <w:right w:w="108.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pPr>
      <w:contextualSpacing w:val="1"/>
    </w:pPr>
    <w:rPr/>
    <w:tblPr>
      <w:tblStyleRowBandSize w:val="1"/>
      <w:tblStyleColBandSize w:val="1"/>
      <w:tblCellMar>
        <w:top w:w="0.0" w:type="dxa"/>
        <w:left w:w="115.0" w:type="dxa"/>
        <w:bottom w:w="0.0" w:type="dxa"/>
        <w:right w:w="115.0" w:type="dxa"/>
      </w:tblCellMar>
    </w:tblPr>
    <w:tblStylePr w:type="band1Horz">
      <w:pPr>
        <w:contextualSpacing w:val="1"/>
      </w:pPr>
      <w:rPr/>
      <w:tcPr>
        <w:tcMar>
          <w:left w:w="115.0" w:type="dxa"/>
          <w:right w:w="115.0" w:type="dxa"/>
        </w:tcMar>
      </w:tcPr>
    </w:tblStylePr>
    <w:tblStylePr w:type="band1Vert">
      <w:pPr>
        <w:contextualSpacing w:val="1"/>
      </w:pPr>
      <w:rPr/>
      <w:tcPr>
        <w:tcMar>
          <w:left w:w="115.0" w:type="dxa"/>
          <w:right w:w="115.0" w:type="dxa"/>
        </w:tcMar>
      </w:tcPr>
    </w:tblStylePr>
    <w:tblStylePr w:type="band2Horz">
      <w:pPr>
        <w:contextualSpacing w:val="1"/>
      </w:pPr>
      <w:rPr/>
      <w:tcPr>
        <w:tcMar>
          <w:left w:w="115.0" w:type="dxa"/>
          <w:right w:w="115.0" w:type="dxa"/>
        </w:tcMar>
      </w:tcPr>
    </w:tblStylePr>
    <w:tblStylePr w:type="band2Vert">
      <w:pPr>
        <w:contextualSpacing w:val="1"/>
      </w:pPr>
      <w:rPr/>
      <w:tcPr>
        <w:tcMar>
          <w:left w:w="115.0" w:type="dxa"/>
          <w:right w:w="115.0" w:type="dxa"/>
        </w:tcMar>
      </w:tcPr>
    </w:tblStylePr>
    <w:tblStylePr w:type="firstCol">
      <w:pPr>
        <w:contextualSpacing w:val="1"/>
      </w:pPr>
      <w:rPr/>
      <w:tcPr>
        <w:tcMar>
          <w:left w:w="115.0" w:type="dxa"/>
          <w:right w:w="115.0" w:type="dxa"/>
        </w:tcMar>
      </w:tcPr>
    </w:tblStylePr>
    <w:tblStylePr w:type="firstRow">
      <w:pPr>
        <w:contextualSpacing w:val="1"/>
      </w:pPr>
      <w:rPr/>
      <w:tcPr>
        <w:tcMar>
          <w:left w:w="115.0" w:type="dxa"/>
          <w:right w:w="115.0" w:type="dxa"/>
        </w:tcMar>
      </w:tcPr>
    </w:tblStylePr>
    <w:tblStylePr w:type="lastCol">
      <w:pPr>
        <w:contextualSpacing w:val="1"/>
      </w:pPr>
      <w:rPr/>
      <w:tcPr>
        <w:tcMar>
          <w:left w:w="115.0" w:type="dxa"/>
          <w:right w:w="115.0" w:type="dxa"/>
        </w:tcMar>
      </w:tcPr>
    </w:tblStylePr>
    <w:tblStylePr w:type="lastRow">
      <w:pPr>
        <w:contextualSpacing w:val="1"/>
      </w:pPr>
      <w:rPr/>
      <w:tcPr>
        <w:tcMar>
          <w:left w:w="115.0" w:type="dxa"/>
          <w:right w:w="115.0" w:type="dxa"/>
        </w:tcMar>
      </w:tcPr>
    </w:tblStylePr>
    <w:tblStylePr w:type="neCell">
      <w:pPr>
        <w:contextualSpacing w:val="1"/>
      </w:pPr>
      <w:rPr/>
      <w:tcPr>
        <w:tcMar>
          <w:left w:w="115.0" w:type="dxa"/>
          <w:right w:w="115.0" w:type="dxa"/>
        </w:tcMar>
      </w:tcPr>
    </w:tblStylePr>
    <w:tblStylePr w:type="nwCell">
      <w:pPr>
        <w:contextualSpacing w:val="1"/>
      </w:pPr>
      <w:rPr/>
      <w:tcPr>
        <w:tcMar>
          <w:left w:w="115.0" w:type="dxa"/>
          <w:right w:w="115.0" w:type="dxa"/>
        </w:tcMar>
      </w:tcPr>
    </w:tblStylePr>
    <w:tblStylePr w:type="seCell">
      <w:pPr>
        <w:contextualSpacing w:val="1"/>
      </w:pPr>
      <w:rPr/>
      <w:tcPr>
        <w:tcMar>
          <w:left w:w="115.0" w:type="dxa"/>
          <w:right w:w="115.0" w:type="dxa"/>
        </w:tcMar>
      </w:tcPr>
    </w:tblStylePr>
    <w:tblStylePr w:type="swCell">
      <w:pPr>
        <w:contextualSpacing w:val="1"/>
      </w:pPr>
      <w:rPr/>
      <w:tcPr>
        <w:tcMar>
          <w:left w:w="115.0" w:type="dxa"/>
          <w:right w:w="115.0" w:type="dxa"/>
        </w:tcMar>
      </w:tcPr>
    </w:tblStylePr>
  </w:style>
  <w:style w:type="table" w:styleId="Table3">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4">
    <w:basedOn w:val="TableNormal"/>
    <w:pPr>
      <w:spacing w:line="240" w:lineRule="auto"/>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5">
    <w:basedOn w:val="TableNormal"/>
    <w:pPr>
      <w:spacing w:line="240" w:lineRule="auto"/>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6">
    <w:basedOn w:val="TableNormal"/>
    <w:tblPr>
      <w:tblStyleRowBandSize w:val="1"/>
      <w:tblStyleColBandSize w:val="1"/>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image" Target="media/image84.png"/><Relationship Id="rId42" Type="http://schemas.openxmlformats.org/officeDocument/2006/relationships/image" Target="media/image104.png"/><Relationship Id="rId41" Type="http://schemas.openxmlformats.org/officeDocument/2006/relationships/image" Target="media/image58.png"/><Relationship Id="rId44" Type="http://schemas.openxmlformats.org/officeDocument/2006/relationships/hyperlink" Target="http://www.nature.com/nature/journal/v489/n7414/full/nature11245.html" TargetMode="External"/><Relationship Id="rId43" Type="http://schemas.openxmlformats.org/officeDocument/2006/relationships/hyperlink" Target="http://www.nature.com/nature/journal/v489/n7414/full/nature11245.html" TargetMode="External"/><Relationship Id="rId46" Type="http://schemas.openxmlformats.org/officeDocument/2006/relationships/hyperlink" Target="http://www.nature.com/nature/journal/v489/n7414/full/nature11245.html#t1" TargetMode="External"/><Relationship Id="rId45" Type="http://schemas.openxmlformats.org/officeDocument/2006/relationships/hyperlink" Target="http://www.nature.com/nature/journal/v489/n7414/full/nature11245.html#t1" TargetMode="External"/><Relationship Id="rId107" Type="http://schemas.openxmlformats.org/officeDocument/2006/relationships/image" Target="media/image88.png"/><Relationship Id="rId106" Type="http://schemas.openxmlformats.org/officeDocument/2006/relationships/image" Target="media/image70.png"/><Relationship Id="rId105" Type="http://schemas.openxmlformats.org/officeDocument/2006/relationships/image" Target="media/image106.png"/><Relationship Id="rId104" Type="http://schemas.openxmlformats.org/officeDocument/2006/relationships/image" Target="media/image65.png"/><Relationship Id="rId109" Type="http://schemas.openxmlformats.org/officeDocument/2006/relationships/image" Target="media/image57.png"/><Relationship Id="rId108" Type="http://schemas.openxmlformats.org/officeDocument/2006/relationships/image" Target="media/image96.png"/><Relationship Id="rId48" Type="http://schemas.openxmlformats.org/officeDocument/2006/relationships/image" Target="media/image56.png"/><Relationship Id="rId47" Type="http://schemas.openxmlformats.org/officeDocument/2006/relationships/image" Target="media/image54.png"/><Relationship Id="rId49" Type="http://schemas.openxmlformats.org/officeDocument/2006/relationships/image" Target="media/image95.png"/><Relationship Id="rId103" Type="http://schemas.openxmlformats.org/officeDocument/2006/relationships/image" Target="media/image87.png"/><Relationship Id="rId102" Type="http://schemas.openxmlformats.org/officeDocument/2006/relationships/image" Target="media/image80.png"/><Relationship Id="rId101" Type="http://schemas.openxmlformats.org/officeDocument/2006/relationships/image" Target="media/image77.png"/><Relationship Id="rId100" Type="http://schemas.openxmlformats.org/officeDocument/2006/relationships/image" Target="media/image92.png"/><Relationship Id="rId31" Type="http://schemas.openxmlformats.org/officeDocument/2006/relationships/hyperlink" Target="https://www.dropbox.com/s/cmxymvw53g8hssw/Keles_Weng_ENCODE_DAC_Letter_2016-signed.pdf?dl=0" TargetMode="External"/><Relationship Id="rId30" Type="http://schemas.openxmlformats.org/officeDocument/2006/relationships/hyperlink" Target="https://www.dropbox.com/s/m8vdphsayq45dhp/ZhipingWang_DACprop_HardisonLoS.pdf?dl=0" TargetMode="External"/><Relationship Id="rId33" Type="http://schemas.openxmlformats.org/officeDocument/2006/relationships/hyperlink" Target="https://www.dropbox.com/s/23nb89xa4exulkp/DAC3%20support%20letters.pdf?dl=0" TargetMode="External"/><Relationship Id="rId32" Type="http://schemas.openxmlformats.org/officeDocument/2006/relationships/hyperlink" Target="https://www.dropbox.com/s/e7hd4wp4snus7se/Cherry-ENCODE4-LoS-20160316.pdf?dl=0" TargetMode="External"/><Relationship Id="rId35" Type="http://schemas.openxmlformats.org/officeDocument/2006/relationships/hyperlink" Target="https://docs.google.com/document/d/1oKnf1GZoQob-EAeVS8rStD9Bw9QI5LKz34typuYVLOs/edit" TargetMode="External"/><Relationship Id="rId34" Type="http://schemas.openxmlformats.org/officeDocument/2006/relationships/hyperlink" Target="https://docs.google.com/document/d/10KDeojxtj00ADcUVroaGShk7yTdquwCBM4EpfSzdpeQ/edit" TargetMode="External"/><Relationship Id="rId37" Type="http://schemas.openxmlformats.org/officeDocument/2006/relationships/hyperlink" Target="http://citeseerx.ist.psu.edu/viewdoc/summary?doi=10.1.1.86.3414" TargetMode="External"/><Relationship Id="rId36" Type="http://schemas.openxmlformats.org/officeDocument/2006/relationships/image" Target="media/image74.png"/><Relationship Id="rId39" Type="http://schemas.openxmlformats.org/officeDocument/2006/relationships/hyperlink" Target="http://rpackages.ianhowson.com/cran/DDRTree/" TargetMode="External"/><Relationship Id="rId38" Type="http://schemas.openxmlformats.org/officeDocument/2006/relationships/hyperlink" Target="http://www.ics.uci.edu/~welling/classnotes/papers_class/kCCA.pdf" TargetMode="External"/><Relationship Id="rId20" Type="http://schemas.openxmlformats.org/officeDocument/2006/relationships/hyperlink" Target="https://docs.google.com/document/d/1FuWu5ApHX9TASBvf0Nkl0ztEZnJAx67BzR-dqzwqqHs/edit" TargetMode="External"/><Relationship Id="rId22" Type="http://schemas.openxmlformats.org/officeDocument/2006/relationships/hyperlink" Target="https://www.dropbox.com/s/8s4cb1cms721jow/Graveley%20ENCODE%20DAC4%20Support%20Letter_2016.pdf?dl=0" TargetMode="External"/><Relationship Id="rId21" Type="http://schemas.openxmlformats.org/officeDocument/2006/relationships/hyperlink" Target="https://www.dropbox.com/s/ry2amw29ixyo4sh/Snyder%20Ltrhd%20w%20signature1.pdf?dl=0" TargetMode="External"/><Relationship Id="rId24" Type="http://schemas.openxmlformats.org/officeDocument/2006/relationships/hyperlink" Target="https://www.dropbox.com/s/64pohjaqqc2mbtc/Ren_DAC_support_letter.pdf?dl=0" TargetMode="External"/><Relationship Id="rId23" Type="http://schemas.openxmlformats.org/officeDocument/2006/relationships/hyperlink" Target="https://www.dropbox.com/s/ulvznow4zujtx2k/Tom%20Gingeras%20DAC4%20Support%20Letter%202016.pdf?dl=0" TargetMode="External"/><Relationship Id="rId26" Type="http://schemas.openxmlformats.org/officeDocument/2006/relationships/hyperlink" Target="https://www.dropbox.com/s/xwr6a0tcguqpqab/Nadav%20Ahituv%20ENCODE%20DAC4%20Support%20Letter.pdf?dl=0" TargetMode="External"/><Relationship Id="rId121" Type="http://schemas.openxmlformats.org/officeDocument/2006/relationships/hyperlink" Target="http://www.1000genomes.org/node/101)" TargetMode="External"/><Relationship Id="rId25" Type="http://schemas.openxmlformats.org/officeDocument/2006/relationships/hyperlink" Target="https://www.dropbox.com/s/bno96c1l44dov4g/Bernstein_ENCODE%20DAC4%20Support%20Letter%2003%2015%202016.pdf?dl=0" TargetMode="External"/><Relationship Id="rId120" Type="http://schemas.openxmlformats.org/officeDocument/2006/relationships/hyperlink" Target="http://cancergenome.nih.gov" TargetMode="External"/><Relationship Id="rId28" Type="http://schemas.openxmlformats.org/officeDocument/2006/relationships/hyperlink" Target="https://www.dropbox.com/s/ghg8bhsbbmkn8qz/Job%20Dekker%20LORZhping_3.16.pdf?dl=0" TargetMode="External"/><Relationship Id="rId27" Type="http://schemas.openxmlformats.org/officeDocument/2006/relationships/hyperlink" Target="https://www.dropbox.com/s/unauohizno9ddve/Ohler%20support_ENCODE_Weng.docx?dl=0" TargetMode="External"/><Relationship Id="rId29" Type="http://schemas.openxmlformats.org/officeDocument/2006/relationships/hyperlink" Target="https://www.dropbox.com/s/pid8gzhrm7b3pzs/zhiping.Pennacchio.letter.pdf?dl=0" TargetMode="External"/><Relationship Id="rId123" Type="http://schemas.openxmlformats.org/officeDocument/2006/relationships/footer" Target="footer1.xml"/><Relationship Id="rId122" Type="http://schemas.openxmlformats.org/officeDocument/2006/relationships/header" Target="header1.xml"/><Relationship Id="rId95" Type="http://schemas.openxmlformats.org/officeDocument/2006/relationships/image" Target="media/image85.png"/><Relationship Id="rId94" Type="http://schemas.openxmlformats.org/officeDocument/2006/relationships/image" Target="media/image73.png"/><Relationship Id="rId97" Type="http://schemas.openxmlformats.org/officeDocument/2006/relationships/image" Target="media/image109.png"/><Relationship Id="rId96" Type="http://schemas.openxmlformats.org/officeDocument/2006/relationships/image" Target="media/image89.png"/><Relationship Id="rId11" Type="http://schemas.openxmlformats.org/officeDocument/2006/relationships/hyperlink" Target="https://www.dropbox.com/s/hjlab7eeqx58m0z/DAC3%20support%20letters.pdf?dl=0" TargetMode="External"/><Relationship Id="rId99" Type="http://schemas.openxmlformats.org/officeDocument/2006/relationships/image" Target="media/image76.png"/><Relationship Id="rId10" Type="http://schemas.openxmlformats.org/officeDocument/2006/relationships/hyperlink" Target="https://www.dropbox.com/s/hjlab7eeqx58m0z/DAC3%20support%20letters.pdf?dl=0" TargetMode="External"/><Relationship Id="rId98" Type="http://schemas.openxmlformats.org/officeDocument/2006/relationships/image" Target="media/image91.png"/><Relationship Id="rId13" Type="http://schemas.openxmlformats.org/officeDocument/2006/relationships/hyperlink" Target="https://docs.google.com/document/d/1aaf-cq088Vi9U-saCNRBume2BwVaW1RiZprll5T0G6A/edit" TargetMode="External"/><Relationship Id="rId12" Type="http://schemas.openxmlformats.org/officeDocument/2006/relationships/hyperlink" Target="https://www.dropbox.com/s/hjlab7eeqx58m0z/DAC3%20support%20letters.pdf?dl=0" TargetMode="External"/><Relationship Id="rId91" Type="http://schemas.openxmlformats.org/officeDocument/2006/relationships/image" Target="media/image86.jpg"/><Relationship Id="rId90" Type="http://schemas.openxmlformats.org/officeDocument/2006/relationships/image" Target="media/image59.png"/><Relationship Id="rId93" Type="http://schemas.openxmlformats.org/officeDocument/2006/relationships/image" Target="media/image108.png"/><Relationship Id="rId92" Type="http://schemas.openxmlformats.org/officeDocument/2006/relationships/image" Target="media/image69.png"/><Relationship Id="rId118" Type="http://schemas.openxmlformats.org/officeDocument/2006/relationships/hyperlink" Target="http://genome.gov/gtex" TargetMode="External"/><Relationship Id="rId117" Type="http://schemas.openxmlformats.org/officeDocument/2006/relationships/hyperlink" Target="http://www.ihec-epigenomes.org/" TargetMode="External"/><Relationship Id="rId116" Type="http://schemas.openxmlformats.org/officeDocument/2006/relationships/hyperlink" Target="http://www.roadmapepigenomics.org" TargetMode="External"/><Relationship Id="rId115" Type="http://schemas.openxmlformats.org/officeDocument/2006/relationships/image" Target="media/image105.png"/><Relationship Id="rId119" Type="http://schemas.openxmlformats.org/officeDocument/2006/relationships/hyperlink" Target="http://brainspan.org" TargetMode="External"/><Relationship Id="rId15" Type="http://schemas.openxmlformats.org/officeDocument/2006/relationships/hyperlink" Target="https://www.dropbox.com/s/hjlab7eeqx58m0z/DAC3%20support%20letters.pdf?dl=0" TargetMode="External"/><Relationship Id="rId110" Type="http://schemas.openxmlformats.org/officeDocument/2006/relationships/image" Target="media/image55.png"/><Relationship Id="rId14" Type="http://schemas.openxmlformats.org/officeDocument/2006/relationships/hyperlink" Target="https://docs.google.com/document/d/1MkhQcWG7f0KUEt2WiJpZRT5QXaKK-5ln99XxufJOae8/edit#" TargetMode="External"/><Relationship Id="rId17" Type="http://schemas.openxmlformats.org/officeDocument/2006/relationships/hyperlink" Target="https://www.dropbox.com/s/c0dnz91igq3cujc/encode-dac.pdf?dl=0" TargetMode="External"/><Relationship Id="rId16" Type="http://schemas.openxmlformats.org/officeDocument/2006/relationships/hyperlink" Target="https://docs.google.com/document/d/15g48i9miD0vxBsbsT7FiVSxeVxpZSwA2cgccbBC6naQ/edit" TargetMode="External"/><Relationship Id="rId19" Type="http://schemas.openxmlformats.org/officeDocument/2006/relationships/hyperlink" Target="https://docs.google.com/document/d/1MadhvzLsqL23SBfVIstbFk0pOeyHyMbtQFFQp0twW5g/edit?ts=56d60c1d" TargetMode="External"/><Relationship Id="rId114" Type="http://schemas.openxmlformats.org/officeDocument/2006/relationships/image" Target="media/image101.png"/><Relationship Id="rId18" Type="http://schemas.openxmlformats.org/officeDocument/2006/relationships/hyperlink" Target="https://docs.google.com/document/d/1pj1RKlPHnXfAkhIJDiiTBqY2KicJB_askaO98FahDas/edit" TargetMode="External"/><Relationship Id="rId113" Type="http://schemas.openxmlformats.org/officeDocument/2006/relationships/image" Target="media/image64.png"/><Relationship Id="rId112" Type="http://schemas.openxmlformats.org/officeDocument/2006/relationships/image" Target="media/image81.png"/><Relationship Id="rId111" Type="http://schemas.openxmlformats.org/officeDocument/2006/relationships/hyperlink" Target="http://www.nature.com/nbt/journal/v33/n4/full/nbt.3157.html#supplementary-information" TargetMode="External"/><Relationship Id="rId84" Type="http://schemas.openxmlformats.org/officeDocument/2006/relationships/image" Target="media/image10.png"/><Relationship Id="rId83" Type="http://schemas.openxmlformats.org/officeDocument/2006/relationships/image" Target="media/image107.png"/><Relationship Id="rId86" Type="http://schemas.openxmlformats.org/officeDocument/2006/relationships/hyperlink" Target="https://www.ebi.ac.uk/gxa/home" TargetMode="External"/><Relationship Id="rId85" Type="http://schemas.openxmlformats.org/officeDocument/2006/relationships/hyperlink" Target="https://www.ebi.ac.uk/arrayexpress/" TargetMode="External"/><Relationship Id="rId88" Type="http://schemas.openxmlformats.org/officeDocument/2006/relationships/image" Target="media/image99.png"/><Relationship Id="rId87" Type="http://schemas.openxmlformats.org/officeDocument/2006/relationships/image" Target="media/image93.png"/><Relationship Id="rId89" Type="http://schemas.openxmlformats.org/officeDocument/2006/relationships/image" Target="media/image90.png"/><Relationship Id="rId80" Type="http://schemas.openxmlformats.org/officeDocument/2006/relationships/hyperlink" Target="https://github.com/ENCODE-DCC/dna-me-pipeline" TargetMode="External"/><Relationship Id="rId82" Type="http://schemas.openxmlformats.org/officeDocument/2006/relationships/hyperlink" Target="https://github.com/ENCODE-DCC/Bismark-ENCODE-WGBS" TargetMode="External"/><Relationship Id="rId81" Type="http://schemas.openxmlformats.org/officeDocument/2006/relationships/hyperlink" Target="https://github.com/ENCODE-DCC/Bismark-ENCODE-WGBS" TargetMode="External"/><Relationship Id="rId1" Type="http://schemas.openxmlformats.org/officeDocument/2006/relationships/comments" Target="comments.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QjLmpVMFDkUvJQ2Xke5hfCBF6OhgBUoOe-3qMK5tDAo/edit" TargetMode="External"/><Relationship Id="rId5" Type="http://schemas.openxmlformats.org/officeDocument/2006/relationships/styles" Target="styles.xml"/><Relationship Id="rId6" Type="http://schemas.openxmlformats.org/officeDocument/2006/relationships/hyperlink" Target="http://grants.nih.gov/grants/guide/rfa-files/RFA-HG-16-006.html" TargetMode="External"/><Relationship Id="rId7" Type="http://schemas.openxmlformats.org/officeDocument/2006/relationships/hyperlink" Target="https://docs.google.com/document/d/1bdFCPidGXCZrDMIvGLCQ-FR1grnMokQEXF3_jUrNYDs/edit" TargetMode="External"/><Relationship Id="rId8" Type="http://schemas.openxmlformats.org/officeDocument/2006/relationships/hyperlink" Target="https://docs.google.com/document/d/1eZQGdMls2UrpRovjY769XSSiE9_JpXEkNPte8iked88/edit" TargetMode="External"/><Relationship Id="rId73" Type="http://schemas.openxmlformats.org/officeDocument/2006/relationships/hyperlink" Target="http://projecteuclid.org/euclid.aoas/1318514284" TargetMode="External"/><Relationship Id="rId72" Type="http://schemas.openxmlformats.org/officeDocument/2006/relationships/hyperlink" Target="https://github.com/pervouchine/hm-splice-pipe" TargetMode="External"/><Relationship Id="rId75" Type="http://schemas.openxmlformats.org/officeDocument/2006/relationships/image" Target="media/image79.png"/><Relationship Id="rId74" Type="http://schemas.openxmlformats.org/officeDocument/2006/relationships/hyperlink" Target="https://github.com/nboley/idr" TargetMode="External"/><Relationship Id="rId77" Type="http://schemas.openxmlformats.org/officeDocument/2006/relationships/image" Target="media/image103.png"/><Relationship Id="rId76" Type="http://schemas.openxmlformats.org/officeDocument/2006/relationships/hyperlink" Target="https://github.com/kundajelab/TF_chipseq_pipeline" TargetMode="External"/><Relationship Id="rId79" Type="http://schemas.openxmlformats.org/officeDocument/2006/relationships/hyperlink" Target="https://github.com/ENCODE-DCC/dna-me-pipeline" TargetMode="External"/><Relationship Id="rId78" Type="http://schemas.openxmlformats.org/officeDocument/2006/relationships/hyperlink" Target="https://github.com/taoliu/MACS/" TargetMode="External"/><Relationship Id="rId71" Type="http://schemas.openxmlformats.org/officeDocument/2006/relationships/hyperlink" Target="https://github.com/pervouchine/ipsa" TargetMode="External"/><Relationship Id="rId70" Type="http://schemas.openxmlformats.org/officeDocument/2006/relationships/image" Target="media/image53.png"/><Relationship Id="rId62" Type="http://schemas.openxmlformats.org/officeDocument/2006/relationships/image" Target="media/image100.png"/><Relationship Id="rId61" Type="http://schemas.openxmlformats.org/officeDocument/2006/relationships/image" Target="media/image60.png"/><Relationship Id="rId64" Type="http://schemas.openxmlformats.org/officeDocument/2006/relationships/image" Target="media/image61.png"/><Relationship Id="rId63" Type="http://schemas.openxmlformats.org/officeDocument/2006/relationships/image" Target="media/image72.png"/><Relationship Id="rId66" Type="http://schemas.openxmlformats.org/officeDocument/2006/relationships/image" Target="media/image71.png"/><Relationship Id="rId65" Type="http://schemas.openxmlformats.org/officeDocument/2006/relationships/image" Target="media/image63.png"/><Relationship Id="rId68" Type="http://schemas.openxmlformats.org/officeDocument/2006/relationships/hyperlink" Target="http://www.nextflow.io/" TargetMode="External"/><Relationship Id="rId67" Type="http://schemas.openxmlformats.org/officeDocument/2006/relationships/hyperlink" Target="https://github.com/guigolab/grape-nf" TargetMode="External"/><Relationship Id="rId60" Type="http://schemas.openxmlformats.org/officeDocument/2006/relationships/image" Target="media/image102.png"/><Relationship Id="rId69" Type="http://schemas.openxmlformats.org/officeDocument/2006/relationships/hyperlink" Target="https://www.docker.com/" TargetMode="External"/><Relationship Id="rId51" Type="http://schemas.openxmlformats.org/officeDocument/2006/relationships/image" Target="media/image62.png"/><Relationship Id="rId50" Type="http://schemas.openxmlformats.org/officeDocument/2006/relationships/image" Target="media/image78.png"/><Relationship Id="rId53" Type="http://schemas.openxmlformats.org/officeDocument/2006/relationships/image" Target="media/image94.png"/><Relationship Id="rId52" Type="http://schemas.openxmlformats.org/officeDocument/2006/relationships/image" Target="media/image68.png"/><Relationship Id="rId55" Type="http://schemas.openxmlformats.org/officeDocument/2006/relationships/image" Target="media/image82.jpg"/><Relationship Id="rId54" Type="http://schemas.openxmlformats.org/officeDocument/2006/relationships/image" Target="media/image67.png"/><Relationship Id="rId57" Type="http://schemas.openxmlformats.org/officeDocument/2006/relationships/image" Target="media/image75.jpg"/><Relationship Id="rId56" Type="http://schemas.openxmlformats.org/officeDocument/2006/relationships/hyperlink" Target="http://factorbook.org" TargetMode="External"/><Relationship Id="rId59" Type="http://schemas.openxmlformats.org/officeDocument/2006/relationships/image" Target="media/image83.jpg"/><Relationship Id="rId58" Type="http://schemas.openxmlformats.org/officeDocument/2006/relationships/hyperlink" Target="http://zlab-annotations.umassmed.edu"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vaMono-regular.ttf"/></Relationships>
</file>