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55EA50" w14:textId="77777777" w:rsidR="00BE3EA9" w:rsidRPr="00C1590F" w:rsidRDefault="0042063B" w:rsidP="004131F9">
      <w:pPr>
        <w:pStyle w:val="Heading1"/>
        <w:ind w:left="2160" w:firstLine="720"/>
        <w:jc w:val="left"/>
      </w:pPr>
      <w:r w:rsidRPr="00C1590F">
        <w:t>Response Letter</w:t>
      </w:r>
    </w:p>
    <w:p w14:paraId="530AD0F5" w14:textId="77777777" w:rsidR="00EE3D8C" w:rsidRDefault="00EE3D8C" w:rsidP="003535F0">
      <w:pPr>
        <w:pStyle w:val="Heading3"/>
        <w:spacing w:before="0" w:after="0"/>
      </w:pPr>
    </w:p>
    <w:p w14:paraId="60FF354C" w14:textId="77777777" w:rsidR="006C3C8A" w:rsidRPr="00C1590F" w:rsidRDefault="00CB5C25" w:rsidP="003535F0">
      <w:pPr>
        <w:pStyle w:val="Heading3"/>
        <w:spacing w:before="0" w:after="0"/>
      </w:pPr>
      <w:r w:rsidRPr="00C1590F">
        <w:t>Reviewer #1</w:t>
      </w:r>
    </w:p>
    <w:p w14:paraId="39AC8CD6" w14:textId="4683CAC6" w:rsidR="0042063B" w:rsidRPr="00C1590F" w:rsidRDefault="006C3C8A" w:rsidP="0042063B">
      <w:pPr>
        <w:pStyle w:val="Heading3"/>
      </w:pPr>
      <w:r w:rsidRPr="00C1590F">
        <w:t xml:space="preserve">-- </w:t>
      </w:r>
      <w:r w:rsidR="00CB5C25" w:rsidRPr="00C1590F">
        <w:t>Ref</w:t>
      </w:r>
      <w:r w:rsidR="00F83D6C">
        <w:t xml:space="preserve"> </w:t>
      </w:r>
      <w:r w:rsidR="00EE3D8C">
        <w:t>1</w:t>
      </w:r>
      <w:r w:rsidR="00B9141D">
        <w:t>.0</w:t>
      </w:r>
      <w:r w:rsidR="0042063B" w:rsidRPr="00C1590F">
        <w:t xml:space="preserve"> –</w:t>
      </w:r>
      <w:r w:rsidRPr="00C1590F">
        <w:t xml:space="preserve"> </w:t>
      </w:r>
      <w:r w:rsidR="00303A1E">
        <w:t>Emphasis on Deep Sequencing</w:t>
      </w:r>
      <w:r w:rsidRPr="00C1590F">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2063B" w:rsidRPr="00C1590F" w14:paraId="6589566E" w14:textId="77777777">
        <w:tc>
          <w:tcPr>
            <w:tcW w:w="1728" w:type="dxa"/>
          </w:tcPr>
          <w:p w14:paraId="2BA3BA9F" w14:textId="77777777" w:rsidR="0042063B" w:rsidRPr="00C1590F" w:rsidRDefault="0042063B" w:rsidP="0042063B">
            <w:pPr>
              <w:pStyle w:val="reviewer"/>
              <w:jc w:val="both"/>
            </w:pPr>
            <w:r w:rsidRPr="00C1590F">
              <w:t>Reviewer</w:t>
            </w:r>
          </w:p>
          <w:p w14:paraId="433B272D" w14:textId="77777777" w:rsidR="0042063B" w:rsidRPr="00C1590F" w:rsidRDefault="0042063B" w:rsidP="0042063B">
            <w:pPr>
              <w:pStyle w:val="reviewer"/>
              <w:jc w:val="both"/>
            </w:pPr>
            <w:r w:rsidRPr="00C1590F">
              <w:t>Comment</w:t>
            </w:r>
          </w:p>
        </w:tc>
        <w:tc>
          <w:tcPr>
            <w:tcW w:w="7200" w:type="dxa"/>
          </w:tcPr>
          <w:p w14:paraId="4F5AB2C7" w14:textId="4DDC778E" w:rsidR="00C375B5" w:rsidRPr="00303A1E" w:rsidRDefault="00303A1E" w:rsidP="004D34F2">
            <w:pPr>
              <w:autoSpaceDE w:val="0"/>
              <w:autoSpaceDN w:val="0"/>
              <w:adjustRightInd w:val="0"/>
              <w:rPr>
                <w:rFonts w:ascii="Courier New" w:hAnsi="Courier New" w:cs="Courier New"/>
                <w:sz w:val="20"/>
                <w:szCs w:val="20"/>
              </w:rPr>
            </w:pPr>
            <w:r w:rsidRPr="00303A1E">
              <w:rPr>
                <w:rFonts w:ascii="Courier New" w:eastAsia="Times New Roman" w:hAnsi="Courier New" w:cs="Courier New"/>
                <w:color w:val="222222"/>
                <w:sz w:val="20"/>
                <w:szCs w:val="20"/>
              </w:rPr>
              <w:t>This manuscript presents what seems to be a useful method. Even though the authors highlight deep sequencing, in practice it is a 3-D method. To predict allostery/allosteric residues one needs structures</w:t>
            </w:r>
            <w:r>
              <w:rPr>
                <w:rFonts w:ascii="Courier New" w:eastAsia="Times New Roman" w:hAnsi="Courier New" w:cs="Courier New"/>
                <w:color w:val="222222"/>
                <w:sz w:val="20"/>
                <w:szCs w:val="20"/>
              </w:rPr>
              <w:t xml:space="preserve"> </w:t>
            </w:r>
            <w:r w:rsidRPr="00303A1E">
              <w:rPr>
                <w:rFonts w:ascii="Courier New" w:eastAsia="Times New Roman" w:hAnsi="Courier New" w:cs="Courier New"/>
                <w:color w:val="222222"/>
                <w:sz w:val="20"/>
                <w:szCs w:val="20"/>
              </w:rPr>
              <w:t>… I would also suggest to the authors to reconsider their title. Even though I understand their wish is to highlight "deep sequencing", some readers may find this title confusing, since eventually the authors use structures.</w:t>
            </w:r>
          </w:p>
        </w:tc>
      </w:tr>
      <w:tr w:rsidR="0042063B" w:rsidRPr="00C1590F" w14:paraId="66DEABEE" w14:textId="77777777">
        <w:tc>
          <w:tcPr>
            <w:tcW w:w="1728" w:type="dxa"/>
          </w:tcPr>
          <w:p w14:paraId="60C5A781" w14:textId="77777777" w:rsidR="0042063B" w:rsidRPr="00C1590F" w:rsidRDefault="0042063B" w:rsidP="0042063B">
            <w:pPr>
              <w:pStyle w:val="author"/>
              <w:jc w:val="both"/>
            </w:pPr>
            <w:r w:rsidRPr="00C1590F">
              <w:t>Author</w:t>
            </w:r>
          </w:p>
          <w:p w14:paraId="19B7EF22" w14:textId="77777777" w:rsidR="0042063B" w:rsidRPr="00C1590F" w:rsidRDefault="0042063B" w:rsidP="0042063B">
            <w:pPr>
              <w:pStyle w:val="author"/>
              <w:jc w:val="both"/>
            </w:pPr>
            <w:r w:rsidRPr="00C1590F">
              <w:t>Response</w:t>
            </w:r>
          </w:p>
        </w:tc>
        <w:tc>
          <w:tcPr>
            <w:tcW w:w="7200" w:type="dxa"/>
          </w:tcPr>
          <w:p w14:paraId="3CAC84B7" w14:textId="470E1030" w:rsidR="002E3537" w:rsidRPr="002E3537" w:rsidRDefault="00303A1E" w:rsidP="00303A1E">
            <w:pPr>
              <w:pStyle w:val="author"/>
              <w:jc w:val="both"/>
              <w:rPr>
                <w:rFonts w:cs="Arial"/>
                <w:color w:val="222222"/>
                <w:sz w:val="22"/>
                <w:szCs w:val="22"/>
              </w:rPr>
            </w:pPr>
            <w:r w:rsidRPr="002E3537">
              <w:rPr>
                <w:rFonts w:cs="Arial"/>
                <w:color w:val="222222"/>
                <w:sz w:val="22"/>
                <w:szCs w:val="22"/>
              </w:rPr>
              <w:t>We would first like to thank the reviewer for taking to time to carefully read through our study, and we also thank the reviewer for valuable suggestions o</w:t>
            </w:r>
            <w:r w:rsidR="002E3537">
              <w:rPr>
                <w:rFonts w:cs="Arial"/>
                <w:color w:val="222222"/>
                <w:sz w:val="22"/>
                <w:szCs w:val="22"/>
              </w:rPr>
              <w:t>n how we may improve this work.</w:t>
            </w:r>
          </w:p>
          <w:p w14:paraId="6CAAB420" w14:textId="77777777" w:rsidR="002E3537" w:rsidRPr="002E3537" w:rsidRDefault="002E3537" w:rsidP="00303A1E">
            <w:pPr>
              <w:pStyle w:val="author"/>
              <w:jc w:val="both"/>
              <w:rPr>
                <w:rFonts w:cs="Arial"/>
                <w:color w:val="222222"/>
                <w:sz w:val="22"/>
                <w:szCs w:val="22"/>
              </w:rPr>
            </w:pPr>
          </w:p>
          <w:p w14:paraId="405DBB13" w14:textId="5EFB2B25" w:rsidR="00987A98" w:rsidRPr="002E3537" w:rsidRDefault="00303A1E" w:rsidP="002E3537">
            <w:pPr>
              <w:pStyle w:val="author"/>
              <w:jc w:val="both"/>
              <w:rPr>
                <w:rFonts w:cs="Arial"/>
                <w:color w:val="222222"/>
                <w:sz w:val="22"/>
                <w:szCs w:val="22"/>
              </w:rPr>
            </w:pPr>
            <w:r w:rsidRPr="002E3537">
              <w:rPr>
                <w:rFonts w:cs="Arial"/>
                <w:color w:val="222222"/>
                <w:sz w:val="22"/>
                <w:szCs w:val="22"/>
              </w:rPr>
              <w:t>We agree that the method is fundamen</w:t>
            </w:r>
            <w:r w:rsidR="002E3537" w:rsidRPr="002E3537">
              <w:rPr>
                <w:rFonts w:cs="Arial"/>
                <w:color w:val="222222"/>
                <w:sz w:val="22"/>
                <w:szCs w:val="22"/>
              </w:rPr>
              <w:t xml:space="preserve">tally 3-D structural in nature, and we </w:t>
            </w:r>
            <w:r w:rsidRPr="002E3537">
              <w:rPr>
                <w:rFonts w:cs="Arial"/>
                <w:color w:val="222222"/>
                <w:sz w:val="22"/>
                <w:szCs w:val="22"/>
              </w:rPr>
              <w:t>feel that that the vast majority of readers would have the</w:t>
            </w:r>
            <w:r w:rsidR="002E3537" w:rsidRPr="002E3537">
              <w:rPr>
                <w:rFonts w:cs="Arial"/>
                <w:color w:val="222222"/>
                <w:sz w:val="22"/>
                <w:szCs w:val="22"/>
              </w:rPr>
              <w:t xml:space="preserve"> same reaction as the reviewer. Thus, </w:t>
            </w:r>
            <w:r w:rsidRPr="002E3537">
              <w:rPr>
                <w:rFonts w:cs="Arial"/>
                <w:color w:val="222222"/>
                <w:sz w:val="22"/>
                <w:szCs w:val="22"/>
              </w:rPr>
              <w:t xml:space="preserve">we have decided to </w:t>
            </w:r>
            <w:r w:rsidR="002E3537" w:rsidRPr="002E3537">
              <w:rPr>
                <w:rFonts w:cs="Arial"/>
                <w:color w:val="222222"/>
                <w:sz w:val="22"/>
                <w:szCs w:val="22"/>
              </w:rPr>
              <w:t>change</w:t>
            </w:r>
            <w:r w:rsidRPr="002E3537">
              <w:rPr>
                <w:rFonts w:cs="Arial"/>
                <w:color w:val="222222"/>
                <w:sz w:val="22"/>
                <w:szCs w:val="22"/>
              </w:rPr>
              <w:t xml:space="preserve"> </w:t>
            </w:r>
            <w:r w:rsidR="002E3537" w:rsidRPr="002E3537">
              <w:rPr>
                <w:rFonts w:cs="Arial"/>
                <w:color w:val="222222"/>
                <w:sz w:val="22"/>
                <w:szCs w:val="22"/>
              </w:rPr>
              <w:t>our</w:t>
            </w:r>
            <w:r w:rsidRPr="002E3537">
              <w:rPr>
                <w:rFonts w:cs="Arial"/>
                <w:color w:val="222222"/>
                <w:sz w:val="22"/>
                <w:szCs w:val="22"/>
              </w:rPr>
              <w:t xml:space="preserve"> title accordingly.</w:t>
            </w:r>
            <w:r w:rsidR="00B40D06">
              <w:rPr>
                <w:rFonts w:cs="Arial"/>
                <w:color w:val="222222"/>
                <w:sz w:val="22"/>
                <w:szCs w:val="22"/>
              </w:rPr>
              <w:t xml:space="preserve"> The revised title is “</w:t>
            </w:r>
            <w:r w:rsidR="00B40D06" w:rsidRPr="00B40D06">
              <w:rPr>
                <w:rFonts w:cs="Arial"/>
                <w:color w:val="222222"/>
                <w:sz w:val="22"/>
                <w:szCs w:val="22"/>
              </w:rPr>
              <w:t>Predicting Allosteric Hotspots Using Dynamics-Based Formalisms with Sequence Analyses Across Diverse Evolutionary Timescales</w:t>
            </w:r>
            <w:r w:rsidR="00B40D06">
              <w:rPr>
                <w:rFonts w:cs="Arial"/>
                <w:color w:val="222222"/>
                <w:sz w:val="22"/>
                <w:szCs w:val="22"/>
              </w:rPr>
              <w:t>”</w:t>
            </w:r>
          </w:p>
        </w:tc>
      </w:tr>
    </w:tbl>
    <w:p w14:paraId="0D1A2206" w14:textId="77777777" w:rsidR="00F83D6C" w:rsidRPr="00C1590F" w:rsidRDefault="00F83D6C" w:rsidP="0042063B"/>
    <w:p w14:paraId="3F076FE3" w14:textId="27D3EF4D" w:rsidR="006C3C8A" w:rsidRPr="00C1590F" w:rsidRDefault="006C3C8A" w:rsidP="006C3C8A">
      <w:pPr>
        <w:pStyle w:val="Heading3"/>
      </w:pPr>
      <w:r w:rsidRPr="00C1590F">
        <w:t xml:space="preserve">-- </w:t>
      </w:r>
      <w:r w:rsidR="00801318" w:rsidRPr="00C1590F">
        <w:t>Ref</w:t>
      </w:r>
      <w:r w:rsidR="00F83D6C">
        <w:t xml:space="preserve"> 1</w:t>
      </w:r>
      <w:r w:rsidR="00801318" w:rsidRPr="00C1590F">
        <w:t>.</w:t>
      </w:r>
      <w:r w:rsidR="00B9141D">
        <w:t>1</w:t>
      </w:r>
      <w:r w:rsidR="00801318" w:rsidRPr="00C1590F">
        <w:t xml:space="preserve"> – </w:t>
      </w:r>
      <w:r w:rsidR="0054550D">
        <w:t xml:space="preserve">General Comments Regarding </w:t>
      </w:r>
      <w:r w:rsidR="00F83D6C">
        <w:t xml:space="preserve">Novelty and Value </w:t>
      </w:r>
      <w:r w:rsidR="00801318"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C1590F" w:rsidRPr="00C1590F" w14:paraId="2B70F189" w14:textId="77777777" w:rsidTr="007E46FC">
        <w:tc>
          <w:tcPr>
            <w:tcW w:w="1728" w:type="dxa"/>
          </w:tcPr>
          <w:p w14:paraId="1B5C3700" w14:textId="77777777" w:rsidR="006C3C8A" w:rsidRPr="00C1590F" w:rsidRDefault="006C3C8A" w:rsidP="007E46FC">
            <w:pPr>
              <w:pStyle w:val="reviewer"/>
              <w:jc w:val="both"/>
            </w:pPr>
            <w:r w:rsidRPr="00C1590F">
              <w:t>Reviewer</w:t>
            </w:r>
          </w:p>
          <w:p w14:paraId="3BB6C52E" w14:textId="77777777" w:rsidR="006C3C8A" w:rsidRPr="00C1590F" w:rsidRDefault="006C3C8A" w:rsidP="007E46FC">
            <w:pPr>
              <w:pStyle w:val="reviewer"/>
              <w:jc w:val="both"/>
            </w:pPr>
            <w:r w:rsidRPr="00C1590F">
              <w:t>Comment</w:t>
            </w:r>
          </w:p>
        </w:tc>
        <w:tc>
          <w:tcPr>
            <w:tcW w:w="7200" w:type="dxa"/>
          </w:tcPr>
          <w:p w14:paraId="257252B1" w14:textId="77777777" w:rsidR="00F83D6C" w:rsidRPr="00F83D6C" w:rsidRDefault="00F83D6C" w:rsidP="00F83D6C">
            <w:pPr>
              <w:autoSpaceDE w:val="0"/>
              <w:autoSpaceDN w:val="0"/>
              <w:adjustRightInd w:val="0"/>
              <w:rPr>
                <w:rFonts w:ascii="Courier New" w:hAnsi="Courier New" w:cs="Courier New"/>
                <w:sz w:val="20"/>
                <w:szCs w:val="20"/>
              </w:rPr>
            </w:pPr>
            <w:r w:rsidRPr="00F83D6C">
              <w:rPr>
                <w:rFonts w:ascii="Courier New" w:hAnsi="Courier New" w:cs="Courier New"/>
                <w:sz w:val="20"/>
                <w:szCs w:val="20"/>
              </w:rPr>
              <w:t>The approach itself is not novel. It is a modified version of an earlier one (by Berezovsky et al), with the modifications appearing to efficiently filter and trim the output. Modeling the protein as a network, with residues representing nodes and edges representing contacts between residues is not new either, and neither is the analysis of residue conservation in the networks. The finding that allosteric residues are significantly conserved over both long and short evolutionary time scales is also not new and indeed expected, as is the observation that not all conserved residues can be explained by protein-protein interactions or in close-packed hydrophobic core.</w:t>
            </w:r>
          </w:p>
          <w:p w14:paraId="2DDB068D" w14:textId="77777777" w:rsidR="00F83D6C" w:rsidRPr="00F83D6C" w:rsidRDefault="00F83D6C" w:rsidP="00F83D6C">
            <w:pPr>
              <w:autoSpaceDE w:val="0"/>
              <w:autoSpaceDN w:val="0"/>
              <w:adjustRightInd w:val="0"/>
              <w:rPr>
                <w:rFonts w:ascii="Courier New" w:hAnsi="Courier New" w:cs="Courier New"/>
                <w:sz w:val="20"/>
                <w:szCs w:val="20"/>
              </w:rPr>
            </w:pPr>
          </w:p>
          <w:p w14:paraId="6DB748CE" w14:textId="1C1ECF44" w:rsidR="006C3C8A" w:rsidRPr="00C1590F" w:rsidRDefault="00F83D6C" w:rsidP="00F83D6C">
            <w:pPr>
              <w:autoSpaceDE w:val="0"/>
              <w:autoSpaceDN w:val="0"/>
              <w:adjustRightInd w:val="0"/>
              <w:rPr>
                <w:rFonts w:ascii="Courier New" w:hAnsi="Courier New" w:cs="Courier New"/>
                <w:sz w:val="20"/>
                <w:szCs w:val="20"/>
              </w:rPr>
            </w:pPr>
            <w:r w:rsidRPr="00F83D6C">
              <w:rPr>
                <w:rFonts w:ascii="Courier New" w:hAnsi="Courier New" w:cs="Courier New"/>
                <w:sz w:val="20"/>
                <w:szCs w:val="20"/>
              </w:rPr>
              <w:t>Despite this lack of conceptual novelty, the usefulness of the paper whose main thru</w:t>
            </w:r>
            <w:r w:rsidR="00B86903">
              <w:rPr>
                <w:rFonts w:ascii="Courier New" w:hAnsi="Courier New" w:cs="Courier New"/>
                <w:sz w:val="20"/>
                <w:szCs w:val="20"/>
              </w:rPr>
              <w:t xml:space="preserve">st is the efficient streamlined </w:t>
            </w:r>
            <w:r w:rsidRPr="00F83D6C">
              <w:rPr>
                <w:rFonts w:ascii="Courier New" w:hAnsi="Courier New" w:cs="Courier New"/>
                <w:sz w:val="20"/>
                <w:szCs w:val="20"/>
              </w:rPr>
              <w:t>method, its broad application and its availability can merit its publication. Allostery and allosteric residues and their identification is gaining increasing interest in the community. Having the atlas that they produced along with an efficient accessible method is important.</w:t>
            </w:r>
          </w:p>
        </w:tc>
      </w:tr>
      <w:tr w:rsidR="00C1590F" w:rsidRPr="00C1590F" w14:paraId="795EA0F5" w14:textId="77777777" w:rsidTr="007E46FC">
        <w:tc>
          <w:tcPr>
            <w:tcW w:w="1728" w:type="dxa"/>
          </w:tcPr>
          <w:p w14:paraId="26EEE16C" w14:textId="77777777" w:rsidR="006C3C8A" w:rsidRPr="00C1590F" w:rsidRDefault="006C3C8A" w:rsidP="007E46FC">
            <w:pPr>
              <w:pStyle w:val="author"/>
              <w:jc w:val="both"/>
            </w:pPr>
            <w:r w:rsidRPr="00C1590F">
              <w:t>Author</w:t>
            </w:r>
          </w:p>
          <w:p w14:paraId="354ABF1B" w14:textId="77777777" w:rsidR="006C3C8A" w:rsidRPr="00C1590F" w:rsidRDefault="006C3C8A" w:rsidP="007E46FC">
            <w:pPr>
              <w:pStyle w:val="author"/>
              <w:jc w:val="both"/>
            </w:pPr>
            <w:r w:rsidRPr="00C1590F">
              <w:t>Response</w:t>
            </w:r>
          </w:p>
        </w:tc>
        <w:tc>
          <w:tcPr>
            <w:tcW w:w="7200" w:type="dxa"/>
          </w:tcPr>
          <w:p w14:paraId="49DE4DB4" w14:textId="77777777" w:rsidR="006C3C8A" w:rsidRDefault="00F83D6C" w:rsidP="002A4B1E">
            <w:pPr>
              <w:pStyle w:val="author"/>
              <w:jc w:val="both"/>
              <w:rPr>
                <w:rFonts w:cs="Arial"/>
                <w:sz w:val="22"/>
                <w:szCs w:val="22"/>
              </w:rPr>
            </w:pPr>
            <w:r w:rsidRPr="00B9141D">
              <w:rPr>
                <w:rFonts w:cs="Arial"/>
                <w:sz w:val="22"/>
                <w:szCs w:val="22"/>
              </w:rPr>
              <w:t xml:space="preserve">We thank the reviewer for these comments. It is true that the </w:t>
            </w:r>
            <w:r w:rsidR="00B40D06">
              <w:rPr>
                <w:rFonts w:cs="Arial"/>
                <w:sz w:val="22"/>
                <w:szCs w:val="22"/>
              </w:rPr>
              <w:t xml:space="preserve">allosteric prediction </w:t>
            </w:r>
            <w:r w:rsidRPr="00B9141D">
              <w:rPr>
                <w:rFonts w:cs="Arial"/>
                <w:sz w:val="22"/>
                <w:szCs w:val="22"/>
              </w:rPr>
              <w:t xml:space="preserve">methods themselves are not fundamentally novel. It is our expectation, however, that our streamlined pipeline and publically available server and source code will facilitate the identification of allosteric residues throughout the protein surface and interior. In addition, we anticipate that the atlas provided may further motivate </w:t>
            </w:r>
            <w:r w:rsidRPr="00B9141D">
              <w:rPr>
                <w:rFonts w:cs="Arial"/>
                <w:sz w:val="22"/>
                <w:szCs w:val="22"/>
              </w:rPr>
              <w:lastRenderedPageBreak/>
              <w:t>other studies into allosteric residues on a database scale.</w:t>
            </w:r>
          </w:p>
          <w:p w14:paraId="7057C88E" w14:textId="77777777" w:rsidR="0060078D" w:rsidRDefault="0060078D" w:rsidP="002A4B1E">
            <w:pPr>
              <w:pStyle w:val="author"/>
              <w:jc w:val="both"/>
              <w:rPr>
                <w:rFonts w:cs="Arial"/>
                <w:sz w:val="22"/>
                <w:szCs w:val="22"/>
              </w:rPr>
            </w:pPr>
          </w:p>
          <w:p w14:paraId="0F92449B" w14:textId="67C50CA5" w:rsidR="0060078D" w:rsidRPr="00B9141D" w:rsidRDefault="0060078D" w:rsidP="00B548DD">
            <w:pPr>
              <w:pStyle w:val="author"/>
              <w:jc w:val="both"/>
              <w:rPr>
                <w:rFonts w:cs="Arial"/>
                <w:sz w:val="22"/>
                <w:szCs w:val="22"/>
              </w:rPr>
            </w:pPr>
            <w:r>
              <w:rPr>
                <w:rFonts w:cs="Arial"/>
                <w:sz w:val="22"/>
                <w:szCs w:val="22"/>
              </w:rPr>
              <w:t>In addition, we have now done more to highlight our server/tool by including its associated images within the main text (now Fig.</w:t>
            </w:r>
            <w:r w:rsidR="00B548DD">
              <w:rPr>
                <w:rFonts w:cs="Arial"/>
                <w:sz w:val="22"/>
                <w:szCs w:val="22"/>
              </w:rPr>
              <w:t xml:space="preserve"> 3 in the main text).</w:t>
            </w:r>
          </w:p>
        </w:tc>
      </w:tr>
    </w:tbl>
    <w:p w14:paraId="7B3DB241" w14:textId="77777777" w:rsidR="004131F9" w:rsidRDefault="004131F9" w:rsidP="004131F9">
      <w:pPr>
        <w:rPr>
          <w:rFonts w:ascii="Arial" w:eastAsia="Times New Roman" w:hAnsi="Arial"/>
          <w:b/>
          <w:kern w:val="28"/>
          <w:sz w:val="28"/>
          <w:szCs w:val="20"/>
          <w:lang w:eastAsia="en-US"/>
        </w:rPr>
      </w:pPr>
    </w:p>
    <w:p w14:paraId="1EBEA07C" w14:textId="7099CBD9" w:rsidR="00B9141D" w:rsidRPr="00C1590F" w:rsidRDefault="00B9141D" w:rsidP="00B9141D">
      <w:pPr>
        <w:pStyle w:val="Heading3"/>
      </w:pPr>
      <w:r w:rsidRPr="00C1590F">
        <w:t>-- Ref</w:t>
      </w:r>
      <w:r>
        <w:t xml:space="preserve"> 1</w:t>
      </w:r>
      <w:r w:rsidRPr="00C1590F">
        <w:t>.</w:t>
      </w:r>
      <w:r>
        <w:t>2</w:t>
      </w:r>
      <w:r w:rsidRPr="00C1590F">
        <w:t xml:space="preserve"> – </w:t>
      </w:r>
      <w:r>
        <w:t xml:space="preserve">Citing </w:t>
      </w:r>
      <w:r w:rsidR="005700C7">
        <w:t xml:space="preserve">Early </w:t>
      </w:r>
      <w:r>
        <w:t xml:space="preserve">Work on Network Analysis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9141D" w:rsidRPr="00C1590F" w14:paraId="416F57B1" w14:textId="77777777" w:rsidTr="00885845">
        <w:tc>
          <w:tcPr>
            <w:tcW w:w="1728" w:type="dxa"/>
          </w:tcPr>
          <w:p w14:paraId="121F65C1" w14:textId="77777777" w:rsidR="00B9141D" w:rsidRPr="00C1590F" w:rsidRDefault="00B9141D" w:rsidP="00885845">
            <w:pPr>
              <w:pStyle w:val="reviewer"/>
              <w:jc w:val="both"/>
            </w:pPr>
            <w:r w:rsidRPr="00C1590F">
              <w:t>Reviewer</w:t>
            </w:r>
          </w:p>
          <w:p w14:paraId="598F5323" w14:textId="77777777" w:rsidR="00B9141D" w:rsidRPr="00C1590F" w:rsidRDefault="00B9141D" w:rsidP="00885845">
            <w:pPr>
              <w:pStyle w:val="reviewer"/>
              <w:jc w:val="both"/>
            </w:pPr>
            <w:r w:rsidRPr="00C1590F">
              <w:t>Comment</w:t>
            </w:r>
          </w:p>
        </w:tc>
        <w:tc>
          <w:tcPr>
            <w:tcW w:w="7200" w:type="dxa"/>
          </w:tcPr>
          <w:p w14:paraId="005F1725" w14:textId="77777777" w:rsidR="00B9141D" w:rsidRPr="004131F9" w:rsidRDefault="00B9141D" w:rsidP="00B9141D">
            <w:pPr>
              <w:autoSpaceDE w:val="0"/>
              <w:autoSpaceDN w:val="0"/>
              <w:adjustRightInd w:val="0"/>
              <w:rPr>
                <w:rFonts w:ascii="Courier New" w:hAnsi="Courier New" w:cs="Courier New"/>
                <w:sz w:val="20"/>
                <w:szCs w:val="20"/>
              </w:rPr>
            </w:pPr>
            <w:r w:rsidRPr="004131F9">
              <w:rPr>
                <w:rFonts w:ascii="Courier New" w:hAnsi="Courier New" w:cs="Courier New"/>
                <w:sz w:val="20"/>
                <w:szCs w:val="20"/>
              </w:rPr>
              <w:t>I have only a couple of minor comments. With regard to conserved residues, networks, information and communication, it would be appropriate to cite an early paper in this direction, Mol Syst Biol. 2006;2:2006.0019. Residues crucial for maintaining short paths in network communication mediate signaling in proteins.(PMID: 16738564).</w:t>
            </w:r>
          </w:p>
          <w:p w14:paraId="4F7E7585" w14:textId="5B079EDC" w:rsidR="00B9141D" w:rsidRPr="00C1590F" w:rsidRDefault="00B9141D" w:rsidP="00B9141D">
            <w:pPr>
              <w:autoSpaceDE w:val="0"/>
              <w:autoSpaceDN w:val="0"/>
              <w:adjustRightInd w:val="0"/>
              <w:rPr>
                <w:rFonts w:ascii="Courier New" w:hAnsi="Courier New" w:cs="Courier New"/>
                <w:sz w:val="20"/>
                <w:szCs w:val="20"/>
              </w:rPr>
            </w:pPr>
            <w:r w:rsidRPr="004131F9">
              <w:rPr>
                <w:rFonts w:ascii="Courier New" w:hAnsi="Courier New" w:cs="Courier New"/>
                <w:sz w:val="20"/>
                <w:szCs w:val="20"/>
              </w:rPr>
              <w:t>Additionally, though a different implementation, still the papers by S. Vishveshwara (e.g. Biochemistry. 2008 Nov 4;47(44):11398-407. doi: 10.1021/</w:t>
            </w:r>
            <w:r>
              <w:rPr>
                <w:rFonts w:ascii="Courier New" w:hAnsi="Courier New" w:cs="Courier New"/>
                <w:sz w:val="20"/>
                <w:szCs w:val="20"/>
              </w:rPr>
              <w:t>bi8007559) also deserve citing.</w:t>
            </w:r>
          </w:p>
        </w:tc>
      </w:tr>
      <w:tr w:rsidR="00B9141D" w:rsidRPr="00C1590F" w14:paraId="518155F0" w14:textId="77777777" w:rsidTr="00885845">
        <w:tc>
          <w:tcPr>
            <w:tcW w:w="1728" w:type="dxa"/>
          </w:tcPr>
          <w:p w14:paraId="6783FC1D" w14:textId="77777777" w:rsidR="00B9141D" w:rsidRPr="00B9141D" w:rsidRDefault="00B9141D" w:rsidP="00885845">
            <w:pPr>
              <w:pStyle w:val="author"/>
              <w:jc w:val="both"/>
              <w:rPr>
                <w:sz w:val="22"/>
                <w:szCs w:val="22"/>
              </w:rPr>
            </w:pPr>
            <w:r w:rsidRPr="00B9141D">
              <w:rPr>
                <w:sz w:val="22"/>
                <w:szCs w:val="22"/>
              </w:rPr>
              <w:t>Author</w:t>
            </w:r>
          </w:p>
          <w:p w14:paraId="4D6BC411" w14:textId="77777777" w:rsidR="00B9141D" w:rsidRPr="00B9141D" w:rsidRDefault="00B9141D" w:rsidP="00885845">
            <w:pPr>
              <w:pStyle w:val="author"/>
              <w:jc w:val="both"/>
              <w:rPr>
                <w:sz w:val="22"/>
                <w:szCs w:val="22"/>
              </w:rPr>
            </w:pPr>
            <w:r w:rsidRPr="00B9141D">
              <w:rPr>
                <w:sz w:val="22"/>
                <w:szCs w:val="22"/>
              </w:rPr>
              <w:t>Response</w:t>
            </w:r>
          </w:p>
        </w:tc>
        <w:tc>
          <w:tcPr>
            <w:tcW w:w="7200" w:type="dxa"/>
          </w:tcPr>
          <w:p w14:paraId="3A4DB0B8" w14:textId="1554C5B1" w:rsidR="0010487B" w:rsidRPr="0010487B" w:rsidRDefault="00B9141D" w:rsidP="004B2F77">
            <w:pPr>
              <w:pStyle w:val="author"/>
              <w:jc w:val="both"/>
              <w:rPr>
                <w:rFonts w:cs="Arial"/>
                <w:sz w:val="22"/>
                <w:szCs w:val="22"/>
              </w:rPr>
            </w:pPr>
            <w:r w:rsidRPr="00816E84">
              <w:rPr>
                <w:rFonts w:cs="Arial"/>
                <w:sz w:val="22"/>
                <w:szCs w:val="22"/>
              </w:rPr>
              <w:t xml:space="preserve">We thank the reviewer for bringing these studies to our attention, and we now </w:t>
            </w:r>
            <w:r w:rsidR="004B2F77">
              <w:rPr>
                <w:rFonts w:cs="Arial"/>
                <w:sz w:val="22"/>
                <w:szCs w:val="22"/>
              </w:rPr>
              <w:t>introduce these works within</w:t>
            </w:r>
            <w:r w:rsidRPr="00816E84">
              <w:rPr>
                <w:rFonts w:cs="Arial"/>
                <w:sz w:val="22"/>
                <w:szCs w:val="22"/>
              </w:rPr>
              <w:t xml:space="preserve"> the main text.</w:t>
            </w:r>
            <w:r w:rsidR="0010487B">
              <w:rPr>
                <w:rFonts w:cs="Arial"/>
                <w:sz w:val="22"/>
                <w:szCs w:val="22"/>
              </w:rPr>
              <w:t xml:space="preserve"> Specifically, we mention the study by Ghosh </w:t>
            </w:r>
            <w:r w:rsidR="0010487B" w:rsidRPr="004B2F77">
              <w:rPr>
                <w:rFonts w:cs="Arial"/>
                <w:i/>
                <w:sz w:val="22"/>
                <w:szCs w:val="22"/>
              </w:rPr>
              <w:t>et al</w:t>
            </w:r>
            <w:r w:rsidR="004B2F77">
              <w:rPr>
                <w:rFonts w:cs="Arial"/>
                <w:sz w:val="22"/>
                <w:szCs w:val="22"/>
              </w:rPr>
              <w:t>.</w:t>
            </w:r>
            <w:r w:rsidR="0010487B">
              <w:rPr>
                <w:rFonts w:cs="Arial"/>
                <w:sz w:val="22"/>
                <w:szCs w:val="22"/>
              </w:rPr>
              <w:t xml:space="preserve"> as part of our introduction to previously</w:t>
            </w:r>
            <w:r w:rsidR="004B2F77">
              <w:rPr>
                <w:rFonts w:cs="Arial"/>
                <w:sz w:val="22"/>
                <w:szCs w:val="22"/>
              </w:rPr>
              <w:t xml:space="preserve"> </w:t>
            </w:r>
            <w:r w:rsidR="0010487B">
              <w:rPr>
                <w:rFonts w:cs="Arial"/>
                <w:sz w:val="22"/>
                <w:szCs w:val="22"/>
              </w:rPr>
              <w:t xml:space="preserve">developed methods, and we discuss some of the key findings </w:t>
            </w:r>
            <w:r w:rsidR="004B2F77">
              <w:rPr>
                <w:rFonts w:cs="Arial"/>
                <w:sz w:val="22"/>
                <w:szCs w:val="22"/>
              </w:rPr>
              <w:t>o</w:t>
            </w:r>
            <w:r w:rsidR="0010487B">
              <w:rPr>
                <w:rFonts w:cs="Arial"/>
                <w:sz w:val="22"/>
                <w:szCs w:val="22"/>
              </w:rPr>
              <w:t xml:space="preserve">f interest by del Sol </w:t>
            </w:r>
            <w:r w:rsidR="0010487B" w:rsidRPr="004B2F77">
              <w:rPr>
                <w:rFonts w:cs="Arial"/>
                <w:i/>
                <w:sz w:val="22"/>
                <w:szCs w:val="22"/>
              </w:rPr>
              <w:t>et al</w:t>
            </w:r>
            <w:r w:rsidR="004B2F77">
              <w:rPr>
                <w:rFonts w:cs="Arial"/>
                <w:sz w:val="22"/>
                <w:szCs w:val="22"/>
              </w:rPr>
              <w:t>.</w:t>
            </w:r>
            <w:r w:rsidR="0010487B">
              <w:rPr>
                <w:rFonts w:cs="Arial"/>
                <w:sz w:val="22"/>
                <w:szCs w:val="22"/>
              </w:rPr>
              <w:t xml:space="preserve"> within the discussion.</w:t>
            </w:r>
          </w:p>
        </w:tc>
      </w:tr>
      <w:tr w:rsidR="00B9141D" w:rsidRPr="00C1590F" w14:paraId="268708AC" w14:textId="77777777" w:rsidTr="00885845">
        <w:tc>
          <w:tcPr>
            <w:tcW w:w="1728" w:type="dxa"/>
          </w:tcPr>
          <w:p w14:paraId="69CAC2E2" w14:textId="77777777" w:rsidR="00B9141D" w:rsidRPr="00C1590F" w:rsidRDefault="00B9141D" w:rsidP="00885845">
            <w:pPr>
              <w:pStyle w:val="new-text"/>
              <w:jc w:val="both"/>
            </w:pPr>
            <w:r w:rsidRPr="00C1590F">
              <w:t>Excerpt From</w:t>
            </w:r>
          </w:p>
          <w:p w14:paraId="22A34B1E" w14:textId="77777777" w:rsidR="00B9141D" w:rsidRPr="00C1590F" w:rsidRDefault="00B9141D" w:rsidP="00885845">
            <w:pPr>
              <w:pStyle w:val="new-text"/>
              <w:jc w:val="both"/>
            </w:pPr>
            <w:r w:rsidRPr="00C1590F">
              <w:t>Revised Manuscript</w:t>
            </w:r>
          </w:p>
        </w:tc>
        <w:tc>
          <w:tcPr>
            <w:tcW w:w="7200" w:type="dxa"/>
          </w:tcPr>
          <w:p w14:paraId="6D8590C4" w14:textId="3E8FD7C0" w:rsidR="00B9141D" w:rsidRDefault="0010487B" w:rsidP="00885845">
            <w:pPr>
              <w:rPr>
                <w:sz w:val="22"/>
                <w:szCs w:val="22"/>
              </w:rPr>
            </w:pPr>
            <w:r>
              <w:rPr>
                <w:sz w:val="22"/>
                <w:szCs w:val="22"/>
              </w:rPr>
              <w:t>…</w:t>
            </w:r>
            <w:r>
              <w:t xml:space="preserve"> </w:t>
            </w:r>
            <w:r w:rsidRPr="0010487B">
              <w:rPr>
                <w:sz w:val="22"/>
                <w:szCs w:val="22"/>
              </w:rPr>
              <w:t>Ghosh et al. have taken a novel approach of combining MD and network principles to characterize allosterically important inter-domain communication in methionyl tRNA synthetase (Ghosh et al., 2008).</w:t>
            </w:r>
          </w:p>
          <w:p w14:paraId="2F54B798" w14:textId="3B36D2E1" w:rsidR="0010487B" w:rsidRDefault="0010487B" w:rsidP="00885845">
            <w:pPr>
              <w:rPr>
                <w:sz w:val="22"/>
                <w:szCs w:val="22"/>
              </w:rPr>
            </w:pPr>
          </w:p>
          <w:p w14:paraId="4C20EF3E" w14:textId="15413923" w:rsidR="00B9141D" w:rsidRPr="00C01860" w:rsidRDefault="0010487B" w:rsidP="00C01860">
            <w:pPr>
              <w:rPr>
                <w:sz w:val="22"/>
                <w:szCs w:val="22"/>
              </w:rPr>
            </w:pPr>
            <w:r>
              <w:rPr>
                <w:sz w:val="22"/>
                <w:szCs w:val="22"/>
              </w:rPr>
              <w:t>…</w:t>
            </w:r>
            <w:r w:rsidRPr="0010487B">
              <w:rPr>
                <w:sz w:val="22"/>
                <w:szCs w:val="22"/>
              </w:rPr>
              <w:t>Investigations into representative families have also been enlightening in other contexts. In one of the early studies employing network analysis, del Sol et al. conduct a detailed study of several allosteric protein families (including GPCRs) to demonstrate that residues important for maintaining the integrity of short paths within residue contact networks are essential to enabling signal transmission between distant sites (del Sol et al, 2006). Notably, many of the key sites identified correspond to residues that had been experimentally determined to be important for allostery. Another notable result in the same work is that these key residues may become redistributed when the protein undergoes conformational change, thereby changing optimal communication routes in different conformations as a means of conferring different regulatory properties.</w:t>
            </w:r>
          </w:p>
        </w:tc>
      </w:tr>
    </w:tbl>
    <w:p w14:paraId="25647E96" w14:textId="77777777" w:rsidR="00B9141D" w:rsidRPr="00C1590F" w:rsidRDefault="00B9141D" w:rsidP="00B9141D"/>
    <w:p w14:paraId="5ACD15CB" w14:textId="77777777" w:rsidR="00604D55" w:rsidRDefault="00604D55" w:rsidP="006C3C8A">
      <w:pPr>
        <w:rPr>
          <w:rFonts w:ascii="Arial" w:eastAsia="Times New Roman" w:hAnsi="Arial"/>
          <w:b/>
          <w:kern w:val="28"/>
          <w:sz w:val="28"/>
          <w:szCs w:val="20"/>
          <w:lang w:eastAsia="en-US"/>
        </w:rPr>
      </w:pPr>
    </w:p>
    <w:p w14:paraId="0D830F1B" w14:textId="77777777" w:rsidR="00B548DD" w:rsidRDefault="00B548DD" w:rsidP="006C3C8A">
      <w:pPr>
        <w:rPr>
          <w:rFonts w:ascii="Arial" w:eastAsia="Times New Roman" w:hAnsi="Arial"/>
          <w:b/>
          <w:kern w:val="28"/>
          <w:sz w:val="28"/>
          <w:szCs w:val="20"/>
          <w:lang w:eastAsia="en-US"/>
        </w:rPr>
      </w:pPr>
    </w:p>
    <w:p w14:paraId="77E72744" w14:textId="77777777" w:rsidR="00B548DD" w:rsidRDefault="00B548DD" w:rsidP="006C3C8A">
      <w:pPr>
        <w:rPr>
          <w:rFonts w:ascii="Arial" w:eastAsia="Times New Roman" w:hAnsi="Arial"/>
          <w:b/>
          <w:kern w:val="28"/>
          <w:sz w:val="28"/>
          <w:szCs w:val="20"/>
          <w:lang w:eastAsia="en-US"/>
        </w:rPr>
      </w:pPr>
    </w:p>
    <w:p w14:paraId="79DA5F33" w14:textId="77777777" w:rsidR="00B548DD" w:rsidRDefault="00B548DD" w:rsidP="006C3C8A">
      <w:pPr>
        <w:rPr>
          <w:rFonts w:ascii="Arial" w:eastAsia="Times New Roman" w:hAnsi="Arial"/>
          <w:b/>
          <w:kern w:val="28"/>
          <w:sz w:val="28"/>
          <w:szCs w:val="20"/>
          <w:lang w:eastAsia="en-US"/>
        </w:rPr>
      </w:pPr>
    </w:p>
    <w:p w14:paraId="49831F56" w14:textId="77777777" w:rsidR="00B548DD" w:rsidRDefault="00B548DD" w:rsidP="006C3C8A">
      <w:pPr>
        <w:rPr>
          <w:rFonts w:ascii="Arial" w:eastAsia="Times New Roman" w:hAnsi="Arial"/>
          <w:b/>
          <w:kern w:val="28"/>
          <w:sz w:val="28"/>
          <w:szCs w:val="20"/>
          <w:lang w:eastAsia="en-US"/>
        </w:rPr>
      </w:pPr>
    </w:p>
    <w:p w14:paraId="6723EC43" w14:textId="77777777" w:rsidR="0065241C" w:rsidRDefault="0065241C" w:rsidP="006C3C8A">
      <w:pPr>
        <w:rPr>
          <w:rFonts w:ascii="Arial" w:eastAsia="Times New Roman" w:hAnsi="Arial"/>
          <w:b/>
          <w:kern w:val="28"/>
          <w:sz w:val="28"/>
          <w:szCs w:val="20"/>
          <w:lang w:eastAsia="en-US"/>
        </w:rPr>
      </w:pPr>
    </w:p>
    <w:p w14:paraId="6335D08B" w14:textId="6735F4AB" w:rsidR="00B9141D" w:rsidRPr="0065241C" w:rsidRDefault="0065241C" w:rsidP="0065241C">
      <w:pPr>
        <w:pStyle w:val="Heading3"/>
        <w:spacing w:before="0" w:after="0"/>
      </w:pPr>
      <w:r w:rsidRPr="00C1590F">
        <w:lastRenderedPageBreak/>
        <w:t>Reviewer #</w:t>
      </w:r>
      <w:r>
        <w:t>2</w:t>
      </w:r>
    </w:p>
    <w:p w14:paraId="4B04E0D9" w14:textId="057C739A" w:rsidR="00B9141D" w:rsidRPr="00C1590F" w:rsidRDefault="00B9141D" w:rsidP="00B9141D">
      <w:pPr>
        <w:pStyle w:val="Heading3"/>
      </w:pPr>
      <w:r w:rsidRPr="00C1590F">
        <w:t>-- Ref</w:t>
      </w:r>
      <w:r>
        <w:t xml:space="preserve"> 2</w:t>
      </w:r>
      <w:r w:rsidRPr="00C1590F">
        <w:t>.</w:t>
      </w:r>
      <w:r w:rsidR="0065241C">
        <w:t>0</w:t>
      </w:r>
      <w:r w:rsidRPr="00C1590F">
        <w:t xml:space="preserve"> – </w:t>
      </w:r>
      <w:r w:rsidR="004447F5">
        <w:t>General Overview</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B9141D" w:rsidRPr="00C1590F" w14:paraId="00A22B9E" w14:textId="77777777" w:rsidTr="00885845">
        <w:tc>
          <w:tcPr>
            <w:tcW w:w="1728" w:type="dxa"/>
          </w:tcPr>
          <w:p w14:paraId="1532B54F" w14:textId="77777777" w:rsidR="00B9141D" w:rsidRPr="00C1590F" w:rsidRDefault="00B9141D" w:rsidP="00885845">
            <w:pPr>
              <w:pStyle w:val="reviewer"/>
              <w:jc w:val="both"/>
            </w:pPr>
            <w:r w:rsidRPr="00C1590F">
              <w:t>Reviewer</w:t>
            </w:r>
          </w:p>
          <w:p w14:paraId="55624E52" w14:textId="77777777" w:rsidR="00B9141D" w:rsidRPr="00C1590F" w:rsidRDefault="00B9141D" w:rsidP="00885845">
            <w:pPr>
              <w:pStyle w:val="reviewer"/>
              <w:jc w:val="both"/>
            </w:pPr>
            <w:r w:rsidRPr="00C1590F">
              <w:t>Comment</w:t>
            </w:r>
          </w:p>
        </w:tc>
        <w:tc>
          <w:tcPr>
            <w:tcW w:w="7200" w:type="dxa"/>
          </w:tcPr>
          <w:p w14:paraId="37638997" w14:textId="5A141E4D" w:rsidR="00B9141D" w:rsidRPr="00C1590F" w:rsidRDefault="0065241C" w:rsidP="00885845">
            <w:pPr>
              <w:autoSpaceDE w:val="0"/>
              <w:autoSpaceDN w:val="0"/>
              <w:adjustRightInd w:val="0"/>
              <w:rPr>
                <w:rFonts w:ascii="Courier New" w:hAnsi="Courier New" w:cs="Courier New"/>
                <w:sz w:val="20"/>
                <w:szCs w:val="20"/>
              </w:rPr>
            </w:pPr>
            <w:r w:rsidRPr="0065241C">
              <w:rPr>
                <w:rFonts w:ascii="Courier New" w:hAnsi="Courier New" w:cs="Courier New"/>
                <w:sz w:val="20"/>
                <w:szCs w:val="20"/>
              </w:rPr>
              <w:t xml:space="preserve">This paper presents the </w:t>
            </w:r>
            <w:r w:rsidR="00015761" w:rsidRPr="0065241C">
              <w:rPr>
                <w:rFonts w:ascii="Courier New" w:hAnsi="Courier New" w:cs="Courier New"/>
                <w:sz w:val="20"/>
                <w:szCs w:val="20"/>
              </w:rPr>
              <w:t>reimplementation</w:t>
            </w:r>
            <w:r w:rsidRPr="0065241C">
              <w:rPr>
                <w:rFonts w:ascii="Courier New" w:hAnsi="Courier New" w:cs="Courier New"/>
                <w:sz w:val="20"/>
                <w:szCs w:val="20"/>
              </w:rPr>
              <w:t xml:space="preserve"> of two methods for </w:t>
            </w:r>
            <w:r w:rsidR="00015761" w:rsidRPr="0065241C">
              <w:rPr>
                <w:rFonts w:ascii="Courier New" w:hAnsi="Courier New" w:cs="Courier New"/>
                <w:sz w:val="20"/>
                <w:szCs w:val="20"/>
              </w:rPr>
              <w:t>detecting</w:t>
            </w:r>
            <w:r w:rsidRPr="0065241C">
              <w:rPr>
                <w:rFonts w:ascii="Courier New" w:hAnsi="Courier New" w:cs="Courier New"/>
                <w:sz w:val="20"/>
                <w:szCs w:val="20"/>
              </w:rPr>
              <w:t xml:space="preserve"> allosteric sites, a server/program for applying the method, the application of the methods to a number of proteins, and an evaluation of the conservation of the identified residues. There are a number of issues with the manuscript which I would like to see addressed.</w:t>
            </w:r>
          </w:p>
        </w:tc>
      </w:tr>
      <w:tr w:rsidR="00B9141D" w:rsidRPr="00C1590F" w14:paraId="7D014256" w14:textId="77777777" w:rsidTr="00885845">
        <w:tc>
          <w:tcPr>
            <w:tcW w:w="1728" w:type="dxa"/>
          </w:tcPr>
          <w:p w14:paraId="687003FE" w14:textId="77777777" w:rsidR="00B9141D" w:rsidRPr="00C1590F" w:rsidRDefault="00B9141D" w:rsidP="00885845">
            <w:pPr>
              <w:pStyle w:val="author"/>
              <w:jc w:val="both"/>
            </w:pPr>
            <w:r w:rsidRPr="00C1590F">
              <w:t>Author</w:t>
            </w:r>
          </w:p>
          <w:p w14:paraId="2C561EF0" w14:textId="77777777" w:rsidR="00B9141D" w:rsidRPr="00C1590F" w:rsidRDefault="00B9141D" w:rsidP="00885845">
            <w:pPr>
              <w:pStyle w:val="author"/>
              <w:jc w:val="both"/>
            </w:pPr>
            <w:r w:rsidRPr="00C1590F">
              <w:t>Response</w:t>
            </w:r>
          </w:p>
        </w:tc>
        <w:tc>
          <w:tcPr>
            <w:tcW w:w="7200" w:type="dxa"/>
          </w:tcPr>
          <w:p w14:paraId="4B6BA03F" w14:textId="343374F1" w:rsidR="00015761" w:rsidRPr="00015761" w:rsidRDefault="00015761" w:rsidP="00015761">
            <w:pPr>
              <w:shd w:val="clear" w:color="auto" w:fill="FFFFFF"/>
              <w:rPr>
                <w:rFonts w:ascii="Arial" w:eastAsia="Times New Roman" w:hAnsi="Arial" w:cs="Arial"/>
                <w:color w:val="222222"/>
                <w:sz w:val="22"/>
                <w:szCs w:val="22"/>
              </w:rPr>
            </w:pPr>
            <w:r>
              <w:rPr>
                <w:rFonts w:ascii="Arial" w:eastAsia="Times New Roman" w:hAnsi="Arial" w:cs="Arial"/>
                <w:color w:val="222222"/>
                <w:sz w:val="22"/>
                <w:szCs w:val="22"/>
              </w:rPr>
              <w:t>Firstly, w</w:t>
            </w:r>
            <w:r w:rsidRPr="00015761">
              <w:rPr>
                <w:rFonts w:ascii="Arial" w:eastAsia="Times New Roman" w:hAnsi="Arial" w:cs="Arial"/>
                <w:color w:val="222222"/>
                <w:sz w:val="22"/>
                <w:szCs w:val="22"/>
              </w:rPr>
              <w:t>e thank the reviewer for taking to time to careful</w:t>
            </w:r>
            <w:r>
              <w:rPr>
                <w:rFonts w:ascii="Arial" w:eastAsia="Times New Roman" w:hAnsi="Arial" w:cs="Arial"/>
                <w:color w:val="222222"/>
                <w:sz w:val="22"/>
                <w:szCs w:val="22"/>
              </w:rPr>
              <w:t xml:space="preserve">ly read through our study, as well as </w:t>
            </w:r>
            <w:r w:rsidRPr="00015761">
              <w:rPr>
                <w:rFonts w:ascii="Arial" w:eastAsia="Times New Roman" w:hAnsi="Arial" w:cs="Arial"/>
                <w:color w:val="222222"/>
                <w:sz w:val="22"/>
                <w:szCs w:val="22"/>
              </w:rPr>
              <w:t>for valuable feedback on how this work may be improved. Below, we respond to the various issues raised. Before we address each of these points individually, however, we note that many of the items raised involve ambiguities or the need for clarification</w:t>
            </w:r>
            <w:r>
              <w:rPr>
                <w:rFonts w:ascii="Arial" w:eastAsia="Times New Roman" w:hAnsi="Arial" w:cs="Arial"/>
                <w:color w:val="222222"/>
                <w:sz w:val="22"/>
                <w:szCs w:val="22"/>
              </w:rPr>
              <w:t xml:space="preserve"> in certain sections</w:t>
            </w:r>
            <w:r w:rsidRPr="00015761">
              <w:rPr>
                <w:rFonts w:ascii="Arial" w:eastAsia="Times New Roman" w:hAnsi="Arial" w:cs="Arial"/>
                <w:color w:val="222222"/>
                <w:sz w:val="22"/>
                <w:szCs w:val="22"/>
              </w:rPr>
              <w:t>. We strongly agree with the reviewer in the areas referenced, and upon examining our work further, we feel that there are also other areas (especially within the Supplement) that might benefit from clearer organization and greater detail. Thus, we have tried to make it easier for readers to use the Supplementary material by:</w:t>
            </w:r>
          </w:p>
          <w:p w14:paraId="7AEF7F7A" w14:textId="786491C6" w:rsidR="00015761" w:rsidRPr="00015761" w:rsidRDefault="00015761" w:rsidP="00015761">
            <w:pPr>
              <w:pStyle w:val="ListParagraph"/>
              <w:numPr>
                <w:ilvl w:val="0"/>
                <w:numId w:val="4"/>
              </w:numPr>
              <w:shd w:val="clear" w:color="auto" w:fill="FFFFFF"/>
              <w:spacing w:after="0" w:line="240" w:lineRule="auto"/>
              <w:rPr>
                <w:rFonts w:ascii="Arial" w:eastAsia="Times New Roman" w:hAnsi="Arial" w:cs="Arial"/>
                <w:color w:val="222222"/>
              </w:rPr>
            </w:pPr>
            <w:r w:rsidRPr="00015761">
              <w:rPr>
                <w:rFonts w:ascii="Arial" w:eastAsia="Times New Roman" w:hAnsi="Arial" w:cs="Arial"/>
                <w:color w:val="222222"/>
              </w:rPr>
              <w:t>providing more details regarding some of the methods and their implementation</w:t>
            </w:r>
          </w:p>
          <w:p w14:paraId="50FA6F6B" w14:textId="77777777" w:rsidR="00015761" w:rsidRPr="00015761" w:rsidRDefault="00015761" w:rsidP="00015761">
            <w:pPr>
              <w:pStyle w:val="ListParagraph"/>
              <w:numPr>
                <w:ilvl w:val="0"/>
                <w:numId w:val="4"/>
              </w:numPr>
              <w:shd w:val="clear" w:color="auto" w:fill="FFFFFF"/>
              <w:spacing w:after="0" w:line="240" w:lineRule="auto"/>
              <w:rPr>
                <w:rFonts w:ascii="Arial" w:eastAsia="Times New Roman" w:hAnsi="Arial" w:cs="Arial"/>
                <w:color w:val="222222"/>
              </w:rPr>
            </w:pPr>
            <w:r w:rsidRPr="00015761">
              <w:rPr>
                <w:rFonts w:ascii="Arial" w:eastAsia="Times New Roman" w:hAnsi="Arial" w:cs="Arial"/>
                <w:color w:val="222222"/>
              </w:rPr>
              <w:t>providing more contextual language and perspective around the methods employed</w:t>
            </w:r>
          </w:p>
          <w:p w14:paraId="32913EB4" w14:textId="28E5A6B4" w:rsidR="00015761" w:rsidRPr="00015761" w:rsidRDefault="00015761" w:rsidP="00015761">
            <w:pPr>
              <w:pStyle w:val="ListParagraph"/>
              <w:numPr>
                <w:ilvl w:val="0"/>
                <w:numId w:val="4"/>
              </w:numPr>
              <w:shd w:val="clear" w:color="auto" w:fill="FFFFFF"/>
              <w:spacing w:after="0" w:line="240" w:lineRule="auto"/>
              <w:rPr>
                <w:rFonts w:ascii="Arial" w:eastAsia="Times New Roman" w:hAnsi="Arial" w:cs="Arial"/>
                <w:color w:val="222222"/>
              </w:rPr>
            </w:pPr>
            <w:r w:rsidRPr="00015761">
              <w:rPr>
                <w:rFonts w:ascii="Arial" w:eastAsia="Times New Roman" w:hAnsi="Arial" w:cs="Arial"/>
                <w:color w:val="222222"/>
              </w:rPr>
              <w:t>providing numbered sub-headings (as well as a more local sub-headings scheme) within the various sections, thereby making it easier to find information and reference other parts of the Supplement</w:t>
            </w:r>
            <w:r w:rsidR="00B40D06">
              <w:rPr>
                <w:rFonts w:ascii="Arial" w:eastAsia="Times New Roman" w:hAnsi="Arial" w:cs="Arial"/>
                <w:color w:val="222222"/>
              </w:rPr>
              <w:t>; the overall layout is given in the first page of the Supporting Information</w:t>
            </w:r>
          </w:p>
          <w:p w14:paraId="091F4946" w14:textId="3CCB6D6F" w:rsidR="00015761" w:rsidRPr="00015761" w:rsidRDefault="00015761" w:rsidP="00015761">
            <w:pPr>
              <w:pStyle w:val="ListParagraph"/>
              <w:numPr>
                <w:ilvl w:val="0"/>
                <w:numId w:val="4"/>
              </w:numPr>
              <w:shd w:val="clear" w:color="auto" w:fill="FFFFFF"/>
              <w:spacing w:after="0" w:line="240" w:lineRule="auto"/>
              <w:rPr>
                <w:rFonts w:ascii="Arial" w:eastAsia="Times New Roman" w:hAnsi="Arial" w:cs="Arial"/>
                <w:color w:val="222222"/>
              </w:rPr>
            </w:pPr>
            <w:r w:rsidRPr="00015761">
              <w:rPr>
                <w:rFonts w:ascii="Arial" w:eastAsia="Times New Roman" w:hAnsi="Arial" w:cs="Arial"/>
                <w:color w:val="222222"/>
              </w:rPr>
              <w:t>removing potentially extraneous figures (specifically the orig</w:t>
            </w:r>
            <w:r w:rsidR="00B548DD">
              <w:rPr>
                <w:rFonts w:ascii="Arial" w:eastAsia="Times New Roman" w:hAnsi="Arial" w:cs="Arial"/>
                <w:color w:val="222222"/>
              </w:rPr>
              <w:t>inal Figures S4, S10, S20, S21</w:t>
            </w:r>
            <w:r w:rsidRPr="00015761">
              <w:rPr>
                <w:rFonts w:ascii="Arial" w:eastAsia="Times New Roman" w:hAnsi="Arial" w:cs="Arial"/>
                <w:color w:val="222222"/>
              </w:rPr>
              <w:t>, S2) that may otherwise distract readers from essential information</w:t>
            </w:r>
          </w:p>
          <w:p w14:paraId="7EED9F32" w14:textId="4AC165A0" w:rsidR="00B9141D" w:rsidRPr="00015761" w:rsidRDefault="00015761" w:rsidP="00015761">
            <w:pPr>
              <w:pStyle w:val="ListParagraph"/>
              <w:numPr>
                <w:ilvl w:val="0"/>
                <w:numId w:val="4"/>
              </w:numPr>
              <w:shd w:val="clear" w:color="auto" w:fill="FFFFFF"/>
              <w:spacing w:after="0" w:line="240" w:lineRule="auto"/>
              <w:rPr>
                <w:rFonts w:ascii="Times New Roman" w:eastAsia="Times New Roman" w:hAnsi="Times New Roman"/>
                <w:color w:val="222222"/>
              </w:rPr>
            </w:pPr>
            <w:r w:rsidRPr="00015761">
              <w:rPr>
                <w:rFonts w:ascii="Arial" w:eastAsia="Times New Roman" w:hAnsi="Arial" w:cs="Arial"/>
                <w:color w:val="222222"/>
              </w:rPr>
              <w:t>clarifying language in some areas by tightening the prose in an effort to prevent the Supplement from becoming needlessly verbose</w:t>
            </w:r>
          </w:p>
        </w:tc>
      </w:tr>
    </w:tbl>
    <w:p w14:paraId="72CD5A88" w14:textId="77777777" w:rsidR="00105E44" w:rsidRDefault="00105E44" w:rsidP="00105E44">
      <w:pPr>
        <w:rPr>
          <w:rFonts w:ascii="Arial" w:eastAsia="Times New Roman" w:hAnsi="Arial"/>
          <w:b/>
          <w:kern w:val="28"/>
          <w:sz w:val="28"/>
          <w:szCs w:val="20"/>
          <w:lang w:eastAsia="en-US"/>
        </w:rPr>
      </w:pPr>
    </w:p>
    <w:p w14:paraId="4B170A04" w14:textId="77777777" w:rsidR="00105E44" w:rsidRPr="00C1590F" w:rsidRDefault="00105E44" w:rsidP="00105E44">
      <w:pPr>
        <w:pStyle w:val="Heading3"/>
      </w:pPr>
      <w:r w:rsidRPr="00C1590F">
        <w:t>-- Ref</w:t>
      </w:r>
      <w:r>
        <w:t xml:space="preserve"> 2</w:t>
      </w:r>
      <w:r w:rsidRPr="00C1590F">
        <w:t>.</w:t>
      </w:r>
      <w:r>
        <w:t>1</w:t>
      </w:r>
      <w:r w:rsidRPr="00C1590F">
        <w:t xml:space="preserve"> – </w:t>
      </w:r>
      <w:r>
        <w:t xml:space="preserve">Selection of 12 Canonical Systems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05E44" w:rsidRPr="00C1590F" w14:paraId="4B6FB607" w14:textId="77777777" w:rsidTr="00885845">
        <w:tc>
          <w:tcPr>
            <w:tcW w:w="1728" w:type="dxa"/>
          </w:tcPr>
          <w:p w14:paraId="4DE829F9" w14:textId="77777777" w:rsidR="00105E44" w:rsidRPr="00C1590F" w:rsidRDefault="00105E44" w:rsidP="00885845">
            <w:pPr>
              <w:pStyle w:val="reviewer"/>
              <w:jc w:val="both"/>
            </w:pPr>
            <w:r w:rsidRPr="00C1590F">
              <w:t>Reviewer</w:t>
            </w:r>
          </w:p>
          <w:p w14:paraId="5E9F0C39" w14:textId="77777777" w:rsidR="00105E44" w:rsidRPr="00C1590F" w:rsidRDefault="00105E44" w:rsidP="00885845">
            <w:pPr>
              <w:pStyle w:val="reviewer"/>
              <w:jc w:val="both"/>
            </w:pPr>
            <w:r w:rsidRPr="00C1590F">
              <w:t>Comment</w:t>
            </w:r>
          </w:p>
        </w:tc>
        <w:tc>
          <w:tcPr>
            <w:tcW w:w="7200" w:type="dxa"/>
          </w:tcPr>
          <w:p w14:paraId="16A4CD96" w14:textId="77777777" w:rsidR="00105E44" w:rsidRPr="00C1590F" w:rsidRDefault="00105E44" w:rsidP="00885845">
            <w:pPr>
              <w:autoSpaceDE w:val="0"/>
              <w:autoSpaceDN w:val="0"/>
              <w:adjustRightInd w:val="0"/>
              <w:rPr>
                <w:rFonts w:ascii="Courier New" w:hAnsi="Courier New" w:cs="Courier New"/>
                <w:sz w:val="20"/>
                <w:szCs w:val="20"/>
              </w:rPr>
            </w:pPr>
            <w:r w:rsidRPr="00816E84">
              <w:rPr>
                <w:rFonts w:ascii="Courier New" w:hAnsi="Courier New" w:cs="Courier New"/>
                <w:sz w:val="20"/>
                <w:szCs w:val="20"/>
              </w:rPr>
              <w:t>How were the 12 'canonical' systems chosen? A quick check of a couple of them indicated to me that the functional role of the ligands in allostery has been established. If this is the case for all of them, I think it would be of benefit to the reader to indicate this.</w:t>
            </w:r>
          </w:p>
        </w:tc>
      </w:tr>
      <w:tr w:rsidR="00105E44" w:rsidRPr="00C1590F" w14:paraId="71F28068" w14:textId="77777777" w:rsidTr="00885845">
        <w:tc>
          <w:tcPr>
            <w:tcW w:w="1728" w:type="dxa"/>
          </w:tcPr>
          <w:p w14:paraId="17A70FC6" w14:textId="77777777" w:rsidR="00105E44" w:rsidRPr="00B9141D" w:rsidRDefault="00105E44" w:rsidP="00885845">
            <w:pPr>
              <w:pStyle w:val="author"/>
              <w:jc w:val="both"/>
              <w:rPr>
                <w:sz w:val="22"/>
                <w:szCs w:val="22"/>
              </w:rPr>
            </w:pPr>
            <w:r w:rsidRPr="00B9141D">
              <w:rPr>
                <w:sz w:val="22"/>
                <w:szCs w:val="22"/>
              </w:rPr>
              <w:t>Author</w:t>
            </w:r>
          </w:p>
          <w:p w14:paraId="7F14E19D" w14:textId="77777777" w:rsidR="00105E44" w:rsidRPr="00B9141D" w:rsidRDefault="00105E44" w:rsidP="00885845">
            <w:pPr>
              <w:pStyle w:val="author"/>
              <w:jc w:val="both"/>
              <w:rPr>
                <w:sz w:val="22"/>
                <w:szCs w:val="22"/>
              </w:rPr>
            </w:pPr>
            <w:r w:rsidRPr="00B9141D">
              <w:rPr>
                <w:sz w:val="22"/>
                <w:szCs w:val="22"/>
              </w:rPr>
              <w:t>Response</w:t>
            </w:r>
          </w:p>
        </w:tc>
        <w:tc>
          <w:tcPr>
            <w:tcW w:w="7200" w:type="dxa"/>
          </w:tcPr>
          <w:p w14:paraId="5F203733" w14:textId="77777777" w:rsidR="00105E44" w:rsidRPr="00816E84" w:rsidRDefault="00105E44" w:rsidP="00885845">
            <w:pPr>
              <w:pStyle w:val="author"/>
              <w:jc w:val="both"/>
              <w:rPr>
                <w:rFonts w:cs="Arial"/>
              </w:rPr>
            </w:pPr>
            <w:r w:rsidRPr="00816E84">
              <w:rPr>
                <w:rFonts w:cs="Arial"/>
                <w:color w:val="222222"/>
                <w:sz w:val="22"/>
                <w:szCs w:val="22"/>
              </w:rPr>
              <w:t>Given the importance of the canonical set in our study, we thank the reviewer bringing this ambiguity to our attention. We have clarified the motivating factors behind our choice of a canonical system, and this clarification is now provided in the caption of Table S1, where we fully list the proteins and their ligands (a pointer to this rationale is also given in the main text).</w:t>
            </w:r>
          </w:p>
        </w:tc>
      </w:tr>
      <w:tr w:rsidR="00105E44" w:rsidRPr="00C1590F" w14:paraId="4BAE5420" w14:textId="77777777" w:rsidTr="00885845">
        <w:tc>
          <w:tcPr>
            <w:tcW w:w="1728" w:type="dxa"/>
          </w:tcPr>
          <w:p w14:paraId="7F3510A9" w14:textId="77777777" w:rsidR="00105E44" w:rsidRPr="00C1590F" w:rsidRDefault="00105E44" w:rsidP="00885845">
            <w:pPr>
              <w:pStyle w:val="new-text"/>
              <w:jc w:val="both"/>
            </w:pPr>
            <w:r w:rsidRPr="00C1590F">
              <w:t>Excerpt From</w:t>
            </w:r>
          </w:p>
          <w:p w14:paraId="31CD1F67" w14:textId="77777777" w:rsidR="00105E44" w:rsidRPr="00C1590F" w:rsidRDefault="00105E44" w:rsidP="00885845">
            <w:pPr>
              <w:pStyle w:val="new-text"/>
              <w:jc w:val="both"/>
            </w:pPr>
            <w:r w:rsidRPr="00C1590F">
              <w:t>Revised Manuscript</w:t>
            </w:r>
          </w:p>
        </w:tc>
        <w:tc>
          <w:tcPr>
            <w:tcW w:w="7200" w:type="dxa"/>
          </w:tcPr>
          <w:p w14:paraId="253A7D93" w14:textId="77777777" w:rsidR="00105E44" w:rsidRPr="00816E84" w:rsidRDefault="00105E44" w:rsidP="00885845">
            <w:pPr>
              <w:rPr>
                <w:b/>
                <w:sz w:val="22"/>
                <w:szCs w:val="22"/>
              </w:rPr>
            </w:pPr>
            <w:r w:rsidRPr="00816E84">
              <w:rPr>
                <w:b/>
                <w:sz w:val="22"/>
                <w:szCs w:val="22"/>
              </w:rPr>
              <w:t>Table S1: Set of 12 canonical proteins, organized by state (apo or holo)</w:t>
            </w:r>
          </w:p>
          <w:p w14:paraId="4FF02AFF" w14:textId="77777777" w:rsidR="00105E44" w:rsidRPr="00467CE3" w:rsidRDefault="00105E44" w:rsidP="00885845">
            <w:pPr>
              <w:pStyle w:val="BodyText3"/>
              <w:rPr>
                <w:szCs w:val="18"/>
              </w:rPr>
            </w:pPr>
            <w:r w:rsidRPr="00816E84">
              <w:rPr>
                <w:sz w:val="22"/>
                <w:szCs w:val="22"/>
              </w:rPr>
              <w:t xml:space="preserve">These 12 proteins were chosen to constitute the canonical set for several </w:t>
            </w:r>
            <w:r w:rsidRPr="00816E84">
              <w:rPr>
                <w:sz w:val="22"/>
                <w:szCs w:val="22"/>
              </w:rPr>
              <w:lastRenderedPageBreak/>
              <w:t>reasons: the allosteric mechanisms of their natural ligands are well understood, and both the holo and apo states for each system are available and clearly distinguishable; in addition, these proteins have been extensively investigated in the contexts of both binding leverage and allostery in general</w:t>
            </w:r>
            <w:r>
              <w:rPr>
                <w:sz w:val="22"/>
                <w:szCs w:val="22"/>
              </w:rPr>
              <w:t>.</w:t>
            </w:r>
          </w:p>
        </w:tc>
      </w:tr>
    </w:tbl>
    <w:p w14:paraId="59AA7A42" w14:textId="77777777" w:rsidR="00105E44" w:rsidRDefault="00105E44" w:rsidP="00105E44">
      <w:pPr>
        <w:rPr>
          <w:rFonts w:ascii="Arial" w:eastAsia="Times New Roman" w:hAnsi="Arial"/>
          <w:b/>
          <w:kern w:val="28"/>
          <w:sz w:val="28"/>
          <w:szCs w:val="20"/>
          <w:lang w:eastAsia="en-US"/>
        </w:rPr>
      </w:pPr>
    </w:p>
    <w:p w14:paraId="3964B11F" w14:textId="77777777" w:rsidR="00AC1909" w:rsidRPr="00C1590F" w:rsidRDefault="00AC1909" w:rsidP="00AC1909">
      <w:pPr>
        <w:pStyle w:val="Heading3"/>
      </w:pPr>
      <w:r w:rsidRPr="00C1590F">
        <w:t>-- Ref</w:t>
      </w:r>
      <w:r>
        <w:t xml:space="preserve"> 2</w:t>
      </w:r>
      <w:r w:rsidRPr="00C1590F">
        <w:t>.</w:t>
      </w:r>
      <w:r>
        <w:t>2-1</w:t>
      </w:r>
      <w:r w:rsidRPr="00C1590F">
        <w:t xml:space="preserve"> – </w:t>
      </w:r>
      <w:r>
        <w:t xml:space="preserve">Parameterization Values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C1909" w:rsidRPr="00C1590F" w14:paraId="0275F8D5" w14:textId="77777777" w:rsidTr="00256FC6">
        <w:tc>
          <w:tcPr>
            <w:tcW w:w="1728" w:type="dxa"/>
          </w:tcPr>
          <w:p w14:paraId="66EBC07C" w14:textId="77777777" w:rsidR="00AC1909" w:rsidRPr="00C1590F" w:rsidRDefault="00AC1909" w:rsidP="00256FC6">
            <w:pPr>
              <w:pStyle w:val="reviewer"/>
              <w:jc w:val="both"/>
            </w:pPr>
            <w:r w:rsidRPr="00C1590F">
              <w:t>Reviewer</w:t>
            </w:r>
          </w:p>
          <w:p w14:paraId="7D444729" w14:textId="77777777" w:rsidR="00AC1909" w:rsidRPr="00C1590F" w:rsidRDefault="00AC1909" w:rsidP="00256FC6">
            <w:pPr>
              <w:pStyle w:val="reviewer"/>
              <w:jc w:val="both"/>
            </w:pPr>
            <w:r w:rsidRPr="00C1590F">
              <w:t>Comment</w:t>
            </w:r>
          </w:p>
        </w:tc>
        <w:tc>
          <w:tcPr>
            <w:tcW w:w="7200" w:type="dxa"/>
          </w:tcPr>
          <w:p w14:paraId="3F6AE23C" w14:textId="77777777" w:rsidR="00AC1909" w:rsidRPr="00C1590F" w:rsidRDefault="00AC1909" w:rsidP="00256FC6">
            <w:pPr>
              <w:autoSpaceDE w:val="0"/>
              <w:autoSpaceDN w:val="0"/>
              <w:adjustRightInd w:val="0"/>
              <w:rPr>
                <w:rFonts w:ascii="Courier New" w:hAnsi="Courier New" w:cs="Courier New"/>
                <w:sz w:val="20"/>
                <w:szCs w:val="20"/>
              </w:rPr>
            </w:pPr>
            <w:r w:rsidRPr="00105E44">
              <w:rPr>
                <w:rFonts w:ascii="Courier New" w:hAnsi="Courier New" w:cs="Courier New"/>
                <w:sz w:val="20"/>
                <w:szCs w:val="20"/>
              </w:rPr>
              <w:t>In the supplementary methods for the MC search, although an attractive potential in the -0.05 to -0.75 range is sampled, it is unclear what the repulsive and strongly repul</w:t>
            </w:r>
            <w:r>
              <w:rPr>
                <w:rFonts w:ascii="Courier New" w:hAnsi="Courier New" w:cs="Courier New"/>
                <w:sz w:val="20"/>
                <w:szCs w:val="20"/>
              </w:rPr>
              <w:t>s</w:t>
            </w:r>
            <w:r w:rsidRPr="00105E44">
              <w:rPr>
                <w:rFonts w:ascii="Courier New" w:hAnsi="Courier New" w:cs="Courier New"/>
                <w:sz w:val="20"/>
                <w:szCs w:val="20"/>
              </w:rPr>
              <w:t>ive energies were. The same as the Mitternacht and Berezovsky values (3 and 10)? These are not stated, but would have a significant effect on the sampling.</w:t>
            </w:r>
          </w:p>
        </w:tc>
      </w:tr>
      <w:tr w:rsidR="00AC1909" w:rsidRPr="00C1590F" w14:paraId="647A377C" w14:textId="77777777" w:rsidTr="00256FC6">
        <w:tc>
          <w:tcPr>
            <w:tcW w:w="1728" w:type="dxa"/>
          </w:tcPr>
          <w:p w14:paraId="02D7BF7A" w14:textId="77777777" w:rsidR="00AC1909" w:rsidRPr="00B9141D" w:rsidRDefault="00AC1909" w:rsidP="00256FC6">
            <w:pPr>
              <w:pStyle w:val="author"/>
              <w:jc w:val="both"/>
              <w:rPr>
                <w:sz w:val="22"/>
                <w:szCs w:val="22"/>
              </w:rPr>
            </w:pPr>
            <w:r w:rsidRPr="00B9141D">
              <w:rPr>
                <w:sz w:val="22"/>
                <w:szCs w:val="22"/>
              </w:rPr>
              <w:t>Author</w:t>
            </w:r>
          </w:p>
          <w:p w14:paraId="29D9525D" w14:textId="77777777" w:rsidR="00AC1909" w:rsidRPr="00B9141D" w:rsidRDefault="00AC1909" w:rsidP="00256FC6">
            <w:pPr>
              <w:pStyle w:val="author"/>
              <w:jc w:val="both"/>
              <w:rPr>
                <w:sz w:val="22"/>
                <w:szCs w:val="22"/>
              </w:rPr>
            </w:pPr>
            <w:r w:rsidRPr="00B9141D">
              <w:rPr>
                <w:sz w:val="22"/>
                <w:szCs w:val="22"/>
              </w:rPr>
              <w:t>Response</w:t>
            </w:r>
          </w:p>
        </w:tc>
        <w:tc>
          <w:tcPr>
            <w:tcW w:w="7200" w:type="dxa"/>
          </w:tcPr>
          <w:p w14:paraId="11397640" w14:textId="17BF7FDA" w:rsidR="00AC1909" w:rsidRPr="00816E84" w:rsidRDefault="00AC1909" w:rsidP="00B40D06">
            <w:pPr>
              <w:pStyle w:val="author"/>
              <w:jc w:val="both"/>
              <w:rPr>
                <w:rFonts w:cs="Arial"/>
              </w:rPr>
            </w:pPr>
            <w:r w:rsidRPr="00105E44">
              <w:rPr>
                <w:rFonts w:cs="Arial"/>
                <w:color w:val="222222"/>
                <w:sz w:val="22"/>
                <w:szCs w:val="22"/>
              </w:rPr>
              <w:t>We thank the reviewer for bringing it to our attention that these details were missing, as the parameters and the means of optimizing them are essential to how surface-</w:t>
            </w:r>
            <w:r w:rsidRPr="00B40D06">
              <w:rPr>
                <w:rFonts w:cs="Arial"/>
                <w:color w:val="222222"/>
                <w:sz w:val="22"/>
                <w:szCs w:val="22"/>
              </w:rPr>
              <w:t>critical residues are identified. We have now clarified these items in Supplementary</w:t>
            </w:r>
            <w:r w:rsidR="00B40D06" w:rsidRPr="00B40D06">
              <w:rPr>
                <w:rFonts w:cs="Arial"/>
                <w:color w:val="222222"/>
                <w:sz w:val="22"/>
                <w:szCs w:val="22"/>
              </w:rPr>
              <w:t xml:space="preserve"> Methods</w:t>
            </w:r>
            <w:r w:rsidRPr="00B40D06">
              <w:rPr>
                <w:rFonts w:cs="Arial"/>
                <w:color w:val="222222"/>
                <w:sz w:val="22"/>
                <w:szCs w:val="22"/>
              </w:rPr>
              <w:t xml:space="preserve"> </w:t>
            </w:r>
            <w:r w:rsidR="00B40D06" w:rsidRPr="00B40D06">
              <w:rPr>
                <w:rFonts w:cs="Arial"/>
                <w:color w:val="222222"/>
                <w:sz w:val="22"/>
                <w:szCs w:val="22"/>
              </w:rPr>
              <w:t>s</w:t>
            </w:r>
            <w:r w:rsidRPr="00B40D06">
              <w:rPr>
                <w:rFonts w:cs="Arial"/>
                <w:color w:val="222222"/>
                <w:sz w:val="22"/>
                <w:szCs w:val="22"/>
              </w:rPr>
              <w:t xml:space="preserve">ection </w:t>
            </w:r>
            <w:r w:rsidR="00B40D06" w:rsidRPr="00B40D06">
              <w:rPr>
                <w:rFonts w:cs="Arial"/>
                <w:color w:val="222222"/>
                <w:sz w:val="22"/>
                <w:szCs w:val="22"/>
              </w:rPr>
              <w:t>3.1-a-i</w:t>
            </w:r>
            <w:r w:rsidRPr="00105E44">
              <w:rPr>
                <w:rFonts w:cs="Arial"/>
                <w:color w:val="222222"/>
                <w:sz w:val="22"/>
                <w:szCs w:val="22"/>
              </w:rPr>
              <w:t>.</w:t>
            </w:r>
          </w:p>
        </w:tc>
      </w:tr>
      <w:tr w:rsidR="00AC1909" w:rsidRPr="00C1590F" w14:paraId="1F622793" w14:textId="77777777" w:rsidTr="00256FC6">
        <w:tc>
          <w:tcPr>
            <w:tcW w:w="1728" w:type="dxa"/>
          </w:tcPr>
          <w:p w14:paraId="3FAF7FC4" w14:textId="77777777" w:rsidR="00AC1909" w:rsidRPr="00C1590F" w:rsidRDefault="00AC1909" w:rsidP="00256FC6">
            <w:pPr>
              <w:pStyle w:val="new-text"/>
              <w:jc w:val="both"/>
            </w:pPr>
            <w:r w:rsidRPr="00C1590F">
              <w:t>Excerpt From</w:t>
            </w:r>
          </w:p>
          <w:p w14:paraId="4AC55560" w14:textId="77777777" w:rsidR="00AC1909" w:rsidRPr="00C1590F" w:rsidRDefault="00AC1909" w:rsidP="00256FC6">
            <w:pPr>
              <w:pStyle w:val="new-text"/>
              <w:jc w:val="both"/>
            </w:pPr>
            <w:r w:rsidRPr="00C1590F">
              <w:t>Revised Manuscript</w:t>
            </w:r>
          </w:p>
        </w:tc>
        <w:tc>
          <w:tcPr>
            <w:tcW w:w="7200" w:type="dxa"/>
          </w:tcPr>
          <w:p w14:paraId="0F690F2E" w14:textId="77777777" w:rsidR="00AC1909" w:rsidRPr="00885845" w:rsidRDefault="00AC1909" w:rsidP="00256FC6">
            <w:pPr>
              <w:rPr>
                <w:sz w:val="20"/>
                <w:szCs w:val="20"/>
              </w:rPr>
            </w:pPr>
            <w:r w:rsidRPr="00885845">
              <w:rPr>
                <w:sz w:val="20"/>
                <w:szCs w:val="20"/>
              </w:rPr>
              <w:t xml:space="preserve">…the optimized set of parameters were as follows (here, </w:t>
            </w:r>
            <w:r w:rsidRPr="00885845">
              <w:rPr>
                <w:i/>
                <w:sz w:val="20"/>
                <w:szCs w:val="20"/>
              </w:rPr>
              <w:t>D</w:t>
            </w:r>
            <w:r w:rsidRPr="00885845">
              <w:rPr>
                <w:i/>
                <w:sz w:val="20"/>
                <w:szCs w:val="20"/>
                <w:vertAlign w:val="subscript"/>
              </w:rPr>
              <w:t>lig-prot</w:t>
            </w:r>
            <w:r w:rsidRPr="00885845">
              <w:rPr>
                <w:sz w:val="20"/>
                <w:szCs w:val="20"/>
              </w:rPr>
              <w:t xml:space="preserve"> designates the distance, in Angstroms, between a ligand atom and a protein atom):</w:t>
            </w:r>
          </w:p>
          <w:p w14:paraId="4C78203E" w14:textId="77777777" w:rsidR="00AC1909" w:rsidRPr="00885845" w:rsidRDefault="00AC1909" w:rsidP="00256FC6">
            <w:pPr>
              <w:ind w:left="720" w:firstLine="720"/>
              <w:rPr>
                <w:sz w:val="20"/>
                <w:szCs w:val="20"/>
              </w:rPr>
            </w:pPr>
            <w:r w:rsidRPr="00885845">
              <w:rPr>
                <w:sz w:val="20"/>
                <w:szCs w:val="20"/>
              </w:rPr>
              <w:t xml:space="preserve"> ∞   &gt;  </w:t>
            </w:r>
            <w:r w:rsidRPr="00885845">
              <w:rPr>
                <w:i/>
                <w:sz w:val="20"/>
                <w:szCs w:val="20"/>
              </w:rPr>
              <w:t>D</w:t>
            </w:r>
            <w:r w:rsidRPr="00885845">
              <w:rPr>
                <w:i/>
                <w:sz w:val="20"/>
                <w:szCs w:val="20"/>
                <w:vertAlign w:val="subscript"/>
              </w:rPr>
              <w:t>lig-prot</w:t>
            </w:r>
            <w:r w:rsidRPr="00885845">
              <w:rPr>
                <w:sz w:val="20"/>
                <w:szCs w:val="20"/>
              </w:rPr>
              <w:t xml:space="preserve">  ≥  4.5:</w:t>
            </w:r>
            <w:r w:rsidRPr="00885845">
              <w:rPr>
                <w:sz w:val="20"/>
                <w:szCs w:val="20"/>
              </w:rPr>
              <w:tab/>
              <w:t>Energy = 0</w:t>
            </w:r>
          </w:p>
          <w:p w14:paraId="3779BDC5" w14:textId="77777777" w:rsidR="00AC1909" w:rsidRPr="00885845" w:rsidRDefault="00AC1909" w:rsidP="00256FC6">
            <w:pPr>
              <w:ind w:left="720" w:firstLine="720"/>
              <w:rPr>
                <w:sz w:val="20"/>
                <w:szCs w:val="20"/>
              </w:rPr>
            </w:pPr>
            <w:r w:rsidRPr="00885845">
              <w:rPr>
                <w:sz w:val="20"/>
                <w:szCs w:val="20"/>
              </w:rPr>
              <w:t xml:space="preserve">4.5  &gt;  </w:t>
            </w:r>
            <w:r w:rsidRPr="00885845">
              <w:rPr>
                <w:i/>
                <w:sz w:val="20"/>
                <w:szCs w:val="20"/>
              </w:rPr>
              <w:t>D</w:t>
            </w:r>
            <w:r w:rsidRPr="00885845">
              <w:rPr>
                <w:i/>
                <w:sz w:val="20"/>
                <w:szCs w:val="20"/>
                <w:vertAlign w:val="subscript"/>
              </w:rPr>
              <w:t>lig-prot</w:t>
            </w:r>
            <w:r w:rsidRPr="00885845">
              <w:rPr>
                <w:sz w:val="20"/>
                <w:szCs w:val="20"/>
              </w:rPr>
              <w:t xml:space="preserve">  ≥  3.5:</w:t>
            </w:r>
            <w:r w:rsidRPr="00885845">
              <w:rPr>
                <w:sz w:val="20"/>
                <w:szCs w:val="20"/>
              </w:rPr>
              <w:tab/>
              <w:t>Energy = - 0.35 (attractive)</w:t>
            </w:r>
          </w:p>
          <w:p w14:paraId="547200D6" w14:textId="77777777" w:rsidR="00AC1909" w:rsidRPr="00885845" w:rsidRDefault="00AC1909" w:rsidP="00256FC6">
            <w:pPr>
              <w:ind w:left="720" w:firstLine="720"/>
              <w:rPr>
                <w:sz w:val="20"/>
                <w:szCs w:val="20"/>
              </w:rPr>
            </w:pPr>
            <w:r w:rsidRPr="00885845">
              <w:rPr>
                <w:sz w:val="20"/>
                <w:szCs w:val="20"/>
              </w:rPr>
              <w:t xml:space="preserve">3.5  &gt;  </w:t>
            </w:r>
            <w:r w:rsidRPr="00885845">
              <w:rPr>
                <w:i/>
                <w:sz w:val="20"/>
                <w:szCs w:val="20"/>
              </w:rPr>
              <w:t>D</w:t>
            </w:r>
            <w:r w:rsidRPr="00885845">
              <w:rPr>
                <w:i/>
                <w:sz w:val="20"/>
                <w:szCs w:val="20"/>
                <w:vertAlign w:val="subscript"/>
              </w:rPr>
              <w:t>lig-prot</w:t>
            </w:r>
            <w:r w:rsidRPr="00885845">
              <w:rPr>
                <w:sz w:val="20"/>
                <w:szCs w:val="20"/>
              </w:rPr>
              <w:t xml:space="preserve">  ≥  3.0:</w:t>
            </w:r>
            <w:r w:rsidRPr="00885845">
              <w:rPr>
                <w:sz w:val="20"/>
                <w:szCs w:val="20"/>
              </w:rPr>
              <w:tab/>
              <w:t>Energy = +10 (repulsive)</w:t>
            </w:r>
          </w:p>
          <w:p w14:paraId="3496FC84" w14:textId="77777777" w:rsidR="00AC1909" w:rsidRPr="00105E44" w:rsidRDefault="00AC1909" w:rsidP="00256FC6">
            <w:pPr>
              <w:ind w:left="720" w:firstLine="720"/>
              <w:rPr>
                <w:sz w:val="20"/>
                <w:szCs w:val="20"/>
              </w:rPr>
            </w:pPr>
            <w:r w:rsidRPr="00885845">
              <w:rPr>
                <w:sz w:val="20"/>
                <w:szCs w:val="20"/>
              </w:rPr>
              <w:t xml:space="preserve">3.0  &gt;  </w:t>
            </w:r>
            <w:r w:rsidRPr="00885845">
              <w:rPr>
                <w:i/>
                <w:sz w:val="20"/>
                <w:szCs w:val="20"/>
              </w:rPr>
              <w:t>D</w:t>
            </w:r>
            <w:r w:rsidRPr="00885845">
              <w:rPr>
                <w:i/>
                <w:sz w:val="20"/>
                <w:szCs w:val="20"/>
                <w:vertAlign w:val="subscript"/>
              </w:rPr>
              <w:t>lig-prot</w:t>
            </w:r>
            <w:r w:rsidRPr="00885845">
              <w:rPr>
                <w:sz w:val="20"/>
                <w:szCs w:val="20"/>
              </w:rPr>
              <w:t xml:space="preserve">  ≥  0.0:</w:t>
            </w:r>
            <w:r w:rsidRPr="00885845">
              <w:rPr>
                <w:sz w:val="20"/>
                <w:szCs w:val="20"/>
              </w:rPr>
              <w:tab/>
              <w:t>Energy = +10000 (strongly repulsive)</w:t>
            </w:r>
          </w:p>
        </w:tc>
      </w:tr>
    </w:tbl>
    <w:p w14:paraId="565A0B56" w14:textId="77777777" w:rsidR="00AC1909" w:rsidRDefault="00AC1909" w:rsidP="00AC1909">
      <w:pPr>
        <w:rPr>
          <w:rFonts w:ascii="Arial" w:eastAsia="Times New Roman" w:hAnsi="Arial"/>
          <w:b/>
          <w:kern w:val="28"/>
          <w:sz w:val="28"/>
          <w:szCs w:val="20"/>
          <w:lang w:eastAsia="en-US"/>
        </w:rPr>
      </w:pPr>
    </w:p>
    <w:p w14:paraId="5771B7BC" w14:textId="619CEF8E" w:rsidR="00AC1909" w:rsidRPr="00C1590F" w:rsidRDefault="00AC1909" w:rsidP="00AC1909">
      <w:pPr>
        <w:pStyle w:val="Heading3"/>
      </w:pPr>
      <w:r w:rsidRPr="00C1590F">
        <w:t>-- Ref</w:t>
      </w:r>
      <w:r>
        <w:t xml:space="preserve"> 2</w:t>
      </w:r>
      <w:r w:rsidRPr="00C1590F">
        <w:t>.</w:t>
      </w:r>
      <w:r>
        <w:t>2-2</w:t>
      </w:r>
      <w:r w:rsidRPr="00C1590F">
        <w:t xml:space="preserve"> – </w:t>
      </w:r>
      <w:r>
        <w:t xml:space="preserve">Parameters being optimized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AC1909" w:rsidRPr="00C1590F" w14:paraId="4B8A8371" w14:textId="77777777" w:rsidTr="00256FC6">
        <w:tc>
          <w:tcPr>
            <w:tcW w:w="1728" w:type="dxa"/>
          </w:tcPr>
          <w:p w14:paraId="40A28ACD" w14:textId="77777777" w:rsidR="00AC1909" w:rsidRPr="00C1590F" w:rsidRDefault="00AC1909" w:rsidP="00256FC6">
            <w:pPr>
              <w:pStyle w:val="reviewer"/>
              <w:jc w:val="both"/>
            </w:pPr>
            <w:r w:rsidRPr="00C1590F">
              <w:t>Reviewer</w:t>
            </w:r>
          </w:p>
          <w:p w14:paraId="36B3BCB4" w14:textId="77777777" w:rsidR="00AC1909" w:rsidRPr="00C1590F" w:rsidRDefault="00AC1909" w:rsidP="00256FC6">
            <w:pPr>
              <w:pStyle w:val="reviewer"/>
              <w:jc w:val="both"/>
            </w:pPr>
            <w:r w:rsidRPr="00C1590F">
              <w:t>Comment</w:t>
            </w:r>
          </w:p>
        </w:tc>
        <w:tc>
          <w:tcPr>
            <w:tcW w:w="7200" w:type="dxa"/>
          </w:tcPr>
          <w:p w14:paraId="285B2440" w14:textId="4EA363EE" w:rsidR="00AC1909" w:rsidRPr="00C1590F" w:rsidRDefault="00AC1909" w:rsidP="00256FC6">
            <w:pPr>
              <w:autoSpaceDE w:val="0"/>
              <w:autoSpaceDN w:val="0"/>
              <w:adjustRightInd w:val="0"/>
              <w:rPr>
                <w:rFonts w:ascii="Courier New" w:hAnsi="Courier New" w:cs="Courier New"/>
                <w:sz w:val="20"/>
                <w:szCs w:val="20"/>
              </w:rPr>
            </w:pPr>
            <w:r w:rsidRPr="00AC1909">
              <w:rPr>
                <w:rFonts w:ascii="Courier New" w:hAnsi="Courier New" w:cs="Courier New"/>
                <w:sz w:val="20"/>
                <w:szCs w:val="20"/>
              </w:rPr>
              <w:t>I am also a little confused as to what else is being optimized in the MC scheme. As far as I can tell it is just one parameter, the depth of the well, but the text refers to an "optimal set of parameters" and a "combination of parameters" which best identifies known ligand binding sites.</w:t>
            </w:r>
          </w:p>
        </w:tc>
      </w:tr>
      <w:tr w:rsidR="00AC1909" w:rsidRPr="00C1590F" w14:paraId="4C84B55B" w14:textId="77777777" w:rsidTr="00256FC6">
        <w:tc>
          <w:tcPr>
            <w:tcW w:w="1728" w:type="dxa"/>
          </w:tcPr>
          <w:p w14:paraId="1BE157E0" w14:textId="77777777" w:rsidR="00AC1909" w:rsidRPr="00B9141D" w:rsidRDefault="00AC1909" w:rsidP="00256FC6">
            <w:pPr>
              <w:pStyle w:val="author"/>
              <w:jc w:val="both"/>
              <w:rPr>
                <w:sz w:val="22"/>
                <w:szCs w:val="22"/>
              </w:rPr>
            </w:pPr>
            <w:r w:rsidRPr="00B9141D">
              <w:rPr>
                <w:sz w:val="22"/>
                <w:szCs w:val="22"/>
              </w:rPr>
              <w:t>Author</w:t>
            </w:r>
          </w:p>
          <w:p w14:paraId="2EF4ED57" w14:textId="77777777" w:rsidR="00AC1909" w:rsidRPr="00B9141D" w:rsidRDefault="00AC1909" w:rsidP="00256FC6">
            <w:pPr>
              <w:pStyle w:val="author"/>
              <w:jc w:val="both"/>
              <w:rPr>
                <w:sz w:val="22"/>
                <w:szCs w:val="22"/>
              </w:rPr>
            </w:pPr>
            <w:r w:rsidRPr="00B9141D">
              <w:rPr>
                <w:sz w:val="22"/>
                <w:szCs w:val="22"/>
              </w:rPr>
              <w:t>Response</w:t>
            </w:r>
          </w:p>
        </w:tc>
        <w:tc>
          <w:tcPr>
            <w:tcW w:w="7200" w:type="dxa"/>
          </w:tcPr>
          <w:p w14:paraId="0541E898" w14:textId="52FA8DB7" w:rsidR="00AC1909" w:rsidRPr="00816E84" w:rsidRDefault="00AC1909" w:rsidP="00256FC6">
            <w:pPr>
              <w:pStyle w:val="author"/>
              <w:jc w:val="both"/>
              <w:rPr>
                <w:rFonts w:cs="Arial"/>
              </w:rPr>
            </w:pPr>
            <w:r w:rsidRPr="00AC1909">
              <w:rPr>
                <w:rFonts w:cs="Arial"/>
                <w:color w:val="222222"/>
                <w:sz w:val="22"/>
                <w:szCs w:val="22"/>
              </w:rPr>
              <w:t xml:space="preserve">We thank the reviewer for pointing out that this was not clear. Again, this is an essential aspect in our search for surface-critical residues. We have now clarified these items in </w:t>
            </w:r>
            <w:r w:rsidR="00B548DD">
              <w:rPr>
                <w:rFonts w:cs="Arial"/>
                <w:color w:val="222222"/>
                <w:sz w:val="22"/>
                <w:szCs w:val="22"/>
              </w:rPr>
              <w:t xml:space="preserve">what is now </w:t>
            </w:r>
            <w:r w:rsidRPr="00B548DD">
              <w:rPr>
                <w:rFonts w:cs="Arial"/>
                <w:color w:val="222222"/>
                <w:sz w:val="22"/>
                <w:szCs w:val="22"/>
              </w:rPr>
              <w:t xml:space="preserve">Supplementary Section </w:t>
            </w:r>
            <w:r w:rsidR="00B548DD" w:rsidRPr="00B548DD">
              <w:rPr>
                <w:rFonts w:cs="Arial"/>
                <w:color w:val="222222"/>
                <w:sz w:val="22"/>
                <w:szCs w:val="22"/>
              </w:rPr>
              <w:t>3.1-a-i</w:t>
            </w:r>
            <w:r w:rsidRPr="00B548DD">
              <w:rPr>
                <w:rFonts w:cs="Arial"/>
                <w:color w:val="222222"/>
                <w:sz w:val="22"/>
                <w:szCs w:val="22"/>
              </w:rPr>
              <w:t>.</w:t>
            </w:r>
          </w:p>
        </w:tc>
      </w:tr>
      <w:tr w:rsidR="00AC1909" w:rsidRPr="00C1590F" w14:paraId="6C5B4D17" w14:textId="77777777" w:rsidTr="00256FC6">
        <w:tc>
          <w:tcPr>
            <w:tcW w:w="1728" w:type="dxa"/>
          </w:tcPr>
          <w:p w14:paraId="1A2E4F5C" w14:textId="77777777" w:rsidR="00AC1909" w:rsidRPr="00C1590F" w:rsidRDefault="00AC1909" w:rsidP="00256FC6">
            <w:pPr>
              <w:pStyle w:val="new-text"/>
              <w:jc w:val="both"/>
            </w:pPr>
            <w:r w:rsidRPr="00C1590F">
              <w:t>Excerpt From</w:t>
            </w:r>
          </w:p>
          <w:p w14:paraId="7DA73417" w14:textId="77777777" w:rsidR="00AC1909" w:rsidRPr="00C1590F" w:rsidRDefault="00AC1909" w:rsidP="00256FC6">
            <w:pPr>
              <w:pStyle w:val="new-text"/>
              <w:jc w:val="both"/>
            </w:pPr>
            <w:r w:rsidRPr="00C1590F">
              <w:t>Revised Manuscript</w:t>
            </w:r>
          </w:p>
        </w:tc>
        <w:tc>
          <w:tcPr>
            <w:tcW w:w="7200" w:type="dxa"/>
          </w:tcPr>
          <w:p w14:paraId="499B781A" w14:textId="08A75BC6" w:rsidR="00AC1909" w:rsidRPr="00AC5CF7" w:rsidRDefault="00AC5CF7" w:rsidP="00AC5CF7">
            <w:pPr>
              <w:rPr>
                <w:sz w:val="20"/>
                <w:szCs w:val="20"/>
              </w:rPr>
            </w:pPr>
            <w:r w:rsidRPr="00AC5CF7">
              <w:rPr>
                <w:sz w:val="20"/>
                <w:szCs w:val="20"/>
              </w:rPr>
              <w:t xml:space="preserve">Specifically, the parameters to be optimized include (1) the ranges of favorable and unfavorable interactions (i.e., potential function </w:t>
            </w:r>
            <w:r w:rsidRPr="00AC5CF7">
              <w:rPr>
                <w:i/>
                <w:sz w:val="20"/>
                <w:szCs w:val="20"/>
              </w:rPr>
              <w:t>widths</w:t>
            </w:r>
            <w:r w:rsidRPr="00AC5CF7">
              <w:rPr>
                <w:sz w:val="20"/>
                <w:szCs w:val="20"/>
              </w:rPr>
              <w:t xml:space="preserve">) and (2) the attractive and repulsive energies themselves (i.e., potential function </w:t>
            </w:r>
            <w:r w:rsidRPr="00AC5CF7">
              <w:rPr>
                <w:i/>
                <w:sz w:val="20"/>
                <w:szCs w:val="20"/>
              </w:rPr>
              <w:t>depths</w:t>
            </w:r>
            <w:r w:rsidRPr="00AC5CF7">
              <w:rPr>
                <w:sz w:val="20"/>
                <w:szCs w:val="20"/>
              </w:rPr>
              <w:t xml:space="preserve"> and </w:t>
            </w:r>
            <w:r w:rsidRPr="00AC5CF7">
              <w:rPr>
                <w:i/>
                <w:sz w:val="20"/>
                <w:szCs w:val="20"/>
              </w:rPr>
              <w:t>heights</w:t>
            </w:r>
            <w:r w:rsidRPr="00AC5CF7">
              <w:rPr>
                <w:sz w:val="20"/>
                <w:szCs w:val="20"/>
              </w:rPr>
              <w:t>). In addition, we also determined that setting the number of MC steps to 10,000 times the size of the simulation box (see above) provided the best convergence across multiple simulations on the same protein – that is, this number of steps better enabled us to recapture the same set of sites when running the simulations multiple times.</w:t>
            </w:r>
          </w:p>
        </w:tc>
      </w:tr>
    </w:tbl>
    <w:p w14:paraId="439A8843" w14:textId="77777777" w:rsidR="00DB6306" w:rsidRPr="00C1590F" w:rsidRDefault="00DB6306" w:rsidP="00DB6306"/>
    <w:p w14:paraId="1A6A45F7" w14:textId="77777777" w:rsidR="00DB6306" w:rsidRPr="00C1590F" w:rsidRDefault="00DB6306" w:rsidP="00DB6306">
      <w:pPr>
        <w:pStyle w:val="Heading3"/>
      </w:pPr>
      <w:r w:rsidRPr="00C1590F">
        <w:t>-- Ref</w:t>
      </w:r>
      <w:r>
        <w:t xml:space="preserve"> 2</w:t>
      </w:r>
      <w:r w:rsidRPr="00C1590F">
        <w:t>.</w:t>
      </w:r>
      <w:r>
        <w:t>3-1</w:t>
      </w:r>
      <w:r w:rsidRPr="00C1590F">
        <w:t xml:space="preserve"> – </w:t>
      </w:r>
      <w:r>
        <w:t xml:space="preserve">List of Sites from MC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B6306" w:rsidRPr="00C1590F" w14:paraId="30E43CBF" w14:textId="77777777" w:rsidTr="00256FC6">
        <w:tc>
          <w:tcPr>
            <w:tcW w:w="1728" w:type="dxa"/>
          </w:tcPr>
          <w:p w14:paraId="7A0AD41E" w14:textId="77777777" w:rsidR="00DB6306" w:rsidRPr="00C1590F" w:rsidRDefault="00DB6306" w:rsidP="00256FC6">
            <w:pPr>
              <w:pStyle w:val="reviewer"/>
              <w:jc w:val="both"/>
            </w:pPr>
            <w:r w:rsidRPr="00C1590F">
              <w:t>Reviewer</w:t>
            </w:r>
          </w:p>
          <w:p w14:paraId="0C78765E" w14:textId="77777777" w:rsidR="00DB6306" w:rsidRPr="00C1590F" w:rsidRDefault="00DB6306" w:rsidP="00256FC6">
            <w:pPr>
              <w:pStyle w:val="reviewer"/>
              <w:jc w:val="both"/>
            </w:pPr>
            <w:r w:rsidRPr="00C1590F">
              <w:t>Comment</w:t>
            </w:r>
          </w:p>
        </w:tc>
        <w:tc>
          <w:tcPr>
            <w:tcW w:w="7200" w:type="dxa"/>
          </w:tcPr>
          <w:p w14:paraId="0461A42E" w14:textId="77777777" w:rsidR="00DB6306" w:rsidRPr="00C1590F" w:rsidRDefault="00DB6306" w:rsidP="00256FC6">
            <w:pPr>
              <w:autoSpaceDE w:val="0"/>
              <w:autoSpaceDN w:val="0"/>
              <w:adjustRightInd w:val="0"/>
              <w:rPr>
                <w:rFonts w:ascii="Courier New" w:hAnsi="Courier New" w:cs="Courier New"/>
                <w:sz w:val="20"/>
                <w:szCs w:val="20"/>
              </w:rPr>
            </w:pPr>
            <w:r w:rsidRPr="004C4CAD">
              <w:rPr>
                <w:rFonts w:ascii="Courier New" w:hAnsi="Courier New" w:cs="Courier New"/>
                <w:sz w:val="20"/>
                <w:szCs w:val="20"/>
              </w:rPr>
              <w:t>There appear to be a couple of important steps missing from the supplementary methods. For instance, how is the MC ensemble turned into a list of sites?</w:t>
            </w:r>
          </w:p>
        </w:tc>
      </w:tr>
      <w:tr w:rsidR="00DB6306" w:rsidRPr="00C1590F" w14:paraId="2F3D9E6F" w14:textId="77777777" w:rsidTr="00256FC6">
        <w:tc>
          <w:tcPr>
            <w:tcW w:w="1728" w:type="dxa"/>
          </w:tcPr>
          <w:p w14:paraId="3EFB4287" w14:textId="77777777" w:rsidR="00DB6306" w:rsidRPr="00B9141D" w:rsidRDefault="00DB6306" w:rsidP="00256FC6">
            <w:pPr>
              <w:pStyle w:val="author"/>
              <w:jc w:val="both"/>
              <w:rPr>
                <w:sz w:val="22"/>
                <w:szCs w:val="22"/>
              </w:rPr>
            </w:pPr>
            <w:r w:rsidRPr="00B9141D">
              <w:rPr>
                <w:sz w:val="22"/>
                <w:szCs w:val="22"/>
              </w:rPr>
              <w:t>Author</w:t>
            </w:r>
          </w:p>
          <w:p w14:paraId="48341866" w14:textId="77777777" w:rsidR="00DB6306" w:rsidRPr="00B9141D" w:rsidRDefault="00DB6306" w:rsidP="00256FC6">
            <w:pPr>
              <w:pStyle w:val="author"/>
              <w:jc w:val="both"/>
              <w:rPr>
                <w:sz w:val="22"/>
                <w:szCs w:val="22"/>
              </w:rPr>
            </w:pPr>
            <w:r w:rsidRPr="00B9141D">
              <w:rPr>
                <w:sz w:val="22"/>
                <w:szCs w:val="22"/>
              </w:rPr>
              <w:t>Response</w:t>
            </w:r>
          </w:p>
        </w:tc>
        <w:tc>
          <w:tcPr>
            <w:tcW w:w="7200" w:type="dxa"/>
          </w:tcPr>
          <w:p w14:paraId="1198D55A" w14:textId="5F00CFE0" w:rsidR="00DB6306" w:rsidRPr="00816E84" w:rsidRDefault="00DB6306" w:rsidP="00B548DD">
            <w:pPr>
              <w:pStyle w:val="author"/>
              <w:jc w:val="both"/>
              <w:rPr>
                <w:rFonts w:cs="Arial"/>
              </w:rPr>
            </w:pPr>
            <w:r w:rsidRPr="004C4CAD">
              <w:rPr>
                <w:rFonts w:cs="Arial"/>
                <w:color w:val="222222"/>
                <w:sz w:val="22"/>
                <w:szCs w:val="22"/>
              </w:rPr>
              <w:t xml:space="preserve">We thank the reviewer for bringing this to our attention as well. This information is now provided in </w:t>
            </w:r>
            <w:r w:rsidR="00B548DD" w:rsidRPr="00B548DD">
              <w:rPr>
                <w:rFonts w:cs="Arial"/>
                <w:color w:val="222222"/>
                <w:sz w:val="22"/>
                <w:szCs w:val="22"/>
              </w:rPr>
              <w:t>3.1-a</w:t>
            </w:r>
            <w:r w:rsidR="00B548DD">
              <w:rPr>
                <w:rFonts w:cs="Arial"/>
                <w:color w:val="222222"/>
                <w:sz w:val="22"/>
                <w:szCs w:val="22"/>
              </w:rPr>
              <w:t>.</w:t>
            </w:r>
          </w:p>
        </w:tc>
      </w:tr>
      <w:tr w:rsidR="00DB6306" w:rsidRPr="00C1590F" w14:paraId="67B56FEE" w14:textId="77777777" w:rsidTr="00256FC6">
        <w:tc>
          <w:tcPr>
            <w:tcW w:w="1728" w:type="dxa"/>
          </w:tcPr>
          <w:p w14:paraId="69F3DFC3" w14:textId="77777777" w:rsidR="00DB6306" w:rsidRPr="00C1590F" w:rsidRDefault="00DB6306" w:rsidP="00256FC6">
            <w:pPr>
              <w:pStyle w:val="new-text"/>
              <w:jc w:val="both"/>
            </w:pPr>
            <w:r w:rsidRPr="00C1590F">
              <w:t>Excerpt From</w:t>
            </w:r>
          </w:p>
          <w:p w14:paraId="4BDC3B11" w14:textId="77777777" w:rsidR="00DB6306" w:rsidRPr="00C1590F" w:rsidRDefault="00DB6306" w:rsidP="00256FC6">
            <w:pPr>
              <w:pStyle w:val="new-text"/>
              <w:jc w:val="both"/>
            </w:pPr>
            <w:r w:rsidRPr="00C1590F">
              <w:lastRenderedPageBreak/>
              <w:t>Revised Manuscript</w:t>
            </w:r>
          </w:p>
        </w:tc>
        <w:tc>
          <w:tcPr>
            <w:tcW w:w="7200" w:type="dxa"/>
          </w:tcPr>
          <w:p w14:paraId="5AD2E559" w14:textId="77777777" w:rsidR="00DB6306" w:rsidRPr="00AC5CF7" w:rsidRDefault="00DB6306" w:rsidP="00256FC6">
            <w:pPr>
              <w:rPr>
                <w:sz w:val="20"/>
                <w:szCs w:val="20"/>
              </w:rPr>
            </w:pPr>
            <w:r w:rsidRPr="005B1891">
              <w:rPr>
                <w:sz w:val="20"/>
                <w:szCs w:val="20"/>
              </w:rPr>
              <w:lastRenderedPageBreak/>
              <w:t xml:space="preserve">After all candidate sites are identified, pairs of sites with extremely high overlap are </w:t>
            </w:r>
            <w:r w:rsidRPr="005B1891">
              <w:rPr>
                <w:sz w:val="20"/>
                <w:szCs w:val="20"/>
              </w:rPr>
              <w:lastRenderedPageBreak/>
              <w:t>merged by combining any pair of sites that have a Jaccard similarity of at least 0.7. After merging sites in this way, the residues of a given site are listed by their local closeness, and no more than 10 residues for a site are used. Local closeness is a geometric metric that provides a measure of the degree of a residue in the residue-residue contact network; see (Mitternacht and Berezovsky (2011) for further discussion. This entire process results in a list of sites on which binding leverage calculations can be performed.</w:t>
            </w:r>
          </w:p>
        </w:tc>
      </w:tr>
    </w:tbl>
    <w:p w14:paraId="6E5123F8" w14:textId="77777777" w:rsidR="00DB6306" w:rsidRPr="00C1590F" w:rsidRDefault="00DB6306" w:rsidP="00DB6306"/>
    <w:p w14:paraId="39DDCBDF" w14:textId="66D65C66" w:rsidR="00DB6306" w:rsidRPr="00C1590F" w:rsidRDefault="00DB6306" w:rsidP="00DB6306">
      <w:pPr>
        <w:pStyle w:val="Heading3"/>
      </w:pPr>
      <w:r w:rsidRPr="00C1590F">
        <w:t>-- Ref</w:t>
      </w:r>
      <w:r>
        <w:t xml:space="preserve"> 2</w:t>
      </w:r>
      <w:r w:rsidRPr="00C1590F">
        <w:t>.</w:t>
      </w:r>
      <w:r>
        <w:t>3-2</w:t>
      </w:r>
      <w:r w:rsidRPr="00C1590F">
        <w:t xml:space="preserve"> – </w:t>
      </w:r>
      <w:r>
        <w:t xml:space="preserve">Calculating Binding Leverage Scores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DB6306" w:rsidRPr="00C1590F" w14:paraId="2072648A" w14:textId="77777777" w:rsidTr="00256FC6">
        <w:tc>
          <w:tcPr>
            <w:tcW w:w="1728" w:type="dxa"/>
          </w:tcPr>
          <w:p w14:paraId="0CE2EE46" w14:textId="77777777" w:rsidR="00DB6306" w:rsidRPr="00C1590F" w:rsidRDefault="00DB6306" w:rsidP="00256FC6">
            <w:pPr>
              <w:pStyle w:val="reviewer"/>
              <w:jc w:val="both"/>
            </w:pPr>
            <w:r w:rsidRPr="00C1590F">
              <w:t>Reviewer</w:t>
            </w:r>
          </w:p>
          <w:p w14:paraId="78DBB91C" w14:textId="77777777" w:rsidR="00DB6306" w:rsidRPr="00C1590F" w:rsidRDefault="00DB6306" w:rsidP="00256FC6">
            <w:pPr>
              <w:pStyle w:val="reviewer"/>
              <w:jc w:val="both"/>
            </w:pPr>
            <w:r w:rsidRPr="00C1590F">
              <w:t>Comment</w:t>
            </w:r>
          </w:p>
        </w:tc>
        <w:tc>
          <w:tcPr>
            <w:tcW w:w="7200" w:type="dxa"/>
          </w:tcPr>
          <w:p w14:paraId="20596487" w14:textId="22E9DE99" w:rsidR="00DB6306" w:rsidRPr="00C1590F" w:rsidRDefault="003D5DE2" w:rsidP="00DB6306">
            <w:pPr>
              <w:autoSpaceDE w:val="0"/>
              <w:autoSpaceDN w:val="0"/>
              <w:adjustRightInd w:val="0"/>
              <w:rPr>
                <w:rFonts w:ascii="Courier New" w:hAnsi="Courier New" w:cs="Courier New"/>
                <w:sz w:val="20"/>
                <w:szCs w:val="20"/>
              </w:rPr>
            </w:pPr>
            <w:r w:rsidRPr="003D5DE2">
              <w:rPr>
                <w:rFonts w:ascii="Courier New" w:hAnsi="Courier New" w:cs="Courier New"/>
                <w:sz w:val="20"/>
                <w:szCs w:val="20"/>
              </w:rPr>
              <w:t>How are the leverage scores for these sites calculated?</w:t>
            </w:r>
          </w:p>
        </w:tc>
      </w:tr>
      <w:tr w:rsidR="00DB6306" w:rsidRPr="00C1590F" w14:paraId="62BE11F4" w14:textId="77777777" w:rsidTr="00256FC6">
        <w:tc>
          <w:tcPr>
            <w:tcW w:w="1728" w:type="dxa"/>
          </w:tcPr>
          <w:p w14:paraId="5F87BF46" w14:textId="77777777" w:rsidR="00DB6306" w:rsidRPr="00B9141D" w:rsidRDefault="00DB6306" w:rsidP="00256FC6">
            <w:pPr>
              <w:pStyle w:val="author"/>
              <w:jc w:val="both"/>
              <w:rPr>
                <w:sz w:val="22"/>
                <w:szCs w:val="22"/>
              </w:rPr>
            </w:pPr>
            <w:r w:rsidRPr="00B9141D">
              <w:rPr>
                <w:sz w:val="22"/>
                <w:szCs w:val="22"/>
              </w:rPr>
              <w:t>Author</w:t>
            </w:r>
          </w:p>
          <w:p w14:paraId="75C1C2A8" w14:textId="77777777" w:rsidR="00DB6306" w:rsidRPr="00B9141D" w:rsidRDefault="00DB6306" w:rsidP="00256FC6">
            <w:pPr>
              <w:pStyle w:val="author"/>
              <w:jc w:val="both"/>
              <w:rPr>
                <w:sz w:val="22"/>
                <w:szCs w:val="22"/>
              </w:rPr>
            </w:pPr>
            <w:r w:rsidRPr="00B9141D">
              <w:rPr>
                <w:sz w:val="22"/>
                <w:szCs w:val="22"/>
              </w:rPr>
              <w:t>Response</w:t>
            </w:r>
          </w:p>
        </w:tc>
        <w:tc>
          <w:tcPr>
            <w:tcW w:w="7200" w:type="dxa"/>
          </w:tcPr>
          <w:p w14:paraId="2555AC41" w14:textId="5D123474" w:rsidR="00DB6306" w:rsidRPr="003D5DE2" w:rsidRDefault="003D5DE2" w:rsidP="00B548DD">
            <w:pPr>
              <w:pStyle w:val="author"/>
              <w:jc w:val="both"/>
              <w:rPr>
                <w:rFonts w:cs="Arial"/>
                <w:sz w:val="22"/>
                <w:szCs w:val="22"/>
              </w:rPr>
            </w:pPr>
            <w:r w:rsidRPr="003D5DE2">
              <w:rPr>
                <w:rFonts w:cs="Arial"/>
                <w:sz w:val="22"/>
                <w:szCs w:val="22"/>
              </w:rPr>
              <w:t>We thank the reviewer for emphasizing the importance of providing this information. Although our previous Supplement points readers to the work of Mitternacht and Berezovsky for the full formulas, these formulas should indeed be provided explicitly in the Supplement, especially given the fact that this will facilitate those reading our study. This information is now provided in</w:t>
            </w:r>
            <w:r w:rsidR="00B548DD">
              <w:rPr>
                <w:rFonts w:cs="Arial"/>
                <w:sz w:val="22"/>
                <w:szCs w:val="22"/>
              </w:rPr>
              <w:t xml:space="preserve"> </w:t>
            </w:r>
            <w:r w:rsidR="00B548DD" w:rsidRPr="00B548DD">
              <w:rPr>
                <w:rFonts w:cs="Arial"/>
                <w:sz w:val="22"/>
                <w:szCs w:val="22"/>
              </w:rPr>
              <w:t>3.1-a-ii</w:t>
            </w:r>
            <w:r w:rsidRPr="003D5DE2">
              <w:rPr>
                <w:rFonts w:cs="Arial"/>
                <w:sz w:val="22"/>
                <w:szCs w:val="22"/>
              </w:rPr>
              <w:t>.</w:t>
            </w:r>
          </w:p>
        </w:tc>
      </w:tr>
      <w:tr w:rsidR="00DB6306" w:rsidRPr="00C1590F" w14:paraId="3B450906" w14:textId="77777777" w:rsidTr="00256FC6">
        <w:tc>
          <w:tcPr>
            <w:tcW w:w="1728" w:type="dxa"/>
          </w:tcPr>
          <w:p w14:paraId="30C39D66" w14:textId="77777777" w:rsidR="00DB6306" w:rsidRPr="00C1590F" w:rsidRDefault="00DB6306" w:rsidP="00256FC6">
            <w:pPr>
              <w:pStyle w:val="new-text"/>
              <w:jc w:val="both"/>
            </w:pPr>
            <w:r w:rsidRPr="00C1590F">
              <w:t>Excerpt From</w:t>
            </w:r>
          </w:p>
          <w:p w14:paraId="5B7A3123" w14:textId="77777777" w:rsidR="00DB6306" w:rsidRPr="00C1590F" w:rsidRDefault="00DB6306" w:rsidP="00256FC6">
            <w:pPr>
              <w:pStyle w:val="new-text"/>
              <w:jc w:val="both"/>
            </w:pPr>
            <w:r w:rsidRPr="00C1590F">
              <w:t>Revised Manuscript</w:t>
            </w:r>
          </w:p>
        </w:tc>
        <w:tc>
          <w:tcPr>
            <w:tcW w:w="7200" w:type="dxa"/>
          </w:tcPr>
          <w:p w14:paraId="325A0162" w14:textId="77777777" w:rsidR="00993FE7" w:rsidRPr="00993FE7" w:rsidRDefault="00993FE7" w:rsidP="00993FE7">
            <w:pPr>
              <w:rPr>
                <w:sz w:val="20"/>
                <w:szCs w:val="20"/>
              </w:rPr>
            </w:pPr>
            <w:r w:rsidRPr="00993FE7">
              <w:rPr>
                <w:sz w:val="20"/>
                <w:szCs w:val="20"/>
              </w:rPr>
              <w:t>Specifically, the binding leverage score for a given site is calculated as</w:t>
            </w:r>
          </w:p>
          <w:p w14:paraId="41F3D356" w14:textId="77777777" w:rsidR="00993FE7" w:rsidRPr="00993FE7" w:rsidRDefault="00993FE7" w:rsidP="00993FE7">
            <w:pPr>
              <w:rPr>
                <w:sz w:val="20"/>
                <w:szCs w:val="20"/>
              </w:rPr>
            </w:pPr>
          </w:p>
          <w:p w14:paraId="41FF4FB3" w14:textId="77777777" w:rsidR="00993FE7" w:rsidRPr="00993FE7" w:rsidRDefault="00993FE7" w:rsidP="00993FE7">
            <w:pPr>
              <w:jc w:val="center"/>
              <w:rPr>
                <w:sz w:val="20"/>
                <w:szCs w:val="20"/>
              </w:rPr>
            </w:pPr>
            <w:r w:rsidRPr="00993FE7">
              <w:rPr>
                <w:noProof/>
                <w:sz w:val="20"/>
                <w:szCs w:val="20"/>
                <w:lang w:eastAsia="en-US"/>
              </w:rPr>
              <w:drawing>
                <wp:inline distT="0" distB="0" distL="0" distR="0" wp14:anchorId="1E9460EF" wp14:editId="3D578259">
                  <wp:extent cx="1955800" cy="279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equations_FNMs.pdf"/>
                          <pic:cNvPicPr/>
                        </pic:nvPicPr>
                        <pic:blipFill>
                          <a:blip r:embed="rId7">
                            <a:extLst>
                              <a:ext uri="{28A0092B-C50C-407E-A947-70E740481C1C}">
                                <a14:useLocalDpi xmlns:a14="http://schemas.microsoft.com/office/drawing/2010/main" val="0"/>
                              </a:ext>
                            </a:extLst>
                          </a:blip>
                          <a:stretch>
                            <a:fillRect/>
                          </a:stretch>
                        </pic:blipFill>
                        <pic:spPr>
                          <a:xfrm>
                            <a:off x="0" y="0"/>
                            <a:ext cx="1955800" cy="279400"/>
                          </a:xfrm>
                          <a:prstGeom prst="rect">
                            <a:avLst/>
                          </a:prstGeom>
                        </pic:spPr>
                      </pic:pic>
                    </a:graphicData>
                  </a:graphic>
                </wp:inline>
              </w:drawing>
            </w:r>
          </w:p>
          <w:p w14:paraId="7AA16E79" w14:textId="77777777" w:rsidR="00993FE7" w:rsidRPr="00993FE7" w:rsidRDefault="00993FE7" w:rsidP="00993FE7">
            <w:pPr>
              <w:rPr>
                <w:sz w:val="20"/>
                <w:szCs w:val="20"/>
              </w:rPr>
            </w:pPr>
          </w:p>
          <w:p w14:paraId="0C387EFB" w14:textId="7D48C514" w:rsidR="00993FE7" w:rsidRPr="00993FE7" w:rsidRDefault="00993FE7" w:rsidP="00993FE7">
            <w:pPr>
              <w:rPr>
                <w:sz w:val="20"/>
                <w:szCs w:val="20"/>
              </w:rPr>
            </w:pPr>
            <w:r w:rsidRPr="00993FE7">
              <w:rPr>
                <w:sz w:val="20"/>
                <w:szCs w:val="20"/>
              </w:rPr>
              <w:t>Where the outer sum is taken over the 10 modes, and the pair of inner sums are taken over all pairs of residues (</w:t>
            </w:r>
            <w:r w:rsidRPr="00993FE7">
              <w:rPr>
                <w:i/>
                <w:sz w:val="20"/>
                <w:szCs w:val="20"/>
              </w:rPr>
              <w:t>i</w:t>
            </w:r>
            <w:r w:rsidRPr="00993FE7">
              <w:rPr>
                <w:sz w:val="20"/>
                <w:szCs w:val="20"/>
              </w:rPr>
              <w:t>,</w:t>
            </w:r>
            <w:r w:rsidRPr="00993FE7">
              <w:rPr>
                <w:i/>
                <w:sz w:val="20"/>
                <w:szCs w:val="20"/>
              </w:rPr>
              <w:t>j</w:t>
            </w:r>
            <w:r w:rsidRPr="00993FE7">
              <w:rPr>
                <w:sz w:val="20"/>
                <w:szCs w:val="20"/>
              </w:rPr>
              <w:t>) such that the line connecting the pair lies within 3.0 Angstroms of any atom within the simulated ligand. The value ∆</w:t>
            </w:r>
            <w:r w:rsidRPr="00993FE7">
              <w:rPr>
                <w:i/>
                <w:sz w:val="20"/>
                <w:szCs w:val="20"/>
              </w:rPr>
              <w:t>d</w:t>
            </w:r>
            <w:r w:rsidRPr="00993FE7">
              <w:rPr>
                <w:i/>
                <w:sz w:val="20"/>
                <w:szCs w:val="20"/>
                <w:vertAlign w:val="subscript"/>
              </w:rPr>
              <w:t>ij(m)</w:t>
            </w:r>
            <w:r w:rsidRPr="00993FE7">
              <w:rPr>
                <w:sz w:val="20"/>
                <w:szCs w:val="20"/>
              </w:rPr>
              <w:t xml:space="preserve"> for each residue pair (</w:t>
            </w:r>
            <w:r w:rsidRPr="00993FE7">
              <w:rPr>
                <w:i/>
                <w:sz w:val="20"/>
                <w:szCs w:val="20"/>
              </w:rPr>
              <w:t>i,j</w:t>
            </w:r>
            <w:r w:rsidRPr="00993FE7">
              <w:rPr>
                <w:sz w:val="20"/>
                <w:szCs w:val="20"/>
              </w:rPr>
              <w:t xml:space="preserve">) represents the change in the distance between residues </w:t>
            </w:r>
            <w:r w:rsidRPr="00993FE7">
              <w:rPr>
                <w:i/>
                <w:sz w:val="20"/>
                <w:szCs w:val="20"/>
              </w:rPr>
              <w:t>i</w:t>
            </w:r>
            <w:r w:rsidRPr="00993FE7">
              <w:rPr>
                <w:sz w:val="20"/>
                <w:szCs w:val="20"/>
              </w:rPr>
              <w:t xml:space="preserve"> and </w:t>
            </w:r>
            <w:r w:rsidRPr="00993FE7">
              <w:rPr>
                <w:i/>
                <w:sz w:val="20"/>
                <w:szCs w:val="20"/>
              </w:rPr>
              <w:t>j</w:t>
            </w:r>
            <w:r w:rsidRPr="00993FE7">
              <w:rPr>
                <w:sz w:val="20"/>
                <w:szCs w:val="20"/>
              </w:rPr>
              <w:t xml:space="preserve"> when this distance is calculated using mode </w:t>
            </w:r>
            <w:r w:rsidRPr="00993FE7">
              <w:rPr>
                <w:i/>
                <w:sz w:val="20"/>
                <w:szCs w:val="20"/>
              </w:rPr>
              <w:t>m</w:t>
            </w:r>
            <w:r w:rsidRPr="00993FE7">
              <w:rPr>
                <w:sz w:val="20"/>
                <w:szCs w:val="20"/>
              </w:rPr>
              <w:t>. Thus, one may think of binding leverage as qualitatively measuring the extent to which a surface pocket is deformed when the protein undergoes conformational transitions</w:t>
            </w:r>
            <w:r w:rsidR="007F2DBC">
              <w:rPr>
                <w:sz w:val="20"/>
                <w:szCs w:val="20"/>
              </w:rPr>
              <w:t xml:space="preserve"> … </w:t>
            </w:r>
            <w:r w:rsidRPr="00993FE7">
              <w:rPr>
                <w:sz w:val="20"/>
                <w:szCs w:val="20"/>
              </w:rPr>
              <w:t>when using ACT vectors, the binding leverage score for a given site is simply calculated as:</w:t>
            </w:r>
          </w:p>
          <w:p w14:paraId="6E6C27AA" w14:textId="77777777" w:rsidR="00993FE7" w:rsidRPr="00993FE7" w:rsidRDefault="00993FE7" w:rsidP="00993FE7">
            <w:pPr>
              <w:rPr>
                <w:sz w:val="20"/>
                <w:szCs w:val="20"/>
              </w:rPr>
            </w:pPr>
          </w:p>
          <w:p w14:paraId="463AA5B6" w14:textId="77777777" w:rsidR="00993FE7" w:rsidRPr="00993FE7" w:rsidRDefault="00993FE7" w:rsidP="00993FE7">
            <w:pPr>
              <w:jc w:val="center"/>
              <w:rPr>
                <w:sz w:val="20"/>
                <w:szCs w:val="20"/>
              </w:rPr>
            </w:pPr>
            <w:r w:rsidRPr="00993FE7">
              <w:rPr>
                <w:noProof/>
                <w:sz w:val="20"/>
                <w:szCs w:val="20"/>
                <w:lang w:eastAsia="en-US"/>
              </w:rPr>
              <w:drawing>
                <wp:inline distT="0" distB="0" distL="0" distR="0" wp14:anchorId="14363053" wp14:editId="7DE8AF7F">
                  <wp:extent cx="1625600" cy="2286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equations_ACT.pdf"/>
                          <pic:cNvPicPr/>
                        </pic:nvPicPr>
                        <pic:blipFill>
                          <a:blip r:embed="rId8">
                            <a:extLst>
                              <a:ext uri="{28A0092B-C50C-407E-A947-70E740481C1C}">
                                <a14:useLocalDpi xmlns:a14="http://schemas.microsoft.com/office/drawing/2010/main" val="0"/>
                              </a:ext>
                            </a:extLst>
                          </a:blip>
                          <a:stretch>
                            <a:fillRect/>
                          </a:stretch>
                        </pic:blipFill>
                        <pic:spPr>
                          <a:xfrm>
                            <a:off x="0" y="0"/>
                            <a:ext cx="1625600" cy="228600"/>
                          </a:xfrm>
                          <a:prstGeom prst="rect">
                            <a:avLst/>
                          </a:prstGeom>
                        </pic:spPr>
                      </pic:pic>
                    </a:graphicData>
                  </a:graphic>
                </wp:inline>
              </w:drawing>
            </w:r>
          </w:p>
          <w:p w14:paraId="52F401D2" w14:textId="77777777" w:rsidR="00993FE7" w:rsidRPr="00993FE7" w:rsidRDefault="00993FE7" w:rsidP="00993FE7">
            <w:pPr>
              <w:rPr>
                <w:sz w:val="20"/>
                <w:szCs w:val="20"/>
              </w:rPr>
            </w:pPr>
          </w:p>
          <w:p w14:paraId="79BBF8CF" w14:textId="62A1A90D" w:rsidR="00993FE7" w:rsidRPr="00993FE7" w:rsidRDefault="00993FE7" w:rsidP="00993FE7">
            <w:pPr>
              <w:rPr>
                <w:sz w:val="20"/>
                <w:szCs w:val="20"/>
                <w:highlight w:val="cyan"/>
              </w:rPr>
            </w:pPr>
            <w:r w:rsidRPr="00993FE7">
              <w:rPr>
                <w:sz w:val="20"/>
                <w:szCs w:val="20"/>
              </w:rPr>
              <w:t>where the sum is taken over all pairs of residues (</w:t>
            </w:r>
            <w:r w:rsidRPr="00993FE7">
              <w:rPr>
                <w:i/>
                <w:sz w:val="20"/>
                <w:szCs w:val="20"/>
              </w:rPr>
              <w:t>i</w:t>
            </w:r>
            <w:r w:rsidRPr="00993FE7">
              <w:rPr>
                <w:sz w:val="20"/>
                <w:szCs w:val="20"/>
              </w:rPr>
              <w:t>,</w:t>
            </w:r>
            <w:r w:rsidRPr="00993FE7">
              <w:rPr>
                <w:i/>
                <w:sz w:val="20"/>
                <w:szCs w:val="20"/>
              </w:rPr>
              <w:t>j</w:t>
            </w:r>
            <w:r w:rsidRPr="00993FE7">
              <w:rPr>
                <w:sz w:val="20"/>
                <w:szCs w:val="20"/>
              </w:rPr>
              <w:t>) such that the line connecting the pair lies within 3.0 Angstroms of any atom within the simulated ligand, and the value ∆</w:t>
            </w:r>
            <w:r w:rsidRPr="00993FE7">
              <w:rPr>
                <w:i/>
                <w:sz w:val="20"/>
                <w:szCs w:val="20"/>
              </w:rPr>
              <w:t>d</w:t>
            </w:r>
            <w:r w:rsidRPr="00993FE7">
              <w:rPr>
                <w:i/>
                <w:sz w:val="20"/>
                <w:szCs w:val="20"/>
                <w:vertAlign w:val="subscript"/>
              </w:rPr>
              <w:t>ij</w:t>
            </w:r>
            <w:r w:rsidRPr="00993FE7">
              <w:rPr>
                <w:sz w:val="20"/>
                <w:szCs w:val="20"/>
              </w:rPr>
              <w:t xml:space="preserve"> for each residue pair (</w:t>
            </w:r>
            <w:r w:rsidRPr="00993FE7">
              <w:rPr>
                <w:i/>
                <w:sz w:val="20"/>
                <w:szCs w:val="20"/>
              </w:rPr>
              <w:t>i,j</w:t>
            </w:r>
            <w:r w:rsidRPr="00993FE7">
              <w:rPr>
                <w:sz w:val="20"/>
                <w:szCs w:val="20"/>
              </w:rPr>
              <w:t xml:space="preserve">) represents the change in the distance between residues </w:t>
            </w:r>
            <w:r w:rsidRPr="00993FE7">
              <w:rPr>
                <w:i/>
                <w:sz w:val="20"/>
                <w:szCs w:val="20"/>
              </w:rPr>
              <w:t>i</w:t>
            </w:r>
            <w:r w:rsidRPr="00993FE7">
              <w:rPr>
                <w:sz w:val="20"/>
                <w:szCs w:val="20"/>
              </w:rPr>
              <w:t xml:space="preserve"> and </w:t>
            </w:r>
            <w:r w:rsidRPr="00993FE7">
              <w:rPr>
                <w:i/>
                <w:sz w:val="20"/>
                <w:szCs w:val="20"/>
              </w:rPr>
              <w:t>j</w:t>
            </w:r>
            <w:r w:rsidRPr="00993FE7">
              <w:rPr>
                <w:sz w:val="20"/>
                <w:szCs w:val="20"/>
              </w:rPr>
              <w:t xml:space="preserve"> when this distance is calculated in alternative crystal structure. Thus, for each residue, the 10 vectors provided by the normal modes are simply replaced by the single ACT vector that defines the change in position of that residue when going from the protein conformation given by one representative structure to the conformation given by the other representative.</w:t>
            </w:r>
          </w:p>
        </w:tc>
      </w:tr>
    </w:tbl>
    <w:p w14:paraId="37EFABA3" w14:textId="77777777" w:rsidR="0018482D" w:rsidRPr="00C1590F" w:rsidRDefault="0018482D" w:rsidP="0018482D"/>
    <w:p w14:paraId="00986C5A" w14:textId="023FCC91" w:rsidR="0018482D" w:rsidRPr="00C1590F" w:rsidRDefault="0018482D" w:rsidP="0018482D">
      <w:pPr>
        <w:pStyle w:val="Heading3"/>
      </w:pPr>
      <w:r w:rsidRPr="00C1590F">
        <w:t>-- Ref</w:t>
      </w:r>
      <w:r>
        <w:t xml:space="preserve"> 2</w:t>
      </w:r>
      <w:r w:rsidRPr="00C1590F">
        <w:t>.</w:t>
      </w:r>
      <w:r>
        <w:t>4</w:t>
      </w:r>
      <w:r w:rsidRPr="00C1590F">
        <w:t xml:space="preserve"> – </w:t>
      </w:r>
      <w:r>
        <w:t xml:space="preserve">Table with Statistics on Surface Residues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18482D" w:rsidRPr="00C1590F" w14:paraId="35137914" w14:textId="77777777" w:rsidTr="00256FC6">
        <w:tc>
          <w:tcPr>
            <w:tcW w:w="1728" w:type="dxa"/>
          </w:tcPr>
          <w:p w14:paraId="72816DE4" w14:textId="77777777" w:rsidR="0018482D" w:rsidRPr="00C1590F" w:rsidRDefault="0018482D" w:rsidP="00256FC6">
            <w:pPr>
              <w:pStyle w:val="reviewer"/>
              <w:jc w:val="both"/>
            </w:pPr>
            <w:r w:rsidRPr="00C1590F">
              <w:t>Reviewer</w:t>
            </w:r>
          </w:p>
          <w:p w14:paraId="6A61C2AE" w14:textId="77777777" w:rsidR="0018482D" w:rsidRPr="00C1590F" w:rsidRDefault="0018482D" w:rsidP="00256FC6">
            <w:pPr>
              <w:pStyle w:val="reviewer"/>
              <w:jc w:val="both"/>
            </w:pPr>
            <w:r w:rsidRPr="00C1590F">
              <w:t>Comment</w:t>
            </w:r>
          </w:p>
        </w:tc>
        <w:tc>
          <w:tcPr>
            <w:tcW w:w="7200" w:type="dxa"/>
          </w:tcPr>
          <w:p w14:paraId="43768685" w14:textId="41498C3B" w:rsidR="0018482D" w:rsidRPr="00C1590F" w:rsidRDefault="0018482D" w:rsidP="0018482D">
            <w:pPr>
              <w:autoSpaceDE w:val="0"/>
              <w:autoSpaceDN w:val="0"/>
              <w:adjustRightInd w:val="0"/>
              <w:rPr>
                <w:rFonts w:ascii="Courier New" w:hAnsi="Courier New" w:cs="Courier New"/>
                <w:sz w:val="20"/>
                <w:szCs w:val="20"/>
              </w:rPr>
            </w:pPr>
            <w:r w:rsidRPr="0018482D">
              <w:rPr>
                <w:rFonts w:ascii="Courier New" w:hAnsi="Courier New" w:cs="Courier New"/>
                <w:sz w:val="20"/>
                <w:szCs w:val="20"/>
              </w:rPr>
              <w:t xml:space="preserve">It is difficult to gauge the strength of the predictions in Table S2. For instance, for 2hnp, 67% of the residues are predicted as surface-critical, but over 20% of the residues are buried. Although this is the extreme case, it seems odd to include the interior residues when calculating the fraction of predicted residues and the fraction of ligand-binding residues, when these residues are a priori excluded from both lists. I think it would be </w:t>
            </w:r>
            <w:r w:rsidRPr="0018482D">
              <w:rPr>
                <w:rFonts w:ascii="Courier New" w:hAnsi="Courier New" w:cs="Courier New"/>
                <w:sz w:val="20"/>
                <w:szCs w:val="20"/>
              </w:rPr>
              <w:lastRenderedPageBreak/>
              <w:t>more meaningful to report the fraction of surface residues predicted within critical sites, the fraction that are known ligand-binding residues, and the overlap between these two sets, as well as the number of critical sites identified, number of binding sites and the number of strongly overlapping sites. This would make table 3 redundant, put all the relevant information in the same place, and greatly aid interpretation.</w:t>
            </w:r>
          </w:p>
        </w:tc>
      </w:tr>
      <w:tr w:rsidR="0018482D" w:rsidRPr="00C1590F" w14:paraId="6542ACBE" w14:textId="77777777" w:rsidTr="00256FC6">
        <w:tc>
          <w:tcPr>
            <w:tcW w:w="1728" w:type="dxa"/>
          </w:tcPr>
          <w:p w14:paraId="4718C929" w14:textId="77777777" w:rsidR="0018482D" w:rsidRPr="00B9141D" w:rsidRDefault="0018482D" w:rsidP="00256FC6">
            <w:pPr>
              <w:pStyle w:val="author"/>
              <w:jc w:val="both"/>
              <w:rPr>
                <w:sz w:val="22"/>
                <w:szCs w:val="22"/>
              </w:rPr>
            </w:pPr>
            <w:r w:rsidRPr="00B9141D">
              <w:rPr>
                <w:sz w:val="22"/>
                <w:szCs w:val="22"/>
              </w:rPr>
              <w:lastRenderedPageBreak/>
              <w:t>Author</w:t>
            </w:r>
          </w:p>
          <w:p w14:paraId="1CE9FC05" w14:textId="77777777" w:rsidR="0018482D" w:rsidRPr="00B9141D" w:rsidRDefault="0018482D" w:rsidP="00256FC6">
            <w:pPr>
              <w:pStyle w:val="author"/>
              <w:jc w:val="both"/>
              <w:rPr>
                <w:sz w:val="22"/>
                <w:szCs w:val="22"/>
              </w:rPr>
            </w:pPr>
            <w:r w:rsidRPr="00B9141D">
              <w:rPr>
                <w:sz w:val="22"/>
                <w:szCs w:val="22"/>
              </w:rPr>
              <w:t>Response</w:t>
            </w:r>
          </w:p>
        </w:tc>
        <w:tc>
          <w:tcPr>
            <w:tcW w:w="7200" w:type="dxa"/>
          </w:tcPr>
          <w:p w14:paraId="5FBA1E08" w14:textId="77777777" w:rsidR="0018482D" w:rsidRPr="0018482D" w:rsidRDefault="0018482D" w:rsidP="0018482D">
            <w:pPr>
              <w:shd w:val="clear" w:color="auto" w:fill="FFFFFF"/>
              <w:rPr>
                <w:rFonts w:ascii="Arial" w:eastAsia="Times New Roman" w:hAnsi="Arial" w:cs="Arial"/>
                <w:color w:val="222222"/>
                <w:sz w:val="22"/>
                <w:szCs w:val="22"/>
              </w:rPr>
            </w:pPr>
            <w:r w:rsidRPr="0018482D">
              <w:rPr>
                <w:rFonts w:ascii="Arial" w:eastAsia="Times New Roman" w:hAnsi="Arial" w:cs="Arial"/>
                <w:color w:val="222222"/>
                <w:sz w:val="22"/>
                <w:szCs w:val="22"/>
              </w:rPr>
              <w:t>We thank to reviewer for raising these important points. We agree that only the surface residues should be included in these calculations, our presentation of this information can be clarified by keeping all of the information within one table, and more statistics would aid in interpretation. Along these lines, we have done the following:</w:t>
            </w:r>
          </w:p>
          <w:p w14:paraId="021EF718" w14:textId="774EC720" w:rsidR="0018482D" w:rsidRPr="0018482D" w:rsidRDefault="0018482D" w:rsidP="0018482D">
            <w:pPr>
              <w:pStyle w:val="ListParagraph"/>
              <w:numPr>
                <w:ilvl w:val="0"/>
                <w:numId w:val="5"/>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O</w:t>
            </w:r>
            <w:r w:rsidRPr="0018482D">
              <w:rPr>
                <w:rFonts w:ascii="Arial" w:eastAsia="Times New Roman" w:hAnsi="Arial" w:cs="Arial"/>
                <w:color w:val="222222"/>
              </w:rPr>
              <w:t>ur analysis has been revised to consider the surface residues specifically (specifically, we define surface residues by using NACCESS [[cite]] to select those residues with a relative solvent accessibility exceeding 50%)</w:t>
            </w:r>
            <w:r>
              <w:rPr>
                <w:rFonts w:ascii="Arial" w:eastAsia="Times New Roman" w:hAnsi="Arial" w:cs="Arial"/>
                <w:color w:val="222222"/>
              </w:rPr>
              <w:t>.</w:t>
            </w:r>
          </w:p>
          <w:p w14:paraId="516E0D98" w14:textId="77777777" w:rsidR="00B548DD" w:rsidRDefault="0018482D" w:rsidP="00B548DD">
            <w:pPr>
              <w:pStyle w:val="ListParagraph"/>
              <w:numPr>
                <w:ilvl w:val="0"/>
                <w:numId w:val="5"/>
              </w:numPr>
              <w:shd w:val="clear" w:color="auto" w:fill="FFFFFF"/>
              <w:spacing w:after="0" w:line="240" w:lineRule="auto"/>
              <w:rPr>
                <w:rFonts w:ascii="Arial" w:eastAsia="Times New Roman" w:hAnsi="Arial" w:cs="Arial"/>
                <w:color w:val="222222"/>
              </w:rPr>
            </w:pPr>
            <w:r>
              <w:rPr>
                <w:rFonts w:ascii="Arial" w:eastAsia="Times New Roman" w:hAnsi="Arial" w:cs="Arial"/>
                <w:color w:val="222222"/>
              </w:rPr>
              <w:t>T</w:t>
            </w:r>
            <w:r w:rsidRPr="0018482D">
              <w:rPr>
                <w:rFonts w:ascii="Arial" w:eastAsia="Times New Roman" w:hAnsi="Arial" w:cs="Arial"/>
                <w:color w:val="222222"/>
              </w:rPr>
              <w:t xml:space="preserve">hese two tables have been merged and expanded, and </w:t>
            </w:r>
            <w:r w:rsidRPr="00B548DD">
              <w:rPr>
                <w:rFonts w:ascii="Arial" w:eastAsia="Times New Roman" w:hAnsi="Arial" w:cs="Arial"/>
                <w:color w:val="222222"/>
              </w:rPr>
              <w:t>additional data (such as the number of known ligand-binding sites) is now included.</w:t>
            </w:r>
          </w:p>
          <w:p w14:paraId="5776024A" w14:textId="060C60A8" w:rsidR="004D1D83" w:rsidRPr="00B548DD" w:rsidRDefault="0018482D" w:rsidP="00B548DD">
            <w:pPr>
              <w:pStyle w:val="ListParagraph"/>
              <w:numPr>
                <w:ilvl w:val="0"/>
                <w:numId w:val="5"/>
              </w:numPr>
              <w:shd w:val="clear" w:color="auto" w:fill="FFFFFF"/>
              <w:spacing w:after="0" w:line="240" w:lineRule="auto"/>
              <w:rPr>
                <w:rFonts w:ascii="Arial" w:eastAsia="Times New Roman" w:hAnsi="Arial" w:cs="Arial"/>
                <w:color w:val="222222"/>
              </w:rPr>
            </w:pPr>
            <w:r w:rsidRPr="00B548DD">
              <w:rPr>
                <w:rFonts w:ascii="Arial" w:eastAsia="Times New Roman" w:hAnsi="Arial" w:cs="Arial"/>
                <w:color w:val="222222"/>
              </w:rPr>
              <w:t>We have also decided to move this merged Table from the Supplement into the main text of the manuscript.</w:t>
            </w:r>
          </w:p>
        </w:tc>
      </w:tr>
      <w:tr w:rsidR="0018482D" w:rsidRPr="00C1590F" w14:paraId="39BF42AE" w14:textId="77777777" w:rsidTr="00256FC6">
        <w:tc>
          <w:tcPr>
            <w:tcW w:w="1728" w:type="dxa"/>
          </w:tcPr>
          <w:p w14:paraId="49E9E963" w14:textId="77777777" w:rsidR="0018482D" w:rsidRPr="00C1590F" w:rsidRDefault="0018482D" w:rsidP="00256FC6">
            <w:pPr>
              <w:pStyle w:val="new-text"/>
              <w:jc w:val="both"/>
            </w:pPr>
            <w:r w:rsidRPr="00C1590F">
              <w:t>Excerpt From</w:t>
            </w:r>
          </w:p>
          <w:p w14:paraId="2DAB582D" w14:textId="77777777" w:rsidR="0018482D" w:rsidRPr="00C1590F" w:rsidRDefault="0018482D" w:rsidP="00256FC6">
            <w:pPr>
              <w:pStyle w:val="new-text"/>
              <w:jc w:val="both"/>
            </w:pPr>
            <w:r w:rsidRPr="00C1590F">
              <w:t>Revised Manuscript</w:t>
            </w:r>
          </w:p>
        </w:tc>
        <w:tc>
          <w:tcPr>
            <w:tcW w:w="7200" w:type="dxa"/>
          </w:tcPr>
          <w:p w14:paraId="7D3328ED" w14:textId="460B167F" w:rsidR="00EF08AC" w:rsidRPr="00141F2D" w:rsidRDefault="00141F2D" w:rsidP="00EF08AC">
            <w:pPr>
              <w:rPr>
                <w:sz w:val="20"/>
                <w:szCs w:val="20"/>
              </w:rPr>
            </w:pPr>
            <w:r>
              <w:rPr>
                <w:noProof/>
                <w:sz w:val="20"/>
                <w:szCs w:val="20"/>
                <w:lang w:eastAsia="en-US"/>
              </w:rPr>
              <w:drawing>
                <wp:inline distT="0" distB="0" distL="0" distR="0" wp14:anchorId="3F170F6A" wp14:editId="2244D77A">
                  <wp:extent cx="4434840" cy="1727200"/>
                  <wp:effectExtent l="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_1.pdf"/>
                          <pic:cNvPicPr/>
                        </pic:nvPicPr>
                        <pic:blipFill>
                          <a:blip r:embed="rId9">
                            <a:extLst>
                              <a:ext uri="{28A0092B-C50C-407E-A947-70E740481C1C}">
                                <a14:useLocalDpi xmlns:a14="http://schemas.microsoft.com/office/drawing/2010/main" val="0"/>
                              </a:ext>
                            </a:extLst>
                          </a:blip>
                          <a:stretch>
                            <a:fillRect/>
                          </a:stretch>
                        </pic:blipFill>
                        <pic:spPr>
                          <a:xfrm>
                            <a:off x="0" y="0"/>
                            <a:ext cx="4434840" cy="1727200"/>
                          </a:xfrm>
                          <a:prstGeom prst="rect">
                            <a:avLst/>
                          </a:prstGeom>
                        </pic:spPr>
                      </pic:pic>
                    </a:graphicData>
                  </a:graphic>
                </wp:inline>
              </w:drawing>
            </w:r>
            <w:bookmarkStart w:id="0" w:name="_GoBack"/>
            <w:bookmarkEnd w:id="0"/>
          </w:p>
          <w:p w14:paraId="2EB5F812" w14:textId="23E4B7BE" w:rsidR="00EF08AC" w:rsidRPr="00EF08AC" w:rsidRDefault="00EF08AC" w:rsidP="00EF08AC">
            <w:pPr>
              <w:rPr>
                <w:sz w:val="20"/>
                <w:szCs w:val="20"/>
              </w:rPr>
            </w:pPr>
            <w:r w:rsidRPr="00B548DD">
              <w:rPr>
                <w:b/>
                <w:sz w:val="20"/>
                <w:szCs w:val="20"/>
              </w:rPr>
              <w:t>Table 1:</w:t>
            </w:r>
            <w:r w:rsidRPr="00EF08AC">
              <w:rPr>
                <w:b/>
                <w:sz w:val="20"/>
                <w:szCs w:val="20"/>
              </w:rPr>
              <w:t xml:space="preserve"> Statistics on the surfaces of </w:t>
            </w:r>
            <w:r w:rsidRPr="00EF08AC">
              <w:rPr>
                <w:b/>
                <w:i/>
                <w:sz w:val="20"/>
                <w:szCs w:val="20"/>
              </w:rPr>
              <w:t>apo</w:t>
            </w:r>
            <w:r w:rsidRPr="00EF08AC">
              <w:rPr>
                <w:b/>
                <w:sz w:val="20"/>
                <w:szCs w:val="20"/>
              </w:rPr>
              <w:t xml:space="preserve"> structures within the canonical set of proteins</w:t>
            </w:r>
          </w:p>
          <w:p w14:paraId="201DFEA8" w14:textId="23C3EED7" w:rsidR="0018482D" w:rsidRPr="0018482D" w:rsidRDefault="00EF08AC" w:rsidP="00256FC6">
            <w:pPr>
              <w:rPr>
                <w:sz w:val="20"/>
                <w:szCs w:val="20"/>
              </w:rPr>
            </w:pPr>
            <w:r w:rsidRPr="00EF08AC">
              <w:rPr>
                <w:sz w:val="20"/>
                <w:szCs w:val="20"/>
              </w:rPr>
              <w:t xml:space="preserve">For each </w:t>
            </w:r>
            <w:r w:rsidRPr="00EF08AC">
              <w:rPr>
                <w:i/>
                <w:sz w:val="20"/>
                <w:szCs w:val="20"/>
              </w:rPr>
              <w:t>apo</w:t>
            </w:r>
            <w:r w:rsidRPr="00EF08AC">
              <w:rPr>
                <w:sz w:val="20"/>
                <w:szCs w:val="20"/>
              </w:rPr>
              <w:t xml:space="preserve"> structure within the canonical set of proteins, statistics relating surface-critical sites to known ligand-binding sites are reported. The surface of a given structure is defined to be the set of all residues that have a relative solvent accessibility of at least 50%, where relative solvent accessibility is evaluated using all heavy atoms in both the main-chain and side-chain of a given residue. Mean values are given in the bottom row. </w:t>
            </w:r>
            <w:r w:rsidRPr="00EF08AC">
              <w:rPr>
                <w:i/>
                <w:sz w:val="20"/>
                <w:szCs w:val="20"/>
              </w:rPr>
              <w:t>Column 1</w:t>
            </w:r>
            <w:r w:rsidRPr="00EF08AC">
              <w:rPr>
                <w:sz w:val="20"/>
                <w:szCs w:val="20"/>
              </w:rPr>
              <w:t xml:space="preserve">: PDB IDs for each structure; </w:t>
            </w:r>
            <w:r w:rsidRPr="00EF08AC">
              <w:rPr>
                <w:i/>
                <w:sz w:val="20"/>
                <w:szCs w:val="20"/>
              </w:rPr>
              <w:t>Column 2</w:t>
            </w:r>
            <w:r w:rsidRPr="00EF08AC">
              <w:rPr>
                <w:sz w:val="20"/>
                <w:szCs w:val="20"/>
              </w:rPr>
              <w:t xml:space="preserve">: among these surface residues, the fraction that constitute surface-critical residues; </w:t>
            </w:r>
            <w:r w:rsidRPr="00EF08AC">
              <w:rPr>
                <w:i/>
                <w:sz w:val="20"/>
                <w:szCs w:val="20"/>
              </w:rPr>
              <w:t>Column 3</w:t>
            </w:r>
            <w:r w:rsidRPr="00EF08AC">
              <w:rPr>
                <w:sz w:val="20"/>
                <w:szCs w:val="20"/>
              </w:rPr>
              <w:t xml:space="preserve">: among surface residues, the fraction that constitute known ligand-binding residues (known ligand-binding residues are taken to be those within 4.5 Angstroms of the ligand in the </w:t>
            </w:r>
            <w:r w:rsidRPr="00EF08AC">
              <w:rPr>
                <w:i/>
                <w:sz w:val="20"/>
                <w:szCs w:val="20"/>
              </w:rPr>
              <w:t>holo</w:t>
            </w:r>
            <w:r w:rsidRPr="00EF08AC">
              <w:rPr>
                <w:sz w:val="20"/>
                <w:szCs w:val="20"/>
              </w:rPr>
              <w:t xml:space="preserve"> structure; Table S1); </w:t>
            </w:r>
            <w:r w:rsidRPr="00EF08AC">
              <w:rPr>
                <w:i/>
                <w:sz w:val="20"/>
                <w:szCs w:val="20"/>
              </w:rPr>
              <w:t>Column 4</w:t>
            </w:r>
            <w:r w:rsidRPr="00EF08AC">
              <w:rPr>
                <w:sz w:val="20"/>
                <w:szCs w:val="20"/>
              </w:rPr>
              <w:t xml:space="preserve">: the Jaccard similarity between the sets of residues represented in columns 2 and 3 (i.e., surface-critical and known-ligand binding residues), where values given in parentheses represent the expected Jaccard similarity, given a null model in which surface-critical and ligand-binding residues are randomly distributed throughout the surface (for each structure, 10,000 simulations are performed to produce random distributions, and the expected values reported here constitute the mean Jaccard similarity among the 10,000 simulations for each structure); </w:t>
            </w:r>
            <w:r w:rsidRPr="00EF08AC">
              <w:rPr>
                <w:i/>
                <w:sz w:val="20"/>
                <w:szCs w:val="20"/>
              </w:rPr>
              <w:t>Column 5</w:t>
            </w:r>
            <w:r w:rsidRPr="00EF08AC">
              <w:rPr>
                <w:sz w:val="20"/>
                <w:szCs w:val="20"/>
              </w:rPr>
              <w:t xml:space="preserve">: the number of distinct surface-critical sites identified in each structure; </w:t>
            </w:r>
            <w:r w:rsidRPr="00EF08AC">
              <w:rPr>
                <w:i/>
                <w:sz w:val="20"/>
                <w:szCs w:val="20"/>
              </w:rPr>
              <w:t>Column 6</w:t>
            </w:r>
            <w:r w:rsidRPr="00EF08AC">
              <w:rPr>
                <w:sz w:val="20"/>
                <w:szCs w:val="20"/>
              </w:rPr>
              <w:t xml:space="preserve">: the number of known ligand-binding sites in each structure; </w:t>
            </w:r>
            <w:r w:rsidRPr="00EF08AC">
              <w:rPr>
                <w:i/>
                <w:sz w:val="20"/>
                <w:szCs w:val="20"/>
              </w:rPr>
              <w:lastRenderedPageBreak/>
              <w:t>Column 7</w:t>
            </w:r>
            <w:r w:rsidR="00A90861">
              <w:rPr>
                <w:sz w:val="20"/>
                <w:szCs w:val="20"/>
              </w:rPr>
              <w:t xml:space="preserve">: </w:t>
            </w:r>
            <w:r w:rsidRPr="00EF08AC">
              <w:rPr>
                <w:sz w:val="20"/>
                <w:szCs w:val="20"/>
              </w:rPr>
              <w:t xml:space="preserve">the number of known ligand-binding sites which are positively identified within the set of surface-critical sites, where a positive match occurs if a majority of the residues in a surface-critical site coincide with the known ligand-binding site; </w:t>
            </w:r>
            <w:r w:rsidRPr="00EF08AC">
              <w:rPr>
                <w:i/>
                <w:sz w:val="20"/>
                <w:szCs w:val="20"/>
              </w:rPr>
              <w:t>Column 8</w:t>
            </w:r>
            <w:r w:rsidRPr="00EF08AC">
              <w:rPr>
                <w:sz w:val="20"/>
                <w:szCs w:val="20"/>
              </w:rPr>
              <w:t>: The fraction of ligand-binding sites captured is simply the ratio of the values in column 7 to those in column 6.</w:t>
            </w:r>
          </w:p>
        </w:tc>
      </w:tr>
    </w:tbl>
    <w:p w14:paraId="796DEA45" w14:textId="77777777" w:rsidR="0018482D" w:rsidRPr="00C1590F" w:rsidRDefault="0018482D" w:rsidP="0018482D"/>
    <w:p w14:paraId="01566BD8" w14:textId="4661AAE1" w:rsidR="0049348B" w:rsidRPr="00C1590F" w:rsidRDefault="0049348B" w:rsidP="0049348B">
      <w:pPr>
        <w:pStyle w:val="Heading3"/>
      </w:pPr>
      <w:r w:rsidRPr="00C1590F">
        <w:t>-- Ref</w:t>
      </w:r>
      <w:r>
        <w:t xml:space="preserve"> 2</w:t>
      </w:r>
      <w:r w:rsidRPr="00C1590F">
        <w:t>.</w:t>
      </w:r>
      <w:r>
        <w:t>5</w:t>
      </w:r>
      <w:r w:rsidRPr="00C1590F">
        <w:t xml:space="preserve"> – </w:t>
      </w:r>
      <w:r>
        <w:t xml:space="preserve">GN vs. Infomap for Network Analysis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49348B" w:rsidRPr="00C1590F" w14:paraId="0DD5858F" w14:textId="77777777" w:rsidTr="00256FC6">
        <w:tc>
          <w:tcPr>
            <w:tcW w:w="1728" w:type="dxa"/>
          </w:tcPr>
          <w:p w14:paraId="6B73FA3C" w14:textId="77777777" w:rsidR="0049348B" w:rsidRPr="00C1590F" w:rsidRDefault="0049348B" w:rsidP="00256FC6">
            <w:pPr>
              <w:pStyle w:val="reviewer"/>
              <w:jc w:val="both"/>
            </w:pPr>
            <w:r w:rsidRPr="00C1590F">
              <w:t>Reviewer</w:t>
            </w:r>
          </w:p>
          <w:p w14:paraId="5B53B58D" w14:textId="77777777" w:rsidR="0049348B" w:rsidRPr="00C1590F" w:rsidRDefault="0049348B" w:rsidP="00256FC6">
            <w:pPr>
              <w:pStyle w:val="reviewer"/>
              <w:jc w:val="both"/>
            </w:pPr>
            <w:r w:rsidRPr="00C1590F">
              <w:t>Comment</w:t>
            </w:r>
          </w:p>
        </w:tc>
        <w:tc>
          <w:tcPr>
            <w:tcW w:w="7200" w:type="dxa"/>
          </w:tcPr>
          <w:p w14:paraId="3568BADD" w14:textId="19F5B143" w:rsidR="0049348B" w:rsidRPr="00C1590F" w:rsidRDefault="0049348B" w:rsidP="00256FC6">
            <w:pPr>
              <w:autoSpaceDE w:val="0"/>
              <w:autoSpaceDN w:val="0"/>
              <w:adjustRightInd w:val="0"/>
              <w:rPr>
                <w:rFonts w:ascii="Courier New" w:hAnsi="Courier New" w:cs="Courier New"/>
                <w:sz w:val="20"/>
                <w:szCs w:val="20"/>
              </w:rPr>
            </w:pPr>
            <w:r w:rsidRPr="0049348B">
              <w:rPr>
                <w:rFonts w:ascii="Courier New" w:hAnsi="Courier New" w:cs="Courier New"/>
                <w:sz w:val="20"/>
                <w:szCs w:val="20"/>
              </w:rPr>
              <w:t>"... the mean fraction of GN-identified interior-critical residues that match Infomap-identified residues is 0.30 (the expected mean, based on a uniformly-random distribution of critical residues throughout the protein, is 0.21, p-value=0.058), further justifying our decision to focus on GN)" - I am unclear how this adds to the justification for choosing GN over Infomap.</w:t>
            </w:r>
          </w:p>
        </w:tc>
      </w:tr>
      <w:tr w:rsidR="0049348B" w:rsidRPr="00C1590F" w14:paraId="15E9A151" w14:textId="77777777" w:rsidTr="00256FC6">
        <w:tc>
          <w:tcPr>
            <w:tcW w:w="1728" w:type="dxa"/>
          </w:tcPr>
          <w:p w14:paraId="5371672F" w14:textId="77777777" w:rsidR="0049348B" w:rsidRPr="00B9141D" w:rsidRDefault="0049348B" w:rsidP="00256FC6">
            <w:pPr>
              <w:pStyle w:val="author"/>
              <w:jc w:val="both"/>
              <w:rPr>
                <w:sz w:val="22"/>
                <w:szCs w:val="22"/>
              </w:rPr>
            </w:pPr>
            <w:r w:rsidRPr="00B9141D">
              <w:rPr>
                <w:sz w:val="22"/>
                <w:szCs w:val="22"/>
              </w:rPr>
              <w:t>Author</w:t>
            </w:r>
          </w:p>
          <w:p w14:paraId="409064AB" w14:textId="77777777" w:rsidR="0049348B" w:rsidRPr="00B9141D" w:rsidRDefault="0049348B" w:rsidP="00256FC6">
            <w:pPr>
              <w:pStyle w:val="author"/>
              <w:jc w:val="both"/>
              <w:rPr>
                <w:sz w:val="22"/>
                <w:szCs w:val="22"/>
              </w:rPr>
            </w:pPr>
            <w:r w:rsidRPr="00B9141D">
              <w:rPr>
                <w:sz w:val="22"/>
                <w:szCs w:val="22"/>
              </w:rPr>
              <w:t>Response</w:t>
            </w:r>
          </w:p>
        </w:tc>
        <w:tc>
          <w:tcPr>
            <w:tcW w:w="7200" w:type="dxa"/>
          </w:tcPr>
          <w:p w14:paraId="7E72D1DA" w14:textId="014FE66B" w:rsidR="0049348B" w:rsidRPr="0090496D" w:rsidRDefault="0049348B" w:rsidP="00B548DD">
            <w:pPr>
              <w:pStyle w:val="author"/>
              <w:jc w:val="both"/>
              <w:rPr>
                <w:rFonts w:cs="Arial"/>
                <w:sz w:val="22"/>
                <w:szCs w:val="22"/>
              </w:rPr>
            </w:pPr>
            <w:r w:rsidRPr="0090496D">
              <w:rPr>
                <w:rFonts w:cs="Arial"/>
                <w:color w:val="222222"/>
                <w:sz w:val="22"/>
                <w:szCs w:val="22"/>
              </w:rPr>
              <w:t xml:space="preserve">We thank to reviewer for highlighting this item. As previously written, our argument was not only unclear, but upon closer inspection, it had an arbitrary nature: originally, the rationale was that there is a measure of agreement between the residues identified by GN and Infomap, and that one may therefore opt to choose one method or the other (in that regard, the choice of GN over Infomap may be interpreted as arbitrary). However, the more important issue is actually the fact that GN is far more selective than Infomap in identifying important network elements (i.e., </w:t>
            </w:r>
            <w:r w:rsidRPr="00B548DD">
              <w:rPr>
                <w:rFonts w:cs="Arial"/>
                <w:color w:val="222222"/>
                <w:sz w:val="22"/>
                <w:szCs w:val="22"/>
              </w:rPr>
              <w:t>interior-critical residues), as evidenced by the data presented in Table S3</w:t>
            </w:r>
            <w:r w:rsidRPr="0090496D">
              <w:rPr>
                <w:rFonts w:cs="Arial"/>
                <w:color w:val="222222"/>
                <w:sz w:val="22"/>
                <w:szCs w:val="22"/>
              </w:rPr>
              <w:t xml:space="preserve"> (previously Table S4). Furthermore, not only does GN provide a more selective set of residues, but the network modularity given by GN is somewhat better than that provided by Infomap, which is also given in Table S</w:t>
            </w:r>
            <w:r w:rsidR="00B548DD">
              <w:rPr>
                <w:rFonts w:cs="Arial"/>
                <w:color w:val="222222"/>
                <w:sz w:val="22"/>
                <w:szCs w:val="22"/>
              </w:rPr>
              <w:t>3</w:t>
            </w:r>
            <w:r w:rsidRPr="0090496D">
              <w:rPr>
                <w:rFonts w:cs="Arial"/>
                <w:color w:val="222222"/>
                <w:sz w:val="22"/>
                <w:szCs w:val="22"/>
              </w:rPr>
              <w:t>.</w:t>
            </w:r>
          </w:p>
        </w:tc>
      </w:tr>
    </w:tbl>
    <w:p w14:paraId="430910E3" w14:textId="77777777" w:rsidR="0090496D" w:rsidRPr="00C1590F" w:rsidRDefault="0090496D" w:rsidP="0090496D"/>
    <w:p w14:paraId="4DD9B3D9" w14:textId="369A24F7" w:rsidR="0090496D" w:rsidRPr="00C1590F" w:rsidRDefault="0090496D" w:rsidP="0090496D">
      <w:pPr>
        <w:pStyle w:val="Heading3"/>
      </w:pPr>
      <w:r w:rsidRPr="00C1590F">
        <w:t>-- Ref</w:t>
      </w:r>
      <w:r>
        <w:t xml:space="preserve"> 2</w:t>
      </w:r>
      <w:r w:rsidRPr="00C1590F">
        <w:t>.</w:t>
      </w:r>
      <w:r w:rsidR="00892081">
        <w:t>6-1</w:t>
      </w:r>
      <w:r w:rsidRPr="00C1590F">
        <w:t xml:space="preserve"> – </w:t>
      </w:r>
      <w:r w:rsidR="008D220C">
        <w:t xml:space="preserve">Overemphasis on </w:t>
      </w:r>
      <w:r w:rsidR="00892081">
        <w:t>structural clustering scheme</w:t>
      </w:r>
      <w:r>
        <w:t xml:space="preserve">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90496D" w:rsidRPr="00C1590F" w14:paraId="6F6B3FAE" w14:textId="77777777" w:rsidTr="00256FC6">
        <w:tc>
          <w:tcPr>
            <w:tcW w:w="1728" w:type="dxa"/>
          </w:tcPr>
          <w:p w14:paraId="33D56E70" w14:textId="77777777" w:rsidR="0090496D" w:rsidRPr="00C1590F" w:rsidRDefault="0090496D" w:rsidP="00256FC6">
            <w:pPr>
              <w:pStyle w:val="reviewer"/>
              <w:jc w:val="both"/>
            </w:pPr>
            <w:r w:rsidRPr="00C1590F">
              <w:t>Reviewer</w:t>
            </w:r>
          </w:p>
          <w:p w14:paraId="1DFA9A07" w14:textId="77777777" w:rsidR="0090496D" w:rsidRPr="00C1590F" w:rsidRDefault="0090496D" w:rsidP="00256FC6">
            <w:pPr>
              <w:pStyle w:val="reviewer"/>
              <w:jc w:val="both"/>
            </w:pPr>
            <w:r w:rsidRPr="00C1590F">
              <w:t>Comment</w:t>
            </w:r>
          </w:p>
        </w:tc>
        <w:tc>
          <w:tcPr>
            <w:tcW w:w="7200" w:type="dxa"/>
          </w:tcPr>
          <w:p w14:paraId="31F3C221" w14:textId="059A375D" w:rsidR="0090496D" w:rsidRPr="00C1590F" w:rsidRDefault="00892081" w:rsidP="00256FC6">
            <w:pPr>
              <w:autoSpaceDE w:val="0"/>
              <w:autoSpaceDN w:val="0"/>
              <w:adjustRightInd w:val="0"/>
              <w:rPr>
                <w:rFonts w:ascii="Courier New" w:hAnsi="Courier New" w:cs="Courier New"/>
                <w:sz w:val="20"/>
                <w:szCs w:val="20"/>
              </w:rPr>
            </w:pPr>
            <w:r w:rsidRPr="00892081">
              <w:rPr>
                <w:rFonts w:ascii="Courier New" w:hAnsi="Courier New" w:cs="Courier New"/>
                <w:sz w:val="20"/>
                <w:szCs w:val="20"/>
              </w:rPr>
              <w:t>The paper appears unbalanced. An unusually large effort is dedicated to explaining, illustrating and analysing the structural clustering scheme, including a section in the main text, figure 2C-E, supplementary figures S8, S9, S10, S21, S22, S23, and over three</w:t>
            </w:r>
            <w:r>
              <w:rPr>
                <w:rFonts w:ascii="Courier New" w:hAnsi="Courier New" w:cs="Courier New"/>
                <w:sz w:val="20"/>
                <w:szCs w:val="20"/>
              </w:rPr>
              <w:t xml:space="preserve"> pages of supplementary methods</w:t>
            </w:r>
            <w:r w:rsidR="00D7547B">
              <w:rPr>
                <w:rFonts w:ascii="Courier New" w:hAnsi="Courier New" w:cs="Courier New"/>
                <w:sz w:val="20"/>
                <w:szCs w:val="20"/>
              </w:rPr>
              <w:t>…</w:t>
            </w:r>
          </w:p>
        </w:tc>
      </w:tr>
      <w:tr w:rsidR="0090496D" w:rsidRPr="00C1590F" w14:paraId="24FBAC0F" w14:textId="77777777" w:rsidTr="00256FC6">
        <w:tc>
          <w:tcPr>
            <w:tcW w:w="1728" w:type="dxa"/>
          </w:tcPr>
          <w:p w14:paraId="0076F24C" w14:textId="77777777" w:rsidR="0090496D" w:rsidRPr="00B9141D" w:rsidRDefault="0090496D" w:rsidP="00256FC6">
            <w:pPr>
              <w:pStyle w:val="author"/>
              <w:jc w:val="both"/>
              <w:rPr>
                <w:sz w:val="22"/>
                <w:szCs w:val="22"/>
              </w:rPr>
            </w:pPr>
            <w:r w:rsidRPr="00B9141D">
              <w:rPr>
                <w:sz w:val="22"/>
                <w:szCs w:val="22"/>
              </w:rPr>
              <w:t>Author</w:t>
            </w:r>
          </w:p>
          <w:p w14:paraId="6E39F94A" w14:textId="77777777" w:rsidR="0090496D" w:rsidRPr="00B9141D" w:rsidRDefault="0090496D" w:rsidP="00256FC6">
            <w:pPr>
              <w:pStyle w:val="author"/>
              <w:jc w:val="both"/>
              <w:rPr>
                <w:sz w:val="22"/>
                <w:szCs w:val="22"/>
              </w:rPr>
            </w:pPr>
            <w:r w:rsidRPr="00B9141D">
              <w:rPr>
                <w:sz w:val="22"/>
                <w:szCs w:val="22"/>
              </w:rPr>
              <w:t>Response</w:t>
            </w:r>
          </w:p>
        </w:tc>
        <w:tc>
          <w:tcPr>
            <w:tcW w:w="7200" w:type="dxa"/>
          </w:tcPr>
          <w:p w14:paraId="5CD3DFC3" w14:textId="77777777" w:rsidR="002F40E2" w:rsidRDefault="00C33917" w:rsidP="00B43BC6">
            <w:pPr>
              <w:pStyle w:val="author"/>
              <w:jc w:val="both"/>
              <w:rPr>
                <w:rFonts w:cs="Arial"/>
                <w:color w:val="222222"/>
                <w:sz w:val="22"/>
                <w:szCs w:val="22"/>
              </w:rPr>
            </w:pPr>
            <w:r>
              <w:rPr>
                <w:rFonts w:cs="Arial"/>
                <w:color w:val="222222"/>
                <w:sz w:val="22"/>
                <w:szCs w:val="22"/>
              </w:rPr>
              <w:t>W</w:t>
            </w:r>
            <w:r w:rsidR="005F140D">
              <w:rPr>
                <w:rFonts w:cs="Arial"/>
                <w:color w:val="222222"/>
                <w:sz w:val="22"/>
                <w:szCs w:val="22"/>
              </w:rPr>
              <w:t xml:space="preserve">e thank the </w:t>
            </w:r>
            <w:r w:rsidR="00EA6A42">
              <w:rPr>
                <w:rFonts w:cs="Arial"/>
                <w:color w:val="222222"/>
                <w:sz w:val="22"/>
                <w:szCs w:val="22"/>
              </w:rPr>
              <w:t>reviewer</w:t>
            </w:r>
            <w:r w:rsidR="005F140D">
              <w:rPr>
                <w:rFonts w:cs="Arial"/>
                <w:color w:val="222222"/>
                <w:sz w:val="22"/>
                <w:szCs w:val="22"/>
              </w:rPr>
              <w:t xml:space="preserve"> for </w:t>
            </w:r>
            <w:r w:rsidR="005F140D" w:rsidRPr="00EA6A42">
              <w:rPr>
                <w:rFonts w:cs="Arial"/>
                <w:color w:val="222222"/>
                <w:sz w:val="22"/>
                <w:szCs w:val="22"/>
              </w:rPr>
              <w:t xml:space="preserve">this observation, and we agree that we had </w:t>
            </w:r>
            <w:r w:rsidR="002841DA">
              <w:rPr>
                <w:rFonts w:cs="Arial"/>
                <w:color w:val="222222"/>
                <w:sz w:val="22"/>
                <w:szCs w:val="22"/>
              </w:rPr>
              <w:t>devoted</w:t>
            </w:r>
            <w:r w:rsidR="005F140D" w:rsidRPr="00EA6A42">
              <w:rPr>
                <w:rFonts w:cs="Arial"/>
                <w:color w:val="222222"/>
                <w:sz w:val="22"/>
                <w:szCs w:val="22"/>
              </w:rPr>
              <w:t xml:space="preserve"> a </w:t>
            </w:r>
            <w:r w:rsidR="002841DA">
              <w:rPr>
                <w:rFonts w:cs="Arial"/>
                <w:color w:val="222222"/>
                <w:sz w:val="22"/>
                <w:szCs w:val="22"/>
              </w:rPr>
              <w:t xml:space="preserve">large </w:t>
            </w:r>
            <w:r w:rsidR="005F140D" w:rsidRPr="00EA6A42">
              <w:rPr>
                <w:rFonts w:cs="Arial"/>
                <w:color w:val="222222"/>
                <w:sz w:val="22"/>
                <w:szCs w:val="22"/>
              </w:rPr>
              <w:t xml:space="preserve">amount of our discussion </w:t>
            </w:r>
            <w:r w:rsidR="002841DA">
              <w:rPr>
                <w:rFonts w:cs="Arial"/>
                <w:color w:val="222222"/>
                <w:sz w:val="22"/>
                <w:szCs w:val="22"/>
              </w:rPr>
              <w:t>to</w:t>
            </w:r>
            <w:r w:rsidR="005F140D" w:rsidRPr="00EA6A42">
              <w:rPr>
                <w:rFonts w:cs="Arial"/>
                <w:color w:val="222222"/>
                <w:sz w:val="22"/>
                <w:szCs w:val="22"/>
              </w:rPr>
              <w:t xml:space="preserve"> what is more of a preliminary protocol.</w:t>
            </w:r>
            <w:r w:rsidR="00B725E7" w:rsidRPr="00EA6A42">
              <w:rPr>
                <w:rFonts w:cs="Arial"/>
                <w:color w:val="222222"/>
                <w:sz w:val="22"/>
                <w:szCs w:val="22"/>
              </w:rPr>
              <w:t xml:space="preserve"> </w:t>
            </w:r>
            <w:r w:rsidR="00EA6A42">
              <w:rPr>
                <w:rFonts w:cs="Arial"/>
                <w:color w:val="222222"/>
                <w:sz w:val="22"/>
                <w:szCs w:val="22"/>
              </w:rPr>
              <w:t xml:space="preserve">Accordingly, we have tried to trim some of the </w:t>
            </w:r>
            <w:r w:rsidR="006A7DD8">
              <w:rPr>
                <w:rFonts w:cs="Arial"/>
                <w:color w:val="222222"/>
                <w:sz w:val="22"/>
                <w:szCs w:val="22"/>
              </w:rPr>
              <w:t xml:space="preserve">relevant </w:t>
            </w:r>
            <w:r w:rsidR="00EA6A42">
              <w:rPr>
                <w:rFonts w:cs="Arial"/>
                <w:color w:val="222222"/>
                <w:sz w:val="22"/>
                <w:szCs w:val="22"/>
              </w:rPr>
              <w:t>content. Specifically, we have</w:t>
            </w:r>
            <w:r w:rsidR="002F40E2">
              <w:rPr>
                <w:rFonts w:cs="Arial"/>
                <w:color w:val="222222"/>
                <w:sz w:val="22"/>
                <w:szCs w:val="22"/>
              </w:rPr>
              <w:t>:</w:t>
            </w:r>
          </w:p>
          <w:p w14:paraId="1FCA5E82" w14:textId="5921114D" w:rsidR="002F40E2" w:rsidRPr="00B548DD" w:rsidRDefault="00EA6A42" w:rsidP="002F40E2">
            <w:pPr>
              <w:pStyle w:val="author"/>
              <w:numPr>
                <w:ilvl w:val="0"/>
                <w:numId w:val="8"/>
              </w:numPr>
              <w:jc w:val="both"/>
              <w:rPr>
                <w:rFonts w:cs="Arial"/>
                <w:color w:val="222222"/>
                <w:sz w:val="22"/>
                <w:szCs w:val="22"/>
              </w:rPr>
            </w:pPr>
            <w:r>
              <w:rPr>
                <w:rFonts w:cs="Arial"/>
                <w:color w:val="222222"/>
                <w:sz w:val="22"/>
                <w:szCs w:val="22"/>
              </w:rPr>
              <w:t>mo</w:t>
            </w:r>
            <w:r w:rsidRPr="00B548DD">
              <w:rPr>
                <w:rFonts w:cs="Arial"/>
                <w:color w:val="222222"/>
                <w:sz w:val="22"/>
                <w:szCs w:val="22"/>
              </w:rPr>
              <w:t>ved Fig. 2</w:t>
            </w:r>
            <w:r w:rsidR="002702AE" w:rsidRPr="00B548DD">
              <w:rPr>
                <w:rFonts w:cs="Arial"/>
                <w:color w:val="222222"/>
                <w:sz w:val="22"/>
                <w:szCs w:val="22"/>
              </w:rPr>
              <w:t>C-</w:t>
            </w:r>
            <w:r w:rsidRPr="00B548DD">
              <w:rPr>
                <w:rFonts w:cs="Arial"/>
                <w:color w:val="222222"/>
                <w:sz w:val="22"/>
                <w:szCs w:val="22"/>
              </w:rPr>
              <w:t>E out of the main text</w:t>
            </w:r>
            <w:r w:rsidR="002702AE" w:rsidRPr="00B548DD">
              <w:rPr>
                <w:rFonts w:cs="Arial"/>
                <w:color w:val="222222"/>
                <w:sz w:val="22"/>
                <w:szCs w:val="22"/>
              </w:rPr>
              <w:t xml:space="preserve"> and into the SI (now </w:t>
            </w:r>
            <w:r w:rsidR="004A2325" w:rsidRPr="00B548DD">
              <w:rPr>
                <w:rFonts w:cs="Arial"/>
                <w:color w:val="222222"/>
                <w:sz w:val="22"/>
                <w:szCs w:val="22"/>
              </w:rPr>
              <w:t>Fig. S</w:t>
            </w:r>
            <w:r w:rsidR="00B548DD" w:rsidRPr="00B548DD">
              <w:rPr>
                <w:rFonts w:cs="Arial"/>
                <w:color w:val="222222"/>
                <w:sz w:val="22"/>
                <w:szCs w:val="22"/>
              </w:rPr>
              <w:t>3</w:t>
            </w:r>
            <w:r w:rsidR="002702AE" w:rsidRPr="00B548DD">
              <w:rPr>
                <w:rFonts w:cs="Arial"/>
                <w:color w:val="222222"/>
                <w:sz w:val="22"/>
                <w:szCs w:val="22"/>
              </w:rPr>
              <w:t>)</w:t>
            </w:r>
          </w:p>
          <w:p w14:paraId="5F852149" w14:textId="68D74484" w:rsidR="002702AE" w:rsidRPr="00B548DD" w:rsidRDefault="002702AE" w:rsidP="002702AE">
            <w:pPr>
              <w:pStyle w:val="author"/>
              <w:numPr>
                <w:ilvl w:val="0"/>
                <w:numId w:val="8"/>
              </w:numPr>
              <w:jc w:val="both"/>
              <w:rPr>
                <w:rFonts w:cs="Arial"/>
                <w:color w:val="222222"/>
                <w:sz w:val="22"/>
                <w:szCs w:val="22"/>
              </w:rPr>
            </w:pPr>
            <w:r w:rsidRPr="00B548DD">
              <w:rPr>
                <w:rFonts w:cs="Arial"/>
                <w:color w:val="222222"/>
                <w:sz w:val="22"/>
                <w:szCs w:val="22"/>
              </w:rPr>
              <w:t>merged what was previously SI Figs. S8, S9, and S12 (along</w:t>
            </w:r>
            <w:r w:rsidR="00A4241C" w:rsidRPr="00B548DD">
              <w:rPr>
                <w:rFonts w:cs="Arial"/>
                <w:color w:val="222222"/>
                <w:sz w:val="22"/>
                <w:szCs w:val="22"/>
              </w:rPr>
              <w:t xml:space="preserve"> with what was previously Fig. 2</w:t>
            </w:r>
            <w:r w:rsidRPr="00B548DD">
              <w:rPr>
                <w:rFonts w:cs="Arial"/>
                <w:color w:val="222222"/>
                <w:sz w:val="22"/>
                <w:szCs w:val="22"/>
              </w:rPr>
              <w:t>C-E)</w:t>
            </w:r>
            <w:r w:rsidR="00B548DD" w:rsidRPr="00B548DD">
              <w:rPr>
                <w:rFonts w:cs="Arial"/>
                <w:color w:val="222222"/>
                <w:sz w:val="22"/>
                <w:szCs w:val="22"/>
              </w:rPr>
              <w:t xml:space="preserve"> into one SI item (now as Fig. S3</w:t>
            </w:r>
            <w:r w:rsidRPr="00B548DD">
              <w:rPr>
                <w:rFonts w:cs="Arial"/>
                <w:color w:val="222222"/>
                <w:sz w:val="22"/>
                <w:szCs w:val="22"/>
              </w:rPr>
              <w:t>)</w:t>
            </w:r>
          </w:p>
          <w:p w14:paraId="3BB3D762" w14:textId="43DC1957" w:rsidR="002F40E2" w:rsidRDefault="00EA6A42" w:rsidP="002F40E2">
            <w:pPr>
              <w:pStyle w:val="author"/>
              <w:numPr>
                <w:ilvl w:val="0"/>
                <w:numId w:val="8"/>
              </w:numPr>
              <w:jc w:val="both"/>
              <w:rPr>
                <w:rFonts w:cs="Arial"/>
                <w:color w:val="222222"/>
                <w:sz w:val="22"/>
                <w:szCs w:val="22"/>
              </w:rPr>
            </w:pPr>
            <w:r>
              <w:rPr>
                <w:rFonts w:cs="Arial"/>
                <w:color w:val="222222"/>
                <w:sz w:val="22"/>
                <w:szCs w:val="22"/>
              </w:rPr>
              <w:t xml:space="preserve">condensed the </w:t>
            </w:r>
            <w:r w:rsidR="008708BD">
              <w:rPr>
                <w:rFonts w:cs="Arial"/>
                <w:color w:val="222222"/>
                <w:sz w:val="22"/>
                <w:szCs w:val="22"/>
              </w:rPr>
              <w:t xml:space="preserve">relevant </w:t>
            </w:r>
            <w:r>
              <w:rPr>
                <w:rFonts w:cs="Arial"/>
                <w:color w:val="222222"/>
                <w:sz w:val="22"/>
                <w:szCs w:val="22"/>
              </w:rPr>
              <w:t>text in the Supplemen</w:t>
            </w:r>
            <w:r w:rsidR="002F40E2">
              <w:rPr>
                <w:rFonts w:cs="Arial"/>
                <w:color w:val="222222"/>
                <w:sz w:val="22"/>
                <w:szCs w:val="22"/>
              </w:rPr>
              <w:t xml:space="preserve">t (now SI Methods sections </w:t>
            </w:r>
            <w:r w:rsidR="002F40E2" w:rsidRPr="002F40E2">
              <w:rPr>
                <w:rFonts w:cs="Arial"/>
                <w:color w:val="222222"/>
                <w:sz w:val="22"/>
                <w:szCs w:val="22"/>
              </w:rPr>
              <w:t xml:space="preserve">3.2-a </w:t>
            </w:r>
            <w:r w:rsidR="002F40E2">
              <w:rPr>
                <w:rFonts w:cs="Arial"/>
                <w:color w:val="222222"/>
                <w:sz w:val="22"/>
                <w:szCs w:val="22"/>
              </w:rPr>
              <w:t>and</w:t>
            </w:r>
            <w:r w:rsidR="002F40E2" w:rsidRPr="002F40E2">
              <w:rPr>
                <w:rFonts w:cs="Arial"/>
                <w:color w:val="222222"/>
                <w:sz w:val="22"/>
                <w:szCs w:val="22"/>
              </w:rPr>
              <w:t xml:space="preserve"> 3.2-b</w:t>
            </w:r>
            <w:r w:rsidR="002F40E2">
              <w:rPr>
                <w:rFonts w:cs="Arial"/>
                <w:color w:val="222222"/>
                <w:sz w:val="22"/>
                <w:szCs w:val="22"/>
              </w:rPr>
              <w:t>)</w:t>
            </w:r>
            <w:r>
              <w:rPr>
                <w:rFonts w:cs="Arial"/>
                <w:color w:val="222222"/>
                <w:sz w:val="22"/>
                <w:szCs w:val="22"/>
              </w:rPr>
              <w:t xml:space="preserve"> from </w:t>
            </w:r>
            <w:r w:rsidR="002F40E2">
              <w:rPr>
                <w:rFonts w:cs="Arial"/>
                <w:color w:val="222222"/>
                <w:sz w:val="22"/>
                <w:szCs w:val="22"/>
              </w:rPr>
              <w:t>3</w:t>
            </w:r>
            <w:r>
              <w:rPr>
                <w:rFonts w:cs="Arial"/>
                <w:color w:val="222222"/>
                <w:sz w:val="22"/>
                <w:szCs w:val="22"/>
              </w:rPr>
              <w:t xml:space="preserve"> pages to </w:t>
            </w:r>
            <w:r w:rsidR="002F40E2">
              <w:rPr>
                <w:rFonts w:cs="Arial"/>
                <w:color w:val="222222"/>
                <w:sz w:val="22"/>
                <w:szCs w:val="22"/>
              </w:rPr>
              <w:t>less than 2; and</w:t>
            </w:r>
          </w:p>
          <w:p w14:paraId="30D2C2FE" w14:textId="1B94CF4C" w:rsidR="00B43BC6" w:rsidRPr="00EA6A42" w:rsidRDefault="00EA6A42" w:rsidP="002F40E2">
            <w:pPr>
              <w:pStyle w:val="author"/>
              <w:numPr>
                <w:ilvl w:val="0"/>
                <w:numId w:val="8"/>
              </w:numPr>
              <w:jc w:val="both"/>
              <w:rPr>
                <w:rFonts w:cs="Arial"/>
                <w:color w:val="222222"/>
                <w:sz w:val="22"/>
                <w:szCs w:val="22"/>
              </w:rPr>
            </w:pPr>
            <w:r>
              <w:rPr>
                <w:rFonts w:cs="Arial"/>
                <w:color w:val="222222"/>
                <w:sz w:val="22"/>
                <w:szCs w:val="22"/>
              </w:rPr>
              <w:t xml:space="preserve">completely removed </w:t>
            </w:r>
            <w:r w:rsidR="00B43BC6" w:rsidRPr="00EA6A42">
              <w:rPr>
                <w:rFonts w:cs="Arial"/>
                <w:color w:val="222222"/>
                <w:sz w:val="22"/>
                <w:szCs w:val="22"/>
              </w:rPr>
              <w:t>Figs S10, S21, S22, and S23, which we consider to be somewhat extraneous</w:t>
            </w:r>
            <w:r w:rsidR="002F40E2">
              <w:rPr>
                <w:rFonts w:cs="Arial"/>
                <w:color w:val="222222"/>
                <w:sz w:val="22"/>
                <w:szCs w:val="22"/>
              </w:rPr>
              <w:t xml:space="preserve"> (as noted before)</w:t>
            </w:r>
            <w:r w:rsidR="00B43BC6" w:rsidRPr="00EA6A42">
              <w:rPr>
                <w:rFonts w:cs="Arial"/>
                <w:color w:val="222222"/>
                <w:sz w:val="22"/>
                <w:szCs w:val="22"/>
              </w:rPr>
              <w:t>.</w:t>
            </w:r>
          </w:p>
          <w:p w14:paraId="07610A3F" w14:textId="77777777" w:rsidR="00B43BC6" w:rsidRDefault="00B43BC6" w:rsidP="00D61F0D">
            <w:pPr>
              <w:pStyle w:val="author"/>
              <w:jc w:val="both"/>
              <w:rPr>
                <w:rFonts w:cs="Arial"/>
                <w:color w:val="222222"/>
                <w:sz w:val="22"/>
                <w:szCs w:val="22"/>
              </w:rPr>
            </w:pPr>
          </w:p>
          <w:p w14:paraId="411D881E" w14:textId="5C4F7B32" w:rsidR="00D61F0D" w:rsidRPr="00EA6A42" w:rsidRDefault="009E1E48" w:rsidP="009E1E48">
            <w:pPr>
              <w:pStyle w:val="author"/>
              <w:jc w:val="both"/>
              <w:rPr>
                <w:rFonts w:cs="Arial"/>
                <w:color w:val="222222"/>
                <w:sz w:val="22"/>
                <w:szCs w:val="22"/>
              </w:rPr>
            </w:pPr>
            <w:r>
              <w:rPr>
                <w:rFonts w:cs="Arial"/>
                <w:color w:val="222222"/>
                <w:sz w:val="22"/>
                <w:szCs w:val="22"/>
              </w:rPr>
              <w:t>We note, however, that b</w:t>
            </w:r>
            <w:r w:rsidR="008708BD">
              <w:rPr>
                <w:rFonts w:cs="Arial"/>
                <w:color w:val="222222"/>
                <w:sz w:val="22"/>
                <w:szCs w:val="22"/>
              </w:rPr>
              <w:t xml:space="preserve">ecause the structural clustering scheme is not a previously established method, considerable </w:t>
            </w:r>
            <w:r w:rsidR="006A7DD8">
              <w:rPr>
                <w:rFonts w:cs="Arial"/>
                <w:color w:val="222222"/>
                <w:sz w:val="22"/>
                <w:szCs w:val="22"/>
              </w:rPr>
              <w:t>care</w:t>
            </w:r>
            <w:r w:rsidR="008708BD">
              <w:rPr>
                <w:rFonts w:cs="Arial"/>
                <w:color w:val="222222"/>
                <w:sz w:val="22"/>
                <w:szCs w:val="22"/>
              </w:rPr>
              <w:t xml:space="preserve"> </w:t>
            </w:r>
            <w:r w:rsidR="008708BD" w:rsidRPr="00892081">
              <w:rPr>
                <w:rFonts w:cs="Arial"/>
                <w:color w:val="222222"/>
                <w:sz w:val="22"/>
                <w:szCs w:val="22"/>
              </w:rPr>
              <w:t xml:space="preserve">had to be devoted to ensuring that </w:t>
            </w:r>
            <w:r w:rsidR="006A7DD8">
              <w:rPr>
                <w:rFonts w:cs="Arial"/>
                <w:color w:val="222222"/>
                <w:sz w:val="22"/>
                <w:szCs w:val="22"/>
              </w:rPr>
              <w:t>it</w:t>
            </w:r>
            <w:r w:rsidR="008708BD" w:rsidRPr="00892081">
              <w:rPr>
                <w:rFonts w:cs="Arial"/>
                <w:color w:val="222222"/>
                <w:sz w:val="22"/>
                <w:szCs w:val="22"/>
              </w:rPr>
              <w:t xml:space="preserve"> was working as intended</w:t>
            </w:r>
            <w:r w:rsidR="008708BD">
              <w:rPr>
                <w:rFonts w:cs="Arial"/>
                <w:color w:val="222222"/>
                <w:sz w:val="22"/>
                <w:szCs w:val="22"/>
              </w:rPr>
              <w:t xml:space="preserve">. </w:t>
            </w:r>
            <w:r>
              <w:rPr>
                <w:rFonts w:cs="Arial"/>
                <w:color w:val="222222"/>
                <w:sz w:val="22"/>
                <w:szCs w:val="22"/>
              </w:rPr>
              <w:t>O</w:t>
            </w:r>
            <w:r w:rsidR="00892081" w:rsidRPr="00892081">
              <w:rPr>
                <w:rFonts w:cs="Arial"/>
                <w:color w:val="222222"/>
                <w:sz w:val="22"/>
                <w:szCs w:val="22"/>
              </w:rPr>
              <w:t>ur discussion regarding the clustering schem</w:t>
            </w:r>
            <w:r w:rsidR="00EA6A42">
              <w:rPr>
                <w:rFonts w:cs="Arial"/>
                <w:color w:val="222222"/>
                <w:sz w:val="22"/>
                <w:szCs w:val="22"/>
              </w:rPr>
              <w:t>e and its importance in th</w:t>
            </w:r>
            <w:r w:rsidR="002C14FA">
              <w:rPr>
                <w:rFonts w:cs="Arial"/>
                <w:color w:val="222222"/>
                <w:sz w:val="22"/>
                <w:szCs w:val="22"/>
              </w:rPr>
              <w:t>is</w:t>
            </w:r>
            <w:r w:rsidR="00EA6A42">
              <w:rPr>
                <w:rFonts w:cs="Arial"/>
                <w:color w:val="222222"/>
                <w:sz w:val="22"/>
                <w:szCs w:val="22"/>
              </w:rPr>
              <w:t xml:space="preserve"> study </w:t>
            </w:r>
            <w:r w:rsidR="00892081" w:rsidRPr="00892081">
              <w:rPr>
                <w:rFonts w:cs="Arial"/>
                <w:color w:val="222222"/>
                <w:sz w:val="22"/>
                <w:szCs w:val="22"/>
              </w:rPr>
              <w:t>might be c</w:t>
            </w:r>
            <w:r w:rsidR="00EA4DBE">
              <w:rPr>
                <w:rFonts w:cs="Arial"/>
                <w:color w:val="222222"/>
                <w:sz w:val="22"/>
                <w:szCs w:val="22"/>
              </w:rPr>
              <w:t xml:space="preserve">larified in our response to </w:t>
            </w:r>
            <w:r w:rsidR="00EA4DBE" w:rsidRPr="00892081">
              <w:rPr>
                <w:rFonts w:cs="Arial"/>
                <w:color w:val="222222"/>
                <w:sz w:val="22"/>
                <w:szCs w:val="22"/>
              </w:rPr>
              <w:t>Comment 2-6.2</w:t>
            </w:r>
            <w:r w:rsidR="00EA4DBE">
              <w:rPr>
                <w:rFonts w:cs="Arial"/>
                <w:color w:val="222222"/>
                <w:sz w:val="22"/>
                <w:szCs w:val="22"/>
              </w:rPr>
              <w:t xml:space="preserve"> </w:t>
            </w:r>
            <w:r w:rsidR="00892081" w:rsidRPr="00892081">
              <w:rPr>
                <w:rFonts w:cs="Arial"/>
                <w:color w:val="222222"/>
                <w:sz w:val="22"/>
                <w:szCs w:val="22"/>
              </w:rPr>
              <w:t xml:space="preserve">below. </w:t>
            </w:r>
          </w:p>
        </w:tc>
      </w:tr>
    </w:tbl>
    <w:p w14:paraId="422AA7E9" w14:textId="7D5AA124" w:rsidR="00256FC6" w:rsidRPr="00C1590F" w:rsidRDefault="00256FC6" w:rsidP="00256FC6"/>
    <w:p w14:paraId="79786AD6" w14:textId="51198366" w:rsidR="00256FC6" w:rsidRPr="00C1590F" w:rsidRDefault="00256FC6" w:rsidP="00256FC6">
      <w:pPr>
        <w:pStyle w:val="Heading3"/>
      </w:pPr>
      <w:r w:rsidRPr="00C1590F">
        <w:t>-- Ref</w:t>
      </w:r>
      <w:r>
        <w:t xml:space="preserve"> 2</w:t>
      </w:r>
      <w:r w:rsidRPr="00C1590F">
        <w:t>.</w:t>
      </w:r>
      <w:r>
        <w:t>6-2</w:t>
      </w:r>
      <w:r w:rsidRPr="00C1590F">
        <w:t xml:space="preserve"> – </w:t>
      </w:r>
      <w:r>
        <w:t xml:space="preserve">Clarifications Regarding ANMs &amp; ACT Vectors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256FC6" w:rsidRPr="00C1590F" w14:paraId="730E0E0D" w14:textId="77777777" w:rsidTr="00256FC6">
        <w:tc>
          <w:tcPr>
            <w:tcW w:w="1728" w:type="dxa"/>
          </w:tcPr>
          <w:p w14:paraId="1BA781BD" w14:textId="77777777" w:rsidR="00256FC6" w:rsidRPr="00C1590F" w:rsidRDefault="00256FC6" w:rsidP="00256FC6">
            <w:pPr>
              <w:pStyle w:val="reviewer"/>
              <w:jc w:val="both"/>
            </w:pPr>
            <w:r w:rsidRPr="00C1590F">
              <w:t>Reviewer</w:t>
            </w:r>
          </w:p>
          <w:p w14:paraId="0428FC04" w14:textId="77777777" w:rsidR="00256FC6" w:rsidRPr="00C1590F" w:rsidRDefault="00256FC6" w:rsidP="00256FC6">
            <w:pPr>
              <w:pStyle w:val="reviewer"/>
              <w:jc w:val="both"/>
            </w:pPr>
            <w:r w:rsidRPr="00C1590F">
              <w:t>Comment</w:t>
            </w:r>
          </w:p>
        </w:tc>
        <w:tc>
          <w:tcPr>
            <w:tcW w:w="7200" w:type="dxa"/>
          </w:tcPr>
          <w:p w14:paraId="3358DC74" w14:textId="75D55AB0" w:rsidR="00256FC6" w:rsidRPr="00C1590F" w:rsidRDefault="00D7547B" w:rsidP="00D7547B">
            <w:pPr>
              <w:rPr>
                <w:rFonts w:ascii="Courier New" w:hAnsi="Courier New" w:cs="Courier New"/>
                <w:sz w:val="20"/>
                <w:szCs w:val="20"/>
              </w:rPr>
            </w:pPr>
            <w:r>
              <w:rPr>
                <w:rFonts w:ascii="Courier New" w:hAnsi="Courier New" w:cs="Courier New"/>
                <w:sz w:val="20"/>
                <w:szCs w:val="20"/>
              </w:rPr>
              <w:t>…</w:t>
            </w:r>
            <w:r w:rsidRPr="00D7547B">
              <w:rPr>
                <w:rFonts w:ascii="Courier New" w:hAnsi="Courier New" w:cs="Courier New"/>
                <w:sz w:val="20"/>
                <w:szCs w:val="20"/>
              </w:rPr>
              <w:t>The purpose of all this [structural clustering scheme], it seems, is to apply the interior and surface critical methods using these motions instead of the ANM modes. However, how this in done is barely described. How is a set of representative cluster members turned into the equivalent of NMA eigenvectors? Both the surface- and interior-critical method use 10 eigenvectors, but it appears that there are always fewer than 10 cluster members for all proteins investigated, with the reader left to speculate on how this discrepancy is resolved. The results of this extended application only appear in the main text as a pointer to supplementary figure S17.</w:t>
            </w:r>
          </w:p>
        </w:tc>
      </w:tr>
      <w:tr w:rsidR="00256FC6" w:rsidRPr="00C1590F" w14:paraId="5078B9D0" w14:textId="77777777" w:rsidTr="00256FC6">
        <w:tc>
          <w:tcPr>
            <w:tcW w:w="1728" w:type="dxa"/>
          </w:tcPr>
          <w:p w14:paraId="7D3E0699" w14:textId="77777777" w:rsidR="00256FC6" w:rsidRPr="00B9141D" w:rsidRDefault="00256FC6" w:rsidP="00256FC6">
            <w:pPr>
              <w:pStyle w:val="author"/>
              <w:jc w:val="both"/>
              <w:rPr>
                <w:sz w:val="22"/>
                <w:szCs w:val="22"/>
              </w:rPr>
            </w:pPr>
            <w:r w:rsidRPr="00B9141D">
              <w:rPr>
                <w:sz w:val="22"/>
                <w:szCs w:val="22"/>
              </w:rPr>
              <w:t>Author</w:t>
            </w:r>
          </w:p>
          <w:p w14:paraId="4F9021C7" w14:textId="77777777" w:rsidR="00256FC6" w:rsidRPr="00B9141D" w:rsidRDefault="00256FC6" w:rsidP="00256FC6">
            <w:pPr>
              <w:pStyle w:val="author"/>
              <w:jc w:val="both"/>
              <w:rPr>
                <w:sz w:val="22"/>
                <w:szCs w:val="22"/>
              </w:rPr>
            </w:pPr>
            <w:r w:rsidRPr="00B9141D">
              <w:rPr>
                <w:sz w:val="22"/>
                <w:szCs w:val="22"/>
              </w:rPr>
              <w:t>Response</w:t>
            </w:r>
          </w:p>
        </w:tc>
        <w:tc>
          <w:tcPr>
            <w:tcW w:w="7200" w:type="dxa"/>
          </w:tcPr>
          <w:p w14:paraId="6DFD8BBD" w14:textId="14119970" w:rsidR="00D7547B" w:rsidRPr="00D7547B" w:rsidRDefault="00D7547B" w:rsidP="00D7547B">
            <w:pPr>
              <w:shd w:val="clear" w:color="auto" w:fill="FFFFFF"/>
              <w:rPr>
                <w:rFonts w:ascii="Arial" w:eastAsia="Times New Roman" w:hAnsi="Arial" w:cs="Arial"/>
                <w:color w:val="222222"/>
                <w:sz w:val="22"/>
                <w:szCs w:val="22"/>
              </w:rPr>
            </w:pPr>
            <w:r w:rsidRPr="00D7547B">
              <w:rPr>
                <w:rFonts w:ascii="Arial" w:eastAsia="Times New Roman" w:hAnsi="Arial" w:cs="Arial"/>
                <w:color w:val="222222"/>
                <w:sz w:val="22"/>
                <w:szCs w:val="22"/>
              </w:rPr>
              <w:t xml:space="preserve">We thank to reviewer for highlighting these ambiguities. </w:t>
            </w:r>
            <w:r w:rsidR="002C14FA">
              <w:rPr>
                <w:rFonts w:ascii="Arial" w:eastAsia="Times New Roman" w:hAnsi="Arial" w:cs="Arial"/>
                <w:color w:val="222222"/>
                <w:sz w:val="22"/>
                <w:szCs w:val="22"/>
              </w:rPr>
              <w:t>In our response here</w:t>
            </w:r>
            <w:r w:rsidRPr="00D7547B">
              <w:rPr>
                <w:rFonts w:ascii="Arial" w:eastAsia="Times New Roman" w:hAnsi="Arial" w:cs="Arial"/>
                <w:color w:val="222222"/>
                <w:sz w:val="22"/>
                <w:szCs w:val="22"/>
              </w:rPr>
              <w:t xml:space="preserve">, we try to clarify these </w:t>
            </w:r>
            <w:r w:rsidR="002C14FA">
              <w:rPr>
                <w:rFonts w:ascii="Arial" w:eastAsia="Times New Roman" w:hAnsi="Arial" w:cs="Arial"/>
                <w:color w:val="222222"/>
                <w:sz w:val="22"/>
                <w:szCs w:val="22"/>
              </w:rPr>
              <w:t>protocols</w:t>
            </w:r>
            <w:r w:rsidRPr="00D7547B">
              <w:rPr>
                <w:rFonts w:ascii="Arial" w:eastAsia="Times New Roman" w:hAnsi="Arial" w:cs="Arial"/>
                <w:color w:val="222222"/>
                <w:sz w:val="22"/>
                <w:szCs w:val="22"/>
              </w:rPr>
              <w:t xml:space="preserve"> by first providing the motivating factors behind the clustering scheme. We then go on to speak more specifically about what we did with the output from th</w:t>
            </w:r>
            <w:r w:rsidR="00A17582">
              <w:rPr>
                <w:rFonts w:ascii="Arial" w:eastAsia="Times New Roman" w:hAnsi="Arial" w:cs="Arial"/>
                <w:color w:val="222222"/>
                <w:sz w:val="22"/>
                <w:szCs w:val="22"/>
              </w:rPr>
              <w:t>is</w:t>
            </w:r>
            <w:r w:rsidRPr="00D7547B">
              <w:rPr>
                <w:rFonts w:ascii="Arial" w:eastAsia="Times New Roman" w:hAnsi="Arial" w:cs="Arial"/>
                <w:color w:val="222222"/>
                <w:sz w:val="22"/>
                <w:szCs w:val="22"/>
              </w:rPr>
              <w:t xml:space="preserve"> scheme.</w:t>
            </w:r>
          </w:p>
          <w:p w14:paraId="32E6C50D" w14:textId="77777777" w:rsidR="00D7547B" w:rsidRPr="00D7547B" w:rsidRDefault="00D7547B" w:rsidP="00D7547B">
            <w:pPr>
              <w:shd w:val="clear" w:color="auto" w:fill="FFFFFF"/>
              <w:ind w:firstLine="720"/>
              <w:rPr>
                <w:rFonts w:ascii="Arial" w:eastAsia="Times New Roman" w:hAnsi="Arial" w:cs="Arial"/>
                <w:color w:val="222222"/>
                <w:sz w:val="22"/>
                <w:szCs w:val="22"/>
              </w:rPr>
            </w:pPr>
          </w:p>
          <w:p w14:paraId="5A225312" w14:textId="0347589E" w:rsidR="00D7547B" w:rsidRPr="00D7547B" w:rsidRDefault="00D7547B" w:rsidP="00D7547B">
            <w:pPr>
              <w:shd w:val="clear" w:color="auto" w:fill="FFFFFF"/>
              <w:rPr>
                <w:rFonts w:ascii="Arial" w:eastAsia="Times New Roman" w:hAnsi="Arial" w:cs="Arial"/>
                <w:color w:val="222222"/>
                <w:sz w:val="22"/>
                <w:szCs w:val="22"/>
              </w:rPr>
            </w:pPr>
            <w:r w:rsidRPr="00D7547B">
              <w:rPr>
                <w:rFonts w:ascii="Arial" w:eastAsia="Times New Roman" w:hAnsi="Arial" w:cs="Arial"/>
                <w:color w:val="222222"/>
                <w:sz w:val="22"/>
                <w:szCs w:val="22"/>
              </w:rPr>
              <w:t>The purpose of developing and implementing the clustering scheme is three-fold:</w:t>
            </w:r>
          </w:p>
          <w:p w14:paraId="71D9C116" w14:textId="24072706" w:rsidR="00D7547B" w:rsidRPr="00D7547B" w:rsidRDefault="00D7547B" w:rsidP="00D7547B">
            <w:pPr>
              <w:pStyle w:val="ListParagraph"/>
              <w:numPr>
                <w:ilvl w:val="0"/>
                <w:numId w:val="6"/>
              </w:numPr>
              <w:shd w:val="clear" w:color="auto" w:fill="FFFFFF"/>
              <w:spacing w:after="0" w:line="240" w:lineRule="auto"/>
              <w:rPr>
                <w:rFonts w:ascii="Arial" w:eastAsia="Times New Roman" w:hAnsi="Arial" w:cs="Arial"/>
                <w:color w:val="222222"/>
              </w:rPr>
            </w:pPr>
            <w:r w:rsidRPr="00D7547B">
              <w:rPr>
                <w:rFonts w:ascii="Arial" w:eastAsia="Times New Roman" w:hAnsi="Arial" w:cs="Arial"/>
                <w:color w:val="222222"/>
              </w:rPr>
              <w:t>We are primarily interested in those structures that exhibit distinct conformations, as we are focusing on cases for which pronounced global conformational change play essential role</w:t>
            </w:r>
            <w:r w:rsidR="00A17582">
              <w:rPr>
                <w:rFonts w:ascii="Arial" w:eastAsia="Times New Roman" w:hAnsi="Arial" w:cs="Arial"/>
                <w:color w:val="222222"/>
              </w:rPr>
              <w:t>s</w:t>
            </w:r>
            <w:r w:rsidRPr="00D7547B">
              <w:rPr>
                <w:rFonts w:ascii="Arial" w:eastAsia="Times New Roman" w:hAnsi="Arial" w:cs="Arial"/>
                <w:color w:val="222222"/>
              </w:rPr>
              <w:t xml:space="preserve"> in allosteric mechanisms.</w:t>
            </w:r>
          </w:p>
          <w:p w14:paraId="49D16A3E" w14:textId="079BDCB3" w:rsidR="00D7547B" w:rsidRPr="00D7547B" w:rsidRDefault="00D7547B" w:rsidP="00D7547B">
            <w:pPr>
              <w:pStyle w:val="ListParagraph"/>
              <w:numPr>
                <w:ilvl w:val="0"/>
                <w:numId w:val="6"/>
              </w:numPr>
              <w:shd w:val="clear" w:color="auto" w:fill="FFFFFF"/>
              <w:spacing w:after="0" w:line="240" w:lineRule="auto"/>
              <w:rPr>
                <w:rFonts w:ascii="Arial" w:eastAsia="Times New Roman" w:hAnsi="Arial" w:cs="Arial"/>
                <w:color w:val="222222"/>
              </w:rPr>
            </w:pPr>
            <w:r w:rsidRPr="00D7547B">
              <w:rPr>
                <w:rFonts w:ascii="Arial" w:eastAsia="Times New Roman" w:hAnsi="Arial" w:cs="Arial"/>
                <w:color w:val="222222"/>
              </w:rPr>
              <w:t xml:space="preserve">The clustering scheme ultimately enables us to perform an important control. Namely, it enables us to address the question: are the results robust to alternative methods of inferring information about conformational change? ANMs provide only one means of defining the vectors for </w:t>
            </w:r>
            <w:r w:rsidR="007C5970">
              <w:rPr>
                <w:rFonts w:ascii="Arial" w:eastAsia="Times New Roman" w:hAnsi="Arial" w:cs="Arial"/>
                <w:color w:val="222222"/>
              </w:rPr>
              <w:t>modeled</w:t>
            </w:r>
            <w:r w:rsidRPr="00D7547B">
              <w:rPr>
                <w:rFonts w:ascii="Arial" w:eastAsia="Times New Roman" w:hAnsi="Arial" w:cs="Arial"/>
                <w:color w:val="222222"/>
              </w:rPr>
              <w:t xml:space="preserve"> conformational change. However, another approach is to use the displacement vectors from the crystal structures of alternative conformations. This alternative constitutes a method that we term “absolute conformational change” (ACT).</w:t>
            </w:r>
          </w:p>
          <w:p w14:paraId="01E5B31B" w14:textId="04F7D2DE" w:rsidR="00D7547B" w:rsidRPr="00D7547B" w:rsidRDefault="00D7547B" w:rsidP="00D7547B">
            <w:pPr>
              <w:pStyle w:val="ListParagraph"/>
              <w:numPr>
                <w:ilvl w:val="0"/>
                <w:numId w:val="6"/>
              </w:numPr>
              <w:shd w:val="clear" w:color="auto" w:fill="FFFFFF"/>
              <w:spacing w:after="0" w:line="240" w:lineRule="auto"/>
              <w:rPr>
                <w:rFonts w:ascii="Arial" w:eastAsia="Times New Roman" w:hAnsi="Arial" w:cs="Arial"/>
                <w:color w:val="222222"/>
              </w:rPr>
            </w:pPr>
            <w:r w:rsidRPr="00D7547B">
              <w:rPr>
                <w:rFonts w:ascii="Arial" w:eastAsia="Times New Roman" w:hAnsi="Arial" w:cs="Arial"/>
                <w:color w:val="222222"/>
              </w:rPr>
              <w:t>Because ANMs constitute the bulk of our analysis (see below), we must be confident that the structures being analyzed with ANMs are suitable for normal modes analysis: if a given protein is not believed to undergo significant conformational change, it may not be appropriate to apply ANMs, as the ANMs can incorrectly predict large-scale conformational change where no such ch</w:t>
            </w:r>
            <w:r w:rsidR="002C14FA">
              <w:rPr>
                <w:rFonts w:ascii="Arial" w:eastAsia="Times New Roman" w:hAnsi="Arial" w:cs="Arial"/>
                <w:color w:val="222222"/>
              </w:rPr>
              <w:t xml:space="preserve">ange is </w:t>
            </w:r>
            <w:r w:rsidR="007C5970">
              <w:rPr>
                <w:rFonts w:ascii="Arial" w:eastAsia="Times New Roman" w:hAnsi="Arial" w:cs="Arial"/>
                <w:color w:val="222222"/>
              </w:rPr>
              <w:t>likely</w:t>
            </w:r>
            <w:r w:rsidR="002C14FA">
              <w:rPr>
                <w:rFonts w:ascii="Arial" w:eastAsia="Times New Roman" w:hAnsi="Arial" w:cs="Arial"/>
                <w:color w:val="222222"/>
              </w:rPr>
              <w:t xml:space="preserve"> to occur.</w:t>
            </w:r>
          </w:p>
          <w:p w14:paraId="6414B978" w14:textId="77777777" w:rsidR="00D7547B" w:rsidRPr="00D7547B" w:rsidRDefault="00D7547B" w:rsidP="00D7547B">
            <w:pPr>
              <w:shd w:val="clear" w:color="auto" w:fill="FFFFFF"/>
              <w:rPr>
                <w:rFonts w:ascii="Arial" w:eastAsia="Times New Roman" w:hAnsi="Arial" w:cs="Arial"/>
                <w:color w:val="222222"/>
                <w:sz w:val="22"/>
                <w:szCs w:val="22"/>
              </w:rPr>
            </w:pPr>
          </w:p>
          <w:p w14:paraId="0A1C2650" w14:textId="26E3FB0E" w:rsidR="00D7547B" w:rsidRPr="00D7547B" w:rsidRDefault="00D7547B" w:rsidP="00D7547B">
            <w:pPr>
              <w:shd w:val="clear" w:color="auto" w:fill="FFFFFF"/>
              <w:rPr>
                <w:rFonts w:ascii="Arial" w:eastAsia="Times New Roman" w:hAnsi="Arial" w:cs="Arial"/>
                <w:color w:val="222222"/>
                <w:sz w:val="22"/>
                <w:szCs w:val="22"/>
              </w:rPr>
            </w:pPr>
            <w:r w:rsidRPr="00D7547B">
              <w:rPr>
                <w:rFonts w:ascii="Arial" w:eastAsia="Times New Roman" w:hAnsi="Arial" w:cs="Arial"/>
                <w:color w:val="222222"/>
                <w:sz w:val="22"/>
                <w:szCs w:val="22"/>
              </w:rPr>
              <w:t xml:space="preserve">To describe what we do with the output from our structural clustering scheme, we discuss a hypothetical example case consisting of a </w:t>
            </w:r>
            <w:r w:rsidRPr="00D7547B">
              <w:rPr>
                <w:rFonts w:ascii="Arial" w:eastAsia="Times New Roman" w:hAnsi="Arial" w:cs="Arial"/>
                <w:color w:val="222222"/>
                <w:sz w:val="22"/>
                <w:szCs w:val="22"/>
              </w:rPr>
              <w:lastRenderedPageBreak/>
              <w:t xml:space="preserve">multiple structure alignment of 8 structures (this discussion has now been added in </w:t>
            </w:r>
            <w:r w:rsidR="00B548DD" w:rsidRPr="00B548DD">
              <w:rPr>
                <w:rFonts w:ascii="Arial" w:eastAsia="Times New Roman" w:hAnsi="Arial" w:cs="Arial"/>
                <w:color w:val="222222"/>
                <w:sz w:val="22"/>
                <w:szCs w:val="22"/>
              </w:rPr>
              <w:t>3.2-c-i</w:t>
            </w:r>
            <w:r w:rsidRPr="00D7547B">
              <w:rPr>
                <w:rFonts w:ascii="Arial" w:eastAsia="Times New Roman" w:hAnsi="Arial" w:cs="Arial"/>
                <w:color w:val="222222"/>
                <w:sz w:val="22"/>
                <w:szCs w:val="22"/>
              </w:rPr>
              <w:t xml:space="preserve">). Suppose that these 8 structures may be grouped into 2 distinct clusters by our scheme (4 structures in </w:t>
            </w:r>
            <w:r w:rsidRPr="00D7547B">
              <w:rPr>
                <w:rFonts w:ascii="Arial" w:eastAsia="Times New Roman" w:hAnsi="Arial" w:cs="Arial"/>
                <w:i/>
                <w:color w:val="222222"/>
                <w:sz w:val="22"/>
                <w:szCs w:val="22"/>
              </w:rPr>
              <w:t>cluster A</w:t>
            </w:r>
            <w:r w:rsidRPr="00D7547B">
              <w:rPr>
                <w:rFonts w:ascii="Arial" w:eastAsia="Times New Roman" w:hAnsi="Arial" w:cs="Arial"/>
                <w:color w:val="222222"/>
                <w:sz w:val="22"/>
                <w:szCs w:val="22"/>
              </w:rPr>
              <w:t xml:space="preserve">, and 4 structures in </w:t>
            </w:r>
            <w:r w:rsidRPr="00D7547B">
              <w:rPr>
                <w:rFonts w:ascii="Arial" w:eastAsia="Times New Roman" w:hAnsi="Arial" w:cs="Arial"/>
                <w:i/>
                <w:color w:val="222222"/>
                <w:sz w:val="22"/>
                <w:szCs w:val="22"/>
              </w:rPr>
              <w:t>cluster B</w:t>
            </w:r>
            <w:r w:rsidRPr="00D7547B">
              <w:rPr>
                <w:rFonts w:ascii="Arial" w:eastAsia="Times New Roman" w:hAnsi="Arial" w:cs="Arial"/>
                <w:color w:val="222222"/>
                <w:sz w:val="22"/>
                <w:szCs w:val="22"/>
              </w:rPr>
              <w:t xml:space="preserve">, for instance). </w:t>
            </w:r>
            <w:r w:rsidR="00B548DD">
              <w:rPr>
                <w:rFonts w:ascii="Arial" w:eastAsia="Times New Roman" w:hAnsi="Arial" w:cs="Arial"/>
                <w:color w:val="222222"/>
                <w:sz w:val="22"/>
                <w:szCs w:val="22"/>
              </w:rPr>
              <w:t>A</w:t>
            </w:r>
            <w:r w:rsidRPr="00D7547B">
              <w:rPr>
                <w:rFonts w:ascii="Arial" w:eastAsia="Times New Roman" w:hAnsi="Arial" w:cs="Arial"/>
                <w:color w:val="222222"/>
                <w:sz w:val="22"/>
                <w:szCs w:val="22"/>
              </w:rPr>
              <w:t xml:space="preserve"> representative structure is taken from each of these two clusters (</w:t>
            </w:r>
            <w:r w:rsidRPr="00D7547B">
              <w:rPr>
                <w:rFonts w:ascii="Arial" w:eastAsia="Times New Roman" w:hAnsi="Arial" w:cs="Arial"/>
                <w:i/>
                <w:color w:val="222222"/>
                <w:sz w:val="22"/>
                <w:szCs w:val="22"/>
              </w:rPr>
              <w:t>structure A</w:t>
            </w:r>
            <w:r w:rsidRPr="00D7547B">
              <w:rPr>
                <w:rFonts w:ascii="Arial" w:eastAsia="Times New Roman" w:hAnsi="Arial" w:cs="Arial"/>
                <w:color w:val="222222"/>
                <w:sz w:val="22"/>
                <w:szCs w:val="22"/>
              </w:rPr>
              <w:t xml:space="preserve"> and </w:t>
            </w:r>
            <w:r w:rsidRPr="00D7547B">
              <w:rPr>
                <w:rFonts w:ascii="Arial" w:eastAsia="Times New Roman" w:hAnsi="Arial" w:cs="Arial"/>
                <w:i/>
                <w:color w:val="222222"/>
                <w:sz w:val="22"/>
                <w:szCs w:val="22"/>
              </w:rPr>
              <w:t>structure B</w:t>
            </w:r>
            <w:r w:rsidRPr="00D7547B">
              <w:rPr>
                <w:rFonts w:ascii="Arial" w:eastAsia="Times New Roman" w:hAnsi="Arial" w:cs="Arial"/>
                <w:color w:val="222222"/>
                <w:sz w:val="22"/>
                <w:szCs w:val="22"/>
              </w:rPr>
              <w:t xml:space="preserve">). These two representatives are taken to represent the alternative conformations for the protein. Separately, ANMs are then applied to </w:t>
            </w:r>
            <w:r w:rsidRPr="00D7547B">
              <w:rPr>
                <w:rFonts w:ascii="Arial" w:eastAsia="Times New Roman" w:hAnsi="Arial" w:cs="Arial"/>
                <w:i/>
                <w:color w:val="222222"/>
                <w:sz w:val="22"/>
                <w:szCs w:val="22"/>
              </w:rPr>
              <w:t>structure A</w:t>
            </w:r>
            <w:r w:rsidRPr="00D7547B">
              <w:rPr>
                <w:rFonts w:ascii="Arial" w:eastAsia="Times New Roman" w:hAnsi="Arial" w:cs="Arial"/>
                <w:color w:val="222222"/>
                <w:sz w:val="22"/>
                <w:szCs w:val="22"/>
              </w:rPr>
              <w:t xml:space="preserve"> and also to </w:t>
            </w:r>
            <w:r w:rsidRPr="00D7547B">
              <w:rPr>
                <w:rFonts w:ascii="Arial" w:eastAsia="Times New Roman" w:hAnsi="Arial" w:cs="Arial"/>
                <w:i/>
                <w:color w:val="222222"/>
                <w:sz w:val="22"/>
                <w:szCs w:val="22"/>
              </w:rPr>
              <w:t>structure B</w:t>
            </w:r>
            <w:r w:rsidRPr="00D7547B">
              <w:rPr>
                <w:rFonts w:ascii="Arial" w:eastAsia="Times New Roman" w:hAnsi="Arial" w:cs="Arial"/>
                <w:color w:val="222222"/>
                <w:sz w:val="22"/>
                <w:szCs w:val="22"/>
              </w:rPr>
              <w:t xml:space="preserve">. By now, we have 10 modes to describe the motion for </w:t>
            </w:r>
            <w:r w:rsidRPr="00D7547B">
              <w:rPr>
                <w:rFonts w:ascii="Arial" w:eastAsia="Times New Roman" w:hAnsi="Arial" w:cs="Arial"/>
                <w:i/>
                <w:color w:val="222222"/>
                <w:sz w:val="22"/>
                <w:szCs w:val="22"/>
              </w:rPr>
              <w:t>structure A</w:t>
            </w:r>
            <w:r w:rsidRPr="00D7547B">
              <w:rPr>
                <w:rFonts w:ascii="Arial" w:eastAsia="Times New Roman" w:hAnsi="Arial" w:cs="Arial"/>
                <w:color w:val="222222"/>
                <w:sz w:val="22"/>
                <w:szCs w:val="22"/>
              </w:rPr>
              <w:t xml:space="preserve">, and 10 modes to describe the motion for </w:t>
            </w:r>
            <w:r w:rsidRPr="00D7547B">
              <w:rPr>
                <w:rFonts w:ascii="Arial" w:eastAsia="Times New Roman" w:hAnsi="Arial" w:cs="Arial"/>
                <w:i/>
                <w:color w:val="222222"/>
                <w:sz w:val="22"/>
                <w:szCs w:val="22"/>
              </w:rPr>
              <w:t>structure B</w:t>
            </w:r>
            <w:r w:rsidRPr="00D7547B">
              <w:rPr>
                <w:rFonts w:ascii="Arial" w:eastAsia="Times New Roman" w:hAnsi="Arial" w:cs="Arial"/>
                <w:color w:val="222222"/>
                <w:sz w:val="22"/>
                <w:szCs w:val="22"/>
              </w:rPr>
              <w:t>. Given that ANMs are straightforward to apply to large numbers of multi-chain proteins, they constitute the bulk of our analysis for identifying surface- and interior-critical residues. Once the surface- and interior-critical residues are identified using the ANMs, downstream analysis (such as measuring conservation) is performed.</w:t>
            </w:r>
          </w:p>
          <w:p w14:paraId="676CB56B" w14:textId="47B2AFA1" w:rsidR="00256FC6" w:rsidRPr="00D7547B" w:rsidRDefault="00D7547B" w:rsidP="00D7547B">
            <w:pPr>
              <w:shd w:val="clear" w:color="auto" w:fill="FFFFFF"/>
              <w:rPr>
                <w:rFonts w:eastAsia="Times New Roman"/>
                <w:color w:val="222222"/>
                <w:sz w:val="22"/>
                <w:szCs w:val="22"/>
              </w:rPr>
            </w:pPr>
            <w:r w:rsidRPr="00D7547B">
              <w:rPr>
                <w:rFonts w:ascii="Arial" w:eastAsia="Times New Roman" w:hAnsi="Arial" w:cs="Arial"/>
                <w:color w:val="222222"/>
                <w:sz w:val="22"/>
                <w:szCs w:val="22"/>
              </w:rPr>
              <w:tab/>
              <w:t>As mentioned, the so-called “ACT” analysis supplies us with the ability to evaluate our results when using an alternative approach to study conformational change. Staying with our example scenario, we still have the two distinct conformations for a protein in the form of crystal structures (</w:t>
            </w:r>
            <w:r w:rsidRPr="00D7547B">
              <w:rPr>
                <w:rFonts w:ascii="Arial" w:eastAsia="Times New Roman" w:hAnsi="Arial" w:cs="Arial"/>
                <w:i/>
                <w:color w:val="222222"/>
                <w:sz w:val="22"/>
                <w:szCs w:val="22"/>
              </w:rPr>
              <w:t>structure A</w:t>
            </w:r>
            <w:r w:rsidRPr="00D7547B">
              <w:rPr>
                <w:rFonts w:ascii="Arial" w:eastAsia="Times New Roman" w:hAnsi="Arial" w:cs="Arial"/>
                <w:color w:val="222222"/>
                <w:sz w:val="22"/>
                <w:szCs w:val="22"/>
              </w:rPr>
              <w:t xml:space="preserve"> and also to </w:t>
            </w:r>
            <w:r w:rsidRPr="00D7547B">
              <w:rPr>
                <w:rFonts w:ascii="Arial" w:eastAsia="Times New Roman" w:hAnsi="Arial" w:cs="Arial"/>
                <w:i/>
                <w:color w:val="222222"/>
                <w:sz w:val="22"/>
                <w:szCs w:val="22"/>
              </w:rPr>
              <w:t>structure B</w:t>
            </w:r>
            <w:r w:rsidRPr="00D7547B">
              <w:rPr>
                <w:rFonts w:ascii="Arial" w:eastAsia="Times New Roman" w:hAnsi="Arial" w:cs="Arial"/>
                <w:color w:val="222222"/>
                <w:sz w:val="22"/>
                <w:szCs w:val="22"/>
              </w:rPr>
              <w:t xml:space="preserve">). Instead of using ANMs, we can try to infer information about the protein’s global conformational shifts by assigning a displacement vector to each residue (for instance, residue Y140), where the displacement vector is simply defined by the two corresponding residues in the different structures within the structure alignment (i.e., Y140 within </w:t>
            </w:r>
            <w:r w:rsidRPr="00D7547B">
              <w:rPr>
                <w:rFonts w:ascii="Arial" w:eastAsia="Times New Roman" w:hAnsi="Arial" w:cs="Arial"/>
                <w:i/>
                <w:color w:val="222222"/>
                <w:sz w:val="22"/>
                <w:szCs w:val="22"/>
              </w:rPr>
              <w:t>structure A</w:t>
            </w:r>
            <w:r w:rsidRPr="00D7547B">
              <w:rPr>
                <w:rFonts w:ascii="Arial" w:eastAsia="Times New Roman" w:hAnsi="Arial" w:cs="Arial"/>
                <w:color w:val="222222"/>
                <w:sz w:val="22"/>
                <w:szCs w:val="22"/>
              </w:rPr>
              <w:t xml:space="preserve"> and Y140 within </w:t>
            </w:r>
            <w:r w:rsidRPr="00D7547B">
              <w:rPr>
                <w:rFonts w:ascii="Arial" w:eastAsia="Times New Roman" w:hAnsi="Arial" w:cs="Arial"/>
                <w:i/>
                <w:color w:val="222222"/>
                <w:sz w:val="22"/>
                <w:szCs w:val="22"/>
              </w:rPr>
              <w:t>structure B</w:t>
            </w:r>
            <w:r w:rsidRPr="00D7547B">
              <w:rPr>
                <w:rFonts w:ascii="Arial" w:eastAsia="Times New Roman" w:hAnsi="Arial" w:cs="Arial"/>
                <w:color w:val="222222"/>
                <w:sz w:val="22"/>
                <w:szCs w:val="22"/>
              </w:rPr>
              <w:t xml:space="preserve">). </w:t>
            </w:r>
            <w:r w:rsidRPr="00D7547B">
              <w:rPr>
                <w:rFonts w:ascii="Arial" w:hAnsi="Arial" w:cs="Arial"/>
                <w:sz w:val="22"/>
                <w:szCs w:val="22"/>
              </w:rPr>
              <w:t>If each of the two structures represents a sequence-identical protein consisting of 200 residues, then 200 ACT vectors are drawn in order to represent the conformational change in transitioning from one conformation to the other. These 200 ACT vectors for the protein may then be used to identify surface- and interior-critical residues, and downstream analysis on these residues is then performed.</w:t>
            </w:r>
          </w:p>
        </w:tc>
      </w:tr>
      <w:tr w:rsidR="00256FC6" w:rsidRPr="00C1590F" w14:paraId="61C85E23" w14:textId="77777777" w:rsidTr="00256FC6">
        <w:tc>
          <w:tcPr>
            <w:tcW w:w="1728" w:type="dxa"/>
          </w:tcPr>
          <w:p w14:paraId="427D48A3" w14:textId="77777777" w:rsidR="00256FC6" w:rsidRPr="00C1590F" w:rsidRDefault="00256FC6" w:rsidP="00256FC6">
            <w:pPr>
              <w:pStyle w:val="new-text"/>
              <w:jc w:val="both"/>
            </w:pPr>
            <w:r w:rsidRPr="00C1590F">
              <w:lastRenderedPageBreak/>
              <w:t>Excerpt From</w:t>
            </w:r>
          </w:p>
          <w:p w14:paraId="5B587A84" w14:textId="77777777" w:rsidR="00256FC6" w:rsidRPr="00C1590F" w:rsidRDefault="00256FC6" w:rsidP="00256FC6">
            <w:pPr>
              <w:pStyle w:val="new-text"/>
              <w:jc w:val="both"/>
            </w:pPr>
            <w:r w:rsidRPr="00C1590F">
              <w:t>Revised Manuscript</w:t>
            </w:r>
          </w:p>
        </w:tc>
        <w:tc>
          <w:tcPr>
            <w:tcW w:w="7200" w:type="dxa"/>
          </w:tcPr>
          <w:p w14:paraId="6019651A" w14:textId="77777777" w:rsidR="007D009E" w:rsidRPr="007D009E" w:rsidRDefault="007D009E" w:rsidP="007D009E">
            <w:pPr>
              <w:shd w:val="clear" w:color="auto" w:fill="FFFFFF"/>
              <w:rPr>
                <w:sz w:val="20"/>
                <w:szCs w:val="20"/>
              </w:rPr>
            </w:pPr>
            <w:r w:rsidRPr="007D009E">
              <w:rPr>
                <w:sz w:val="20"/>
                <w:szCs w:val="20"/>
              </w:rPr>
              <w:t>Unless otherwise specified, we use normal modes analysis to model conformational change throughout this study. However, one potential concern with this approach is that normal modes may not faithfully represent plausible conformational changes. Thus, in order to determine whether or not the results are robust to different means of inferring motions (especially those results relevant to the conservation of critical residues), we also model protein motions using vectors connecting pairs of corresponding residues in crystal structures of alternative conformations. We term this approach “absolute conformational transitioning” (ACT). This more direct model of conformational change is especially straightforward to apply to single-chain proteins; applying ACT on a database scale to multi-chain complexes introduces confounding factors related to chain-chain correspondence between such complexes when each complex has multiple copies of a given chain.</w:t>
            </w:r>
          </w:p>
          <w:p w14:paraId="49487F58" w14:textId="77777777" w:rsidR="007D009E" w:rsidRPr="007D009E" w:rsidRDefault="007D009E" w:rsidP="007D009E">
            <w:pPr>
              <w:shd w:val="clear" w:color="auto" w:fill="FFFFFF"/>
              <w:rPr>
                <w:sz w:val="20"/>
                <w:szCs w:val="20"/>
              </w:rPr>
            </w:pPr>
          </w:p>
          <w:p w14:paraId="7D4A3832" w14:textId="77777777" w:rsidR="007D009E" w:rsidRPr="007D009E" w:rsidRDefault="007D009E" w:rsidP="007D009E">
            <w:pPr>
              <w:rPr>
                <w:i/>
                <w:sz w:val="20"/>
                <w:szCs w:val="20"/>
                <w:u w:val="single"/>
              </w:rPr>
            </w:pPr>
            <w:r w:rsidRPr="007D009E">
              <w:rPr>
                <w:i/>
                <w:sz w:val="20"/>
                <w:szCs w:val="20"/>
                <w:u w:val="single"/>
              </w:rPr>
              <w:t>Inferring Protein Motions Using Displacement Vectors from Alternative Conformations</w:t>
            </w:r>
          </w:p>
          <w:p w14:paraId="6C6109F8" w14:textId="4116899B" w:rsidR="00256FC6" w:rsidRPr="007D009E" w:rsidRDefault="007D009E" w:rsidP="00B548DD">
            <w:pPr>
              <w:ind w:firstLine="720"/>
              <w:rPr>
                <w:sz w:val="20"/>
                <w:szCs w:val="20"/>
              </w:rPr>
            </w:pPr>
            <w:r w:rsidRPr="007D009E">
              <w:rPr>
                <w:sz w:val="20"/>
                <w:szCs w:val="20"/>
              </w:rPr>
              <w:t xml:space="preserve">Given a particular protein, how are these ACT vectors defined in order to calculate critical residues? </w:t>
            </w:r>
            <w:r w:rsidRPr="007D009E">
              <w:rPr>
                <w:rFonts w:eastAsia="Times New Roman"/>
                <w:color w:val="222222"/>
                <w:sz w:val="20"/>
                <w:szCs w:val="20"/>
              </w:rPr>
              <w:t xml:space="preserve">We discuss a hypothetical example consisting of a multiple structure alignment of 8 sequence-identical structures. </w:t>
            </w:r>
            <w:r w:rsidRPr="007D009E">
              <w:rPr>
                <w:sz w:val="20"/>
                <w:szCs w:val="20"/>
              </w:rPr>
              <w:t xml:space="preserve">Starting with the protein’s multiple-structure alignment using all 8 structures, we determine the optimal number of clusters represented by the structure alignment using the K-means algorithm with the gap statistic (see the above SI Methods sub-section titled “Identifying Distinct Conformations within a Multiple Structure Alignment”). </w:t>
            </w:r>
            <w:r w:rsidRPr="007D009E">
              <w:rPr>
                <w:rFonts w:eastAsia="Times New Roman"/>
                <w:color w:val="222222"/>
                <w:sz w:val="20"/>
                <w:szCs w:val="20"/>
              </w:rPr>
              <w:t xml:space="preserve">Suppose that these 8 </w:t>
            </w:r>
            <w:r w:rsidRPr="007D009E">
              <w:rPr>
                <w:rFonts w:eastAsia="Times New Roman"/>
                <w:color w:val="222222"/>
                <w:sz w:val="20"/>
                <w:szCs w:val="20"/>
              </w:rPr>
              <w:lastRenderedPageBreak/>
              <w:t xml:space="preserve">structures may be grouped into 2 distinct clusters by our scheme (4 structures in </w:t>
            </w:r>
            <w:r w:rsidRPr="007D009E">
              <w:rPr>
                <w:rFonts w:eastAsia="Times New Roman"/>
                <w:i/>
                <w:color w:val="222222"/>
                <w:sz w:val="20"/>
                <w:szCs w:val="20"/>
              </w:rPr>
              <w:t>cluster A</w:t>
            </w:r>
            <w:r w:rsidRPr="007D009E">
              <w:rPr>
                <w:rFonts w:eastAsia="Times New Roman"/>
                <w:color w:val="222222"/>
                <w:sz w:val="20"/>
                <w:szCs w:val="20"/>
              </w:rPr>
              <w:t xml:space="preserve">, and 4 structures in </w:t>
            </w:r>
            <w:r w:rsidRPr="007D009E">
              <w:rPr>
                <w:rFonts w:eastAsia="Times New Roman"/>
                <w:i/>
                <w:color w:val="222222"/>
                <w:sz w:val="20"/>
                <w:szCs w:val="20"/>
              </w:rPr>
              <w:t>cluster B</w:t>
            </w:r>
            <w:r w:rsidRPr="007D009E">
              <w:rPr>
                <w:rFonts w:eastAsia="Times New Roman"/>
                <w:color w:val="222222"/>
                <w:sz w:val="20"/>
                <w:szCs w:val="20"/>
              </w:rPr>
              <w:t>, for instance).</w:t>
            </w:r>
            <w:r w:rsidRPr="007D009E">
              <w:rPr>
                <w:sz w:val="20"/>
                <w:szCs w:val="20"/>
              </w:rPr>
              <w:t xml:space="preserve"> </w:t>
            </w:r>
            <w:r w:rsidR="00B548DD">
              <w:rPr>
                <w:rFonts w:eastAsia="Times New Roman"/>
                <w:color w:val="222222"/>
                <w:sz w:val="20"/>
                <w:szCs w:val="20"/>
              </w:rPr>
              <w:t>A</w:t>
            </w:r>
            <w:r w:rsidRPr="007D009E">
              <w:rPr>
                <w:rFonts w:eastAsia="Times New Roman"/>
                <w:color w:val="222222"/>
                <w:sz w:val="20"/>
                <w:szCs w:val="20"/>
              </w:rPr>
              <w:t xml:space="preserve"> representative structure is taken from each of these two clusters (</w:t>
            </w:r>
            <w:r w:rsidRPr="007D009E">
              <w:rPr>
                <w:rFonts w:eastAsia="Times New Roman"/>
                <w:i/>
                <w:color w:val="222222"/>
                <w:sz w:val="20"/>
                <w:szCs w:val="20"/>
              </w:rPr>
              <w:t>structure A</w:t>
            </w:r>
            <w:r w:rsidRPr="007D009E">
              <w:rPr>
                <w:rFonts w:eastAsia="Times New Roman"/>
                <w:color w:val="222222"/>
                <w:sz w:val="20"/>
                <w:szCs w:val="20"/>
              </w:rPr>
              <w:t xml:space="preserve"> and </w:t>
            </w:r>
            <w:r w:rsidRPr="007D009E">
              <w:rPr>
                <w:rFonts w:eastAsia="Times New Roman"/>
                <w:i/>
                <w:color w:val="222222"/>
                <w:sz w:val="20"/>
                <w:szCs w:val="20"/>
              </w:rPr>
              <w:t>structure B</w:t>
            </w:r>
            <w:r w:rsidRPr="007D009E">
              <w:rPr>
                <w:rFonts w:eastAsia="Times New Roman"/>
                <w:color w:val="222222"/>
                <w:sz w:val="20"/>
                <w:szCs w:val="20"/>
              </w:rPr>
              <w:t xml:space="preserve">). These two representatives are taken to represent the alternative conformations for the protein. As an alternative to using ANMs, we may use </w:t>
            </w:r>
            <w:r w:rsidRPr="007D009E">
              <w:rPr>
                <w:rFonts w:eastAsia="Times New Roman"/>
                <w:i/>
                <w:color w:val="222222"/>
                <w:sz w:val="20"/>
                <w:szCs w:val="20"/>
              </w:rPr>
              <w:t>structure A</w:t>
            </w:r>
            <w:r w:rsidRPr="007D009E">
              <w:rPr>
                <w:rFonts w:eastAsia="Times New Roman"/>
                <w:color w:val="222222"/>
                <w:sz w:val="20"/>
                <w:szCs w:val="20"/>
              </w:rPr>
              <w:t xml:space="preserve"> and </w:t>
            </w:r>
            <w:r w:rsidRPr="007D009E">
              <w:rPr>
                <w:rFonts w:eastAsia="Times New Roman"/>
                <w:i/>
                <w:color w:val="222222"/>
                <w:sz w:val="20"/>
                <w:szCs w:val="20"/>
              </w:rPr>
              <w:t>structure B</w:t>
            </w:r>
            <w:r w:rsidRPr="007D009E">
              <w:rPr>
                <w:rFonts w:eastAsia="Times New Roman"/>
                <w:color w:val="222222"/>
                <w:sz w:val="20"/>
                <w:szCs w:val="20"/>
              </w:rPr>
              <w:t xml:space="preserve"> to try to infer information about the protein’s global conformational shifts by assigning a displacement vector to each residue (for instance, residue Y140), where the displacement vector is simply defined by the two corresponding residues in the different structures within the structure alignment (i.e., Y140 within </w:t>
            </w:r>
            <w:r w:rsidRPr="007D009E">
              <w:rPr>
                <w:rFonts w:eastAsia="Times New Roman"/>
                <w:i/>
                <w:color w:val="222222"/>
                <w:sz w:val="20"/>
                <w:szCs w:val="20"/>
              </w:rPr>
              <w:t>structure A</w:t>
            </w:r>
            <w:r w:rsidRPr="007D009E">
              <w:rPr>
                <w:rFonts w:eastAsia="Times New Roman"/>
                <w:color w:val="222222"/>
                <w:sz w:val="20"/>
                <w:szCs w:val="20"/>
              </w:rPr>
              <w:t xml:space="preserve"> of the structure alignment and Y140 within </w:t>
            </w:r>
            <w:r w:rsidRPr="007D009E">
              <w:rPr>
                <w:rFonts w:eastAsia="Times New Roman"/>
                <w:i/>
                <w:color w:val="222222"/>
                <w:sz w:val="20"/>
                <w:szCs w:val="20"/>
              </w:rPr>
              <w:t>structure B</w:t>
            </w:r>
            <w:r w:rsidRPr="007D009E">
              <w:rPr>
                <w:rFonts w:eastAsia="Times New Roman"/>
                <w:color w:val="222222"/>
                <w:sz w:val="20"/>
                <w:szCs w:val="20"/>
              </w:rPr>
              <w:t xml:space="preserve"> of the structure alignment).</w:t>
            </w:r>
            <w:r w:rsidRPr="007D009E">
              <w:rPr>
                <w:sz w:val="20"/>
                <w:szCs w:val="20"/>
              </w:rPr>
              <w:t xml:space="preserve"> Because the structure alignment was performed on sequence-identical structures, each residue in one of these two representative structures matches a corresponding residue on the other representative structure. If each of the two structures represents a sequence-identical protein consisting of 200 residues, then 200 ACT vectors are drawn in order to represent the conformational change in transitioning from one conformation to the other. These 200 ACT vectors for the protein may then be used to identify surface- and interior-critical residues, and downstream analysis on these residues is then performed.</w:t>
            </w:r>
          </w:p>
        </w:tc>
      </w:tr>
    </w:tbl>
    <w:p w14:paraId="311D479D" w14:textId="77777777" w:rsidR="007D009E" w:rsidRDefault="007D009E" w:rsidP="007D009E"/>
    <w:p w14:paraId="2C371B8E" w14:textId="77777777" w:rsidR="007D009E" w:rsidRPr="00C1590F" w:rsidRDefault="007D009E" w:rsidP="007D009E"/>
    <w:p w14:paraId="4B510CDA" w14:textId="409BC4B2" w:rsidR="007D009E" w:rsidRPr="00C1590F" w:rsidRDefault="007D009E" w:rsidP="007D009E">
      <w:pPr>
        <w:pStyle w:val="Heading3"/>
      </w:pPr>
      <w:r w:rsidRPr="00C1590F">
        <w:t>-- Ref</w:t>
      </w:r>
      <w:r>
        <w:t xml:space="preserve"> 2</w:t>
      </w:r>
      <w:r w:rsidRPr="00C1590F">
        <w:t>.</w:t>
      </w:r>
      <w:r>
        <w:t>7</w:t>
      </w:r>
      <w:r w:rsidRPr="00C1590F">
        <w:t xml:space="preserve"> – </w:t>
      </w:r>
      <w:r>
        <w:t xml:space="preserve">ConSurf Normalization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7D009E" w:rsidRPr="00C1590F" w14:paraId="7A26D5AD" w14:textId="77777777" w:rsidTr="003C6558">
        <w:tc>
          <w:tcPr>
            <w:tcW w:w="1728" w:type="dxa"/>
          </w:tcPr>
          <w:p w14:paraId="7F66F796" w14:textId="77777777" w:rsidR="007D009E" w:rsidRPr="00C1590F" w:rsidRDefault="007D009E" w:rsidP="003C6558">
            <w:pPr>
              <w:pStyle w:val="reviewer"/>
              <w:jc w:val="both"/>
            </w:pPr>
            <w:r w:rsidRPr="00C1590F">
              <w:t>Reviewer</w:t>
            </w:r>
          </w:p>
          <w:p w14:paraId="2C352104" w14:textId="77777777" w:rsidR="007D009E" w:rsidRPr="00C1590F" w:rsidRDefault="007D009E" w:rsidP="003C6558">
            <w:pPr>
              <w:pStyle w:val="reviewer"/>
              <w:jc w:val="both"/>
            </w:pPr>
            <w:r w:rsidRPr="00C1590F">
              <w:t>Comment</w:t>
            </w:r>
          </w:p>
        </w:tc>
        <w:tc>
          <w:tcPr>
            <w:tcW w:w="7200" w:type="dxa"/>
          </w:tcPr>
          <w:p w14:paraId="0D40631C" w14:textId="560F89F5" w:rsidR="007D009E" w:rsidRPr="00B548DD" w:rsidRDefault="007D009E" w:rsidP="003C6558">
            <w:pPr>
              <w:rPr>
                <w:rFonts w:ascii="Courier New" w:hAnsi="Courier New" w:cs="Courier New"/>
                <w:sz w:val="20"/>
                <w:szCs w:val="20"/>
              </w:rPr>
            </w:pPr>
            <w:r w:rsidRPr="00B548DD">
              <w:rPr>
                <w:rFonts w:ascii="Courier New" w:hAnsi="Courier New" w:cs="Courier New"/>
                <w:sz w:val="20"/>
                <w:szCs w:val="20"/>
              </w:rPr>
              <w:t>All ConSurf scores are normalised to zero, but is the variation also set to unity?</w:t>
            </w:r>
          </w:p>
        </w:tc>
      </w:tr>
      <w:tr w:rsidR="007D009E" w:rsidRPr="00C1590F" w14:paraId="307A7490" w14:textId="77777777" w:rsidTr="003C6558">
        <w:tc>
          <w:tcPr>
            <w:tcW w:w="1728" w:type="dxa"/>
          </w:tcPr>
          <w:p w14:paraId="3EE04A01" w14:textId="77777777" w:rsidR="007D009E" w:rsidRPr="00B9141D" w:rsidRDefault="007D009E" w:rsidP="003C6558">
            <w:pPr>
              <w:pStyle w:val="author"/>
              <w:jc w:val="both"/>
              <w:rPr>
                <w:sz w:val="22"/>
                <w:szCs w:val="22"/>
              </w:rPr>
            </w:pPr>
            <w:r w:rsidRPr="00B9141D">
              <w:rPr>
                <w:sz w:val="22"/>
                <w:szCs w:val="22"/>
              </w:rPr>
              <w:t>Author</w:t>
            </w:r>
          </w:p>
          <w:p w14:paraId="3D83E174" w14:textId="77777777" w:rsidR="007D009E" w:rsidRPr="00B9141D" w:rsidRDefault="007D009E" w:rsidP="003C6558">
            <w:pPr>
              <w:pStyle w:val="author"/>
              <w:jc w:val="both"/>
              <w:rPr>
                <w:sz w:val="22"/>
                <w:szCs w:val="22"/>
              </w:rPr>
            </w:pPr>
            <w:r w:rsidRPr="00B9141D">
              <w:rPr>
                <w:sz w:val="22"/>
                <w:szCs w:val="22"/>
              </w:rPr>
              <w:t>Response</w:t>
            </w:r>
          </w:p>
        </w:tc>
        <w:tc>
          <w:tcPr>
            <w:tcW w:w="7200" w:type="dxa"/>
          </w:tcPr>
          <w:p w14:paraId="23453121" w14:textId="5CD3B173" w:rsidR="007D009E" w:rsidRPr="00B548DD" w:rsidRDefault="007D009E" w:rsidP="00B548DD">
            <w:pPr>
              <w:shd w:val="clear" w:color="auto" w:fill="FFFFFF"/>
              <w:rPr>
                <w:rFonts w:ascii="Arial" w:eastAsia="Times New Roman" w:hAnsi="Arial" w:cs="Arial"/>
                <w:color w:val="222222"/>
                <w:sz w:val="22"/>
                <w:szCs w:val="22"/>
              </w:rPr>
            </w:pPr>
            <w:r w:rsidRPr="00B548DD">
              <w:rPr>
                <w:rFonts w:ascii="Arial" w:eastAsia="Times New Roman" w:hAnsi="Arial" w:cs="Arial"/>
                <w:color w:val="222222"/>
                <w:sz w:val="22"/>
                <w:szCs w:val="22"/>
              </w:rPr>
              <w:t>We thank to reviewer for noting this omission. Indeed, value for σ</w:t>
            </w:r>
            <w:r w:rsidRPr="00B548DD">
              <w:rPr>
                <w:rFonts w:ascii="Arial" w:eastAsia="Times New Roman" w:hAnsi="Arial" w:cs="Arial"/>
                <w:color w:val="222222"/>
                <w:sz w:val="22"/>
                <w:szCs w:val="22"/>
                <w:vertAlign w:val="superscript"/>
              </w:rPr>
              <w:t>2</w:t>
            </w:r>
            <w:r w:rsidRPr="00B548DD">
              <w:rPr>
                <w:rFonts w:ascii="Arial" w:eastAsia="Times New Roman" w:hAnsi="Arial" w:cs="Arial"/>
                <w:color w:val="222222"/>
                <w:sz w:val="22"/>
                <w:szCs w:val="22"/>
              </w:rPr>
              <w:t xml:space="preserve"> is set to unity, and this is now indicated in </w:t>
            </w:r>
            <w:r w:rsidR="00B548DD" w:rsidRPr="00B548DD">
              <w:rPr>
                <w:rFonts w:ascii="Arial" w:eastAsia="Times New Roman" w:hAnsi="Arial" w:cs="Arial"/>
                <w:color w:val="222222"/>
                <w:sz w:val="22"/>
                <w:szCs w:val="22"/>
              </w:rPr>
              <w:t>Supplement Section 3.3-a</w:t>
            </w:r>
            <w:r w:rsidRPr="00B548DD">
              <w:rPr>
                <w:rFonts w:ascii="Arial" w:eastAsia="Times New Roman" w:hAnsi="Arial" w:cs="Arial"/>
                <w:color w:val="222222"/>
                <w:sz w:val="22"/>
                <w:szCs w:val="22"/>
              </w:rPr>
              <w:t>.</w:t>
            </w:r>
          </w:p>
        </w:tc>
      </w:tr>
      <w:tr w:rsidR="007D009E" w:rsidRPr="00C1590F" w14:paraId="1D853404" w14:textId="77777777" w:rsidTr="003C6558">
        <w:tc>
          <w:tcPr>
            <w:tcW w:w="1728" w:type="dxa"/>
          </w:tcPr>
          <w:p w14:paraId="64D68D47" w14:textId="77777777" w:rsidR="007D009E" w:rsidRPr="00C1590F" w:rsidRDefault="007D009E" w:rsidP="003C6558">
            <w:pPr>
              <w:pStyle w:val="new-text"/>
              <w:jc w:val="both"/>
            </w:pPr>
            <w:r w:rsidRPr="00C1590F">
              <w:t>Excerpt From</w:t>
            </w:r>
          </w:p>
          <w:p w14:paraId="15F6DC40" w14:textId="77777777" w:rsidR="007D009E" w:rsidRPr="00C1590F" w:rsidRDefault="007D009E" w:rsidP="003C6558">
            <w:pPr>
              <w:pStyle w:val="new-text"/>
              <w:jc w:val="both"/>
            </w:pPr>
            <w:r w:rsidRPr="00C1590F">
              <w:t>Revised Manuscript</w:t>
            </w:r>
          </w:p>
        </w:tc>
        <w:tc>
          <w:tcPr>
            <w:tcW w:w="7200" w:type="dxa"/>
          </w:tcPr>
          <w:p w14:paraId="26E0EA31" w14:textId="59A8A0C8" w:rsidR="007D009E" w:rsidRPr="00B548DD" w:rsidRDefault="00D10FAA" w:rsidP="00D10FAA">
            <w:pPr>
              <w:rPr>
                <w:sz w:val="20"/>
                <w:szCs w:val="20"/>
              </w:rPr>
            </w:pPr>
            <w:r w:rsidRPr="00B548DD">
              <w:rPr>
                <w:sz w:val="20"/>
                <w:szCs w:val="20"/>
              </w:rPr>
              <w:t>ConSurf scores for each protein chain are normalized to have a mean ConSurf score of 0 (the ConSurf score variance is 1 for each chain)</w:t>
            </w:r>
            <w:r w:rsidR="007D009E" w:rsidRPr="00B548DD">
              <w:rPr>
                <w:sz w:val="20"/>
                <w:szCs w:val="20"/>
              </w:rPr>
              <w:t>.</w:t>
            </w:r>
          </w:p>
        </w:tc>
      </w:tr>
    </w:tbl>
    <w:p w14:paraId="4B970EB5" w14:textId="77777777" w:rsidR="007D009E" w:rsidRDefault="007D009E" w:rsidP="006C3C8A"/>
    <w:p w14:paraId="25B31C0E" w14:textId="439C3024" w:rsidR="003C6558" w:rsidRPr="00C1590F" w:rsidRDefault="003C6558" w:rsidP="003C6558">
      <w:pPr>
        <w:pStyle w:val="Heading3"/>
      </w:pPr>
      <w:r w:rsidRPr="00C1590F">
        <w:t>-- Ref</w:t>
      </w:r>
      <w:r>
        <w:t xml:space="preserve"> 2</w:t>
      </w:r>
      <w:r w:rsidRPr="00C1590F">
        <w:t>.</w:t>
      </w:r>
      <w:r>
        <w:t>8</w:t>
      </w:r>
      <w:r w:rsidRPr="00C1590F">
        <w:t xml:space="preserve"> – </w:t>
      </w:r>
      <w:r>
        <w:t xml:space="preserve">Minor Issues </w:t>
      </w:r>
      <w:r w:rsidRPr="00C1590F">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7200"/>
      </w:tblGrid>
      <w:tr w:rsidR="003C6558" w:rsidRPr="00C1590F" w14:paraId="7C1822AB" w14:textId="77777777" w:rsidTr="003C6558">
        <w:tc>
          <w:tcPr>
            <w:tcW w:w="1728" w:type="dxa"/>
          </w:tcPr>
          <w:p w14:paraId="63481AA7" w14:textId="77777777" w:rsidR="003C6558" w:rsidRPr="00C1590F" w:rsidRDefault="003C6558" w:rsidP="003C6558">
            <w:pPr>
              <w:pStyle w:val="reviewer"/>
              <w:jc w:val="both"/>
            </w:pPr>
            <w:r w:rsidRPr="00C1590F">
              <w:t>Reviewer</w:t>
            </w:r>
          </w:p>
          <w:p w14:paraId="60336324" w14:textId="77777777" w:rsidR="003C6558" w:rsidRPr="00C1590F" w:rsidRDefault="003C6558" w:rsidP="003C6558">
            <w:pPr>
              <w:pStyle w:val="reviewer"/>
              <w:jc w:val="both"/>
            </w:pPr>
            <w:r w:rsidRPr="00C1590F">
              <w:t>Comment</w:t>
            </w:r>
          </w:p>
        </w:tc>
        <w:tc>
          <w:tcPr>
            <w:tcW w:w="7200" w:type="dxa"/>
          </w:tcPr>
          <w:p w14:paraId="4B739051" w14:textId="77777777" w:rsidR="003C6558" w:rsidRPr="003C6558" w:rsidRDefault="003C6558" w:rsidP="003C6558">
            <w:pPr>
              <w:rPr>
                <w:rFonts w:ascii="Courier New" w:hAnsi="Courier New" w:cs="Courier New"/>
                <w:sz w:val="20"/>
                <w:szCs w:val="20"/>
              </w:rPr>
            </w:pPr>
            <w:r w:rsidRPr="003C6558">
              <w:rPr>
                <w:rFonts w:ascii="Courier New" w:hAnsi="Courier New" w:cs="Courier New"/>
                <w:sz w:val="20"/>
                <w:szCs w:val="20"/>
              </w:rPr>
              <w:t>There is an asterix next to two entries in Table S2, and next to one entry in Table S3, but these are not explained in the captions or the main text.</w:t>
            </w:r>
          </w:p>
          <w:p w14:paraId="2B743E5B" w14:textId="77777777" w:rsidR="003C6558" w:rsidRPr="003C6558" w:rsidRDefault="003C6558" w:rsidP="003C6558">
            <w:pPr>
              <w:rPr>
                <w:rFonts w:ascii="Courier New" w:hAnsi="Courier New" w:cs="Courier New"/>
                <w:sz w:val="20"/>
                <w:szCs w:val="20"/>
              </w:rPr>
            </w:pPr>
          </w:p>
          <w:p w14:paraId="2588F51D" w14:textId="77777777" w:rsidR="003C6558" w:rsidRPr="003C6558" w:rsidRDefault="003C6558" w:rsidP="003C6558">
            <w:pPr>
              <w:rPr>
                <w:rFonts w:ascii="Courier New" w:hAnsi="Courier New" w:cs="Courier New"/>
                <w:sz w:val="20"/>
                <w:szCs w:val="20"/>
              </w:rPr>
            </w:pPr>
            <w:r w:rsidRPr="003C6558">
              <w:rPr>
                <w:rFonts w:ascii="Courier New" w:hAnsi="Courier New" w:cs="Courier New"/>
                <w:sz w:val="20"/>
                <w:szCs w:val="20"/>
              </w:rPr>
              <w:t>"allosteric ligand has a global affect on a protein's functionally important motions" affect -&gt; effect</w:t>
            </w:r>
          </w:p>
          <w:p w14:paraId="12301B07" w14:textId="77777777" w:rsidR="003C6558" w:rsidRPr="003C6558" w:rsidRDefault="003C6558" w:rsidP="003C6558">
            <w:pPr>
              <w:rPr>
                <w:rFonts w:ascii="Courier New" w:hAnsi="Courier New" w:cs="Courier New"/>
                <w:sz w:val="20"/>
                <w:szCs w:val="20"/>
              </w:rPr>
            </w:pPr>
          </w:p>
          <w:p w14:paraId="5A898594" w14:textId="77777777" w:rsidR="003C6558" w:rsidRPr="003C6558" w:rsidRDefault="003C6558" w:rsidP="003C6558">
            <w:pPr>
              <w:rPr>
                <w:rFonts w:ascii="Courier New" w:hAnsi="Courier New" w:cs="Courier New"/>
                <w:sz w:val="20"/>
                <w:szCs w:val="20"/>
              </w:rPr>
            </w:pPr>
            <w:r w:rsidRPr="003C6558">
              <w:rPr>
                <w:rFonts w:ascii="Courier New" w:hAnsi="Courier New" w:cs="Courier New"/>
                <w:sz w:val="20"/>
                <w:szCs w:val="20"/>
              </w:rPr>
              <w:t>jaccard -&gt; Jaccard, three occurrances</w:t>
            </w:r>
          </w:p>
          <w:p w14:paraId="68D654C8" w14:textId="77777777" w:rsidR="003C6558" w:rsidRPr="003C6558" w:rsidRDefault="003C6558" w:rsidP="003C6558">
            <w:pPr>
              <w:rPr>
                <w:rFonts w:ascii="Courier New" w:hAnsi="Courier New" w:cs="Courier New"/>
                <w:sz w:val="20"/>
                <w:szCs w:val="20"/>
              </w:rPr>
            </w:pPr>
          </w:p>
          <w:p w14:paraId="2E6F3A31" w14:textId="10287527" w:rsidR="003C6558" w:rsidRPr="00C1590F" w:rsidRDefault="003C6558" w:rsidP="003C6558">
            <w:pPr>
              <w:rPr>
                <w:rFonts w:ascii="Courier New" w:hAnsi="Courier New" w:cs="Courier New"/>
                <w:sz w:val="20"/>
                <w:szCs w:val="20"/>
              </w:rPr>
            </w:pPr>
            <w:r w:rsidRPr="003C6558">
              <w:rPr>
                <w:rFonts w:ascii="Courier New" w:hAnsi="Courier New" w:cs="Courier New"/>
                <w:sz w:val="20"/>
                <w:szCs w:val="20"/>
              </w:rPr>
              <w:t>line 279: "However 1000 Genomes SNVs tend hit..." -&gt; tend to</w:t>
            </w:r>
          </w:p>
        </w:tc>
      </w:tr>
      <w:tr w:rsidR="003C6558" w:rsidRPr="00C1590F" w14:paraId="51F52D03" w14:textId="77777777" w:rsidTr="003C6558">
        <w:tc>
          <w:tcPr>
            <w:tcW w:w="1728" w:type="dxa"/>
          </w:tcPr>
          <w:p w14:paraId="44F6F527" w14:textId="77777777" w:rsidR="003C6558" w:rsidRPr="00B9141D" w:rsidRDefault="003C6558" w:rsidP="003C6558">
            <w:pPr>
              <w:pStyle w:val="author"/>
              <w:jc w:val="both"/>
              <w:rPr>
                <w:sz w:val="22"/>
                <w:szCs w:val="22"/>
              </w:rPr>
            </w:pPr>
            <w:r w:rsidRPr="00B9141D">
              <w:rPr>
                <w:sz w:val="22"/>
                <w:szCs w:val="22"/>
              </w:rPr>
              <w:t>Author</w:t>
            </w:r>
          </w:p>
          <w:p w14:paraId="5127BCE6" w14:textId="77777777" w:rsidR="003C6558" w:rsidRPr="00B9141D" w:rsidRDefault="003C6558" w:rsidP="003C6558">
            <w:pPr>
              <w:pStyle w:val="author"/>
              <w:jc w:val="both"/>
              <w:rPr>
                <w:sz w:val="22"/>
                <w:szCs w:val="22"/>
              </w:rPr>
            </w:pPr>
            <w:r w:rsidRPr="00B9141D">
              <w:rPr>
                <w:sz w:val="22"/>
                <w:szCs w:val="22"/>
              </w:rPr>
              <w:t>Response</w:t>
            </w:r>
          </w:p>
        </w:tc>
        <w:tc>
          <w:tcPr>
            <w:tcW w:w="7200" w:type="dxa"/>
          </w:tcPr>
          <w:p w14:paraId="2B198933" w14:textId="21072C8D" w:rsidR="005D36A2" w:rsidRDefault="003C6558" w:rsidP="003C6558">
            <w:pPr>
              <w:shd w:val="clear" w:color="auto" w:fill="FFFFFF"/>
              <w:rPr>
                <w:rFonts w:ascii="Arial" w:eastAsia="Times New Roman" w:hAnsi="Arial" w:cs="Arial"/>
                <w:color w:val="222222"/>
                <w:sz w:val="22"/>
                <w:szCs w:val="22"/>
              </w:rPr>
            </w:pPr>
            <w:r w:rsidRPr="003C6558">
              <w:rPr>
                <w:rFonts w:ascii="Arial" w:hAnsi="Arial" w:cs="Arial"/>
                <w:sz w:val="22"/>
                <w:szCs w:val="22"/>
              </w:rPr>
              <w:t xml:space="preserve">We thank the reviewer for pointing </w:t>
            </w:r>
            <w:r w:rsidR="00B34C7A" w:rsidRPr="003C6558">
              <w:rPr>
                <w:rFonts w:ascii="Arial" w:hAnsi="Arial" w:cs="Arial"/>
                <w:sz w:val="22"/>
                <w:szCs w:val="22"/>
              </w:rPr>
              <w:t xml:space="preserve">out </w:t>
            </w:r>
            <w:r w:rsidRPr="003C6558">
              <w:rPr>
                <w:rFonts w:ascii="Arial" w:hAnsi="Arial" w:cs="Arial"/>
                <w:sz w:val="22"/>
                <w:szCs w:val="22"/>
              </w:rPr>
              <w:t xml:space="preserve">these points. With respect to the </w:t>
            </w:r>
            <w:r w:rsidRPr="003C6558">
              <w:rPr>
                <w:rFonts w:ascii="Arial" w:eastAsia="Times New Roman" w:hAnsi="Arial" w:cs="Arial"/>
                <w:color w:val="222222"/>
                <w:sz w:val="22"/>
                <w:szCs w:val="22"/>
              </w:rPr>
              <w:t>asterix symbols in Table S2, and next to one entry in Table S3 (now merged into what is now Table 1, as noted), these were originally intended to highlight structures for which the identification of biological ligand-binding sites was previously known to be especially difficult. However, we now feel that the including this information is extraneous and potentially distracting. Thus, the asterix symbols have been removed, an</w:t>
            </w:r>
            <w:r w:rsidR="001A2F08">
              <w:rPr>
                <w:rFonts w:ascii="Arial" w:eastAsia="Times New Roman" w:hAnsi="Arial" w:cs="Arial"/>
                <w:color w:val="222222"/>
                <w:sz w:val="22"/>
                <w:szCs w:val="22"/>
              </w:rPr>
              <w:t>d this is no longer considered.</w:t>
            </w:r>
          </w:p>
          <w:p w14:paraId="643301AA" w14:textId="77777777" w:rsidR="005D36A2" w:rsidRDefault="005D36A2" w:rsidP="003C6558">
            <w:pPr>
              <w:shd w:val="clear" w:color="auto" w:fill="FFFFFF"/>
              <w:rPr>
                <w:rFonts w:ascii="Arial" w:eastAsia="Times New Roman" w:hAnsi="Arial" w:cs="Arial"/>
                <w:color w:val="222222"/>
                <w:sz w:val="22"/>
                <w:szCs w:val="22"/>
              </w:rPr>
            </w:pPr>
          </w:p>
          <w:p w14:paraId="7C869453" w14:textId="3D3017FA" w:rsidR="003C6558" w:rsidRPr="003C6558" w:rsidRDefault="003C6558" w:rsidP="005D36A2">
            <w:pPr>
              <w:shd w:val="clear" w:color="auto" w:fill="FFFFFF"/>
              <w:rPr>
                <w:rFonts w:ascii="Arial" w:eastAsia="Times New Roman" w:hAnsi="Arial" w:cs="Arial"/>
                <w:color w:val="222222"/>
                <w:sz w:val="22"/>
                <w:szCs w:val="22"/>
              </w:rPr>
            </w:pPr>
            <w:r w:rsidRPr="003C6558">
              <w:rPr>
                <w:rFonts w:ascii="Arial" w:eastAsia="Times New Roman" w:hAnsi="Arial" w:cs="Arial"/>
                <w:color w:val="222222"/>
                <w:sz w:val="22"/>
                <w:szCs w:val="22"/>
              </w:rPr>
              <w:t xml:space="preserve">We have also corrected the other two issues raised here, and thank the reviewer again for </w:t>
            </w:r>
            <w:r w:rsidR="005D36A2">
              <w:rPr>
                <w:rFonts w:ascii="Arial" w:eastAsia="Times New Roman" w:hAnsi="Arial" w:cs="Arial"/>
                <w:color w:val="222222"/>
                <w:sz w:val="22"/>
                <w:szCs w:val="22"/>
              </w:rPr>
              <w:t>a very</w:t>
            </w:r>
            <w:r w:rsidRPr="003C6558">
              <w:rPr>
                <w:rFonts w:ascii="Arial" w:eastAsia="Times New Roman" w:hAnsi="Arial" w:cs="Arial"/>
                <w:color w:val="222222"/>
                <w:sz w:val="22"/>
                <w:szCs w:val="22"/>
              </w:rPr>
              <w:t xml:space="preserve"> careful review of this work.</w:t>
            </w:r>
          </w:p>
        </w:tc>
      </w:tr>
    </w:tbl>
    <w:p w14:paraId="50257BCA" w14:textId="77777777" w:rsidR="003C6558" w:rsidRDefault="003C6558" w:rsidP="003C6558">
      <w:pPr>
        <w:rPr>
          <w:rFonts w:ascii="Arial" w:eastAsia="Times New Roman" w:hAnsi="Arial"/>
          <w:b/>
          <w:kern w:val="28"/>
          <w:sz w:val="28"/>
          <w:szCs w:val="20"/>
          <w:lang w:eastAsia="en-US"/>
        </w:rPr>
      </w:pPr>
    </w:p>
    <w:p w14:paraId="490AC8FA" w14:textId="77777777" w:rsidR="003C6558" w:rsidRDefault="003C6558" w:rsidP="003C6558"/>
    <w:p w14:paraId="3DCCFB6F" w14:textId="77777777" w:rsidR="003C6558" w:rsidRDefault="003C6558" w:rsidP="003C6558"/>
    <w:p w14:paraId="2DD97B2E" w14:textId="77777777" w:rsidR="007D009E" w:rsidRDefault="007D009E" w:rsidP="006C3C8A"/>
    <w:p w14:paraId="0B575FB1" w14:textId="77777777" w:rsidR="007D009E" w:rsidRDefault="007D009E" w:rsidP="006C3C8A"/>
    <w:p w14:paraId="31FEC3D2" w14:textId="77777777" w:rsidR="007D009E" w:rsidRDefault="007D009E" w:rsidP="006C3C8A"/>
    <w:p w14:paraId="15AB23D0" w14:textId="77777777" w:rsidR="007D009E" w:rsidRDefault="007D009E" w:rsidP="006C3C8A"/>
    <w:p w14:paraId="618991D7" w14:textId="77777777" w:rsidR="007D009E" w:rsidRDefault="007D009E" w:rsidP="006C3C8A"/>
    <w:p w14:paraId="75ACD68B" w14:textId="77777777" w:rsidR="007D009E" w:rsidRDefault="007D009E" w:rsidP="006C3C8A"/>
    <w:p w14:paraId="02AF92DA" w14:textId="77777777" w:rsidR="007D009E" w:rsidRPr="00C1590F" w:rsidRDefault="007D009E" w:rsidP="006C3C8A"/>
    <w:sectPr w:rsidR="007D009E" w:rsidRPr="00C159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05DC"/>
    <w:multiLevelType w:val="hybridMultilevel"/>
    <w:tmpl w:val="DF5A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115B0"/>
    <w:multiLevelType w:val="hybridMultilevel"/>
    <w:tmpl w:val="51EC2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C0051"/>
    <w:multiLevelType w:val="hybridMultilevel"/>
    <w:tmpl w:val="8482D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454AC8"/>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018CB"/>
    <w:multiLevelType w:val="hybridMultilevel"/>
    <w:tmpl w:val="D2BE4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BB3C32"/>
    <w:multiLevelType w:val="hybridMultilevel"/>
    <w:tmpl w:val="AB5A0B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B5358D"/>
    <w:multiLevelType w:val="hybridMultilevel"/>
    <w:tmpl w:val="67362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4038DC"/>
    <w:multiLevelType w:val="hybridMultilevel"/>
    <w:tmpl w:val="BF665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4"/>
  </w:num>
  <w:num w:numId="5">
    <w:abstractNumId w:val="2"/>
  </w:num>
  <w:num w:numId="6">
    <w:abstractNumId w:val="5"/>
  </w:num>
  <w:num w:numId="7">
    <w:abstractNumId w:val="3"/>
  </w:num>
  <w:num w:numId="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eming Chen">
    <w15:presenceInfo w15:providerId="Windows Live" w15:userId="abed69f131784f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63B"/>
    <w:rsid w:val="000054E6"/>
    <w:rsid w:val="000066D2"/>
    <w:rsid w:val="00010641"/>
    <w:rsid w:val="00013B89"/>
    <w:rsid w:val="00014201"/>
    <w:rsid w:val="00015761"/>
    <w:rsid w:val="00015DB8"/>
    <w:rsid w:val="000205A6"/>
    <w:rsid w:val="00024407"/>
    <w:rsid w:val="00034392"/>
    <w:rsid w:val="000434AD"/>
    <w:rsid w:val="00045871"/>
    <w:rsid w:val="00050A48"/>
    <w:rsid w:val="00050CA4"/>
    <w:rsid w:val="0005732C"/>
    <w:rsid w:val="00062E82"/>
    <w:rsid w:val="00070F54"/>
    <w:rsid w:val="000716C4"/>
    <w:rsid w:val="00076A74"/>
    <w:rsid w:val="0008034A"/>
    <w:rsid w:val="00081687"/>
    <w:rsid w:val="000823C5"/>
    <w:rsid w:val="00084CAB"/>
    <w:rsid w:val="0008787C"/>
    <w:rsid w:val="0009786D"/>
    <w:rsid w:val="000A05D3"/>
    <w:rsid w:val="000A4B3B"/>
    <w:rsid w:val="000A6EF1"/>
    <w:rsid w:val="000A76A2"/>
    <w:rsid w:val="000B0A76"/>
    <w:rsid w:val="000B1755"/>
    <w:rsid w:val="000B630C"/>
    <w:rsid w:val="000C0057"/>
    <w:rsid w:val="000D3674"/>
    <w:rsid w:val="000D6133"/>
    <w:rsid w:val="000F0CAB"/>
    <w:rsid w:val="000F3D9B"/>
    <w:rsid w:val="000F5B64"/>
    <w:rsid w:val="000F6251"/>
    <w:rsid w:val="000F7984"/>
    <w:rsid w:val="00103EB5"/>
    <w:rsid w:val="0010487B"/>
    <w:rsid w:val="001055EA"/>
    <w:rsid w:val="00105E44"/>
    <w:rsid w:val="00105E93"/>
    <w:rsid w:val="00113DB3"/>
    <w:rsid w:val="00116044"/>
    <w:rsid w:val="0013023E"/>
    <w:rsid w:val="00131CE2"/>
    <w:rsid w:val="00140522"/>
    <w:rsid w:val="0014120D"/>
    <w:rsid w:val="00141F2D"/>
    <w:rsid w:val="00142E77"/>
    <w:rsid w:val="001603D5"/>
    <w:rsid w:val="00162849"/>
    <w:rsid w:val="001640F9"/>
    <w:rsid w:val="00164643"/>
    <w:rsid w:val="00165D09"/>
    <w:rsid w:val="001827D7"/>
    <w:rsid w:val="0018482D"/>
    <w:rsid w:val="0019156B"/>
    <w:rsid w:val="00195CAA"/>
    <w:rsid w:val="001A103F"/>
    <w:rsid w:val="001A189E"/>
    <w:rsid w:val="001A2F08"/>
    <w:rsid w:val="001B42B4"/>
    <w:rsid w:val="001B44D8"/>
    <w:rsid w:val="001B4B06"/>
    <w:rsid w:val="001B568B"/>
    <w:rsid w:val="001C209B"/>
    <w:rsid w:val="001C434A"/>
    <w:rsid w:val="001C7DB3"/>
    <w:rsid w:val="001D1A76"/>
    <w:rsid w:val="001D7C84"/>
    <w:rsid w:val="001E0DC3"/>
    <w:rsid w:val="001E4031"/>
    <w:rsid w:val="001E6C1A"/>
    <w:rsid w:val="001F11BE"/>
    <w:rsid w:val="001F4815"/>
    <w:rsid w:val="00205158"/>
    <w:rsid w:val="00206339"/>
    <w:rsid w:val="002160A4"/>
    <w:rsid w:val="00216B8C"/>
    <w:rsid w:val="00217821"/>
    <w:rsid w:val="002203EA"/>
    <w:rsid w:val="0022084A"/>
    <w:rsid w:val="002238EC"/>
    <w:rsid w:val="002321E6"/>
    <w:rsid w:val="00237ECC"/>
    <w:rsid w:val="002408B9"/>
    <w:rsid w:val="0024344A"/>
    <w:rsid w:val="00251828"/>
    <w:rsid w:val="002551BB"/>
    <w:rsid w:val="00255288"/>
    <w:rsid w:val="00256FC6"/>
    <w:rsid w:val="002621C0"/>
    <w:rsid w:val="00266FF3"/>
    <w:rsid w:val="002702AE"/>
    <w:rsid w:val="002747B0"/>
    <w:rsid w:val="002776D2"/>
    <w:rsid w:val="002841DA"/>
    <w:rsid w:val="002867A8"/>
    <w:rsid w:val="002A12F3"/>
    <w:rsid w:val="002A1CC8"/>
    <w:rsid w:val="002A1DC8"/>
    <w:rsid w:val="002A4B1E"/>
    <w:rsid w:val="002A4FE4"/>
    <w:rsid w:val="002B163D"/>
    <w:rsid w:val="002B2493"/>
    <w:rsid w:val="002B3139"/>
    <w:rsid w:val="002C14FA"/>
    <w:rsid w:val="002C1B97"/>
    <w:rsid w:val="002C25FD"/>
    <w:rsid w:val="002C6711"/>
    <w:rsid w:val="002C739B"/>
    <w:rsid w:val="002D314E"/>
    <w:rsid w:val="002E0ACF"/>
    <w:rsid w:val="002E23E7"/>
    <w:rsid w:val="002E2EEF"/>
    <w:rsid w:val="002E3537"/>
    <w:rsid w:val="002F3997"/>
    <w:rsid w:val="002F40E2"/>
    <w:rsid w:val="00301A33"/>
    <w:rsid w:val="00302DCD"/>
    <w:rsid w:val="00303A1E"/>
    <w:rsid w:val="00305A37"/>
    <w:rsid w:val="00310420"/>
    <w:rsid w:val="003124AD"/>
    <w:rsid w:val="0031305B"/>
    <w:rsid w:val="00314CD6"/>
    <w:rsid w:val="00317C3A"/>
    <w:rsid w:val="003224C1"/>
    <w:rsid w:val="003234AB"/>
    <w:rsid w:val="00332471"/>
    <w:rsid w:val="0033271A"/>
    <w:rsid w:val="003328E6"/>
    <w:rsid w:val="003408D4"/>
    <w:rsid w:val="00345D9E"/>
    <w:rsid w:val="003535F0"/>
    <w:rsid w:val="003551D1"/>
    <w:rsid w:val="003559D9"/>
    <w:rsid w:val="003563BE"/>
    <w:rsid w:val="00357C92"/>
    <w:rsid w:val="00370430"/>
    <w:rsid w:val="00370E66"/>
    <w:rsid w:val="003764EE"/>
    <w:rsid w:val="00380C0D"/>
    <w:rsid w:val="003908C6"/>
    <w:rsid w:val="00392CB0"/>
    <w:rsid w:val="003936A3"/>
    <w:rsid w:val="00394599"/>
    <w:rsid w:val="003947D2"/>
    <w:rsid w:val="00395E7B"/>
    <w:rsid w:val="003A4EA7"/>
    <w:rsid w:val="003A4ED8"/>
    <w:rsid w:val="003A6D43"/>
    <w:rsid w:val="003A7B03"/>
    <w:rsid w:val="003B5869"/>
    <w:rsid w:val="003C6558"/>
    <w:rsid w:val="003C6B37"/>
    <w:rsid w:val="003C6FED"/>
    <w:rsid w:val="003C7CD4"/>
    <w:rsid w:val="003D2003"/>
    <w:rsid w:val="003D28D2"/>
    <w:rsid w:val="003D58E5"/>
    <w:rsid w:val="003D5DE2"/>
    <w:rsid w:val="003E482F"/>
    <w:rsid w:val="003F1457"/>
    <w:rsid w:val="003F33A3"/>
    <w:rsid w:val="003F3510"/>
    <w:rsid w:val="003F42CF"/>
    <w:rsid w:val="003F5558"/>
    <w:rsid w:val="003F5BD6"/>
    <w:rsid w:val="003F5D40"/>
    <w:rsid w:val="003F7899"/>
    <w:rsid w:val="00403182"/>
    <w:rsid w:val="00412BEF"/>
    <w:rsid w:val="004131F9"/>
    <w:rsid w:val="00415292"/>
    <w:rsid w:val="0042063B"/>
    <w:rsid w:val="004218BE"/>
    <w:rsid w:val="004228B5"/>
    <w:rsid w:val="00425700"/>
    <w:rsid w:val="004305E6"/>
    <w:rsid w:val="00433307"/>
    <w:rsid w:val="00443605"/>
    <w:rsid w:val="004447F5"/>
    <w:rsid w:val="004472F7"/>
    <w:rsid w:val="00450039"/>
    <w:rsid w:val="00450989"/>
    <w:rsid w:val="00453608"/>
    <w:rsid w:val="00461217"/>
    <w:rsid w:val="0046154A"/>
    <w:rsid w:val="00465457"/>
    <w:rsid w:val="00467CE3"/>
    <w:rsid w:val="0047792C"/>
    <w:rsid w:val="004821EA"/>
    <w:rsid w:val="004845B3"/>
    <w:rsid w:val="00485035"/>
    <w:rsid w:val="00486497"/>
    <w:rsid w:val="00486BA9"/>
    <w:rsid w:val="00487019"/>
    <w:rsid w:val="00491F99"/>
    <w:rsid w:val="0049348B"/>
    <w:rsid w:val="00494259"/>
    <w:rsid w:val="004A2325"/>
    <w:rsid w:val="004A792D"/>
    <w:rsid w:val="004B0BDD"/>
    <w:rsid w:val="004B2F77"/>
    <w:rsid w:val="004B69D1"/>
    <w:rsid w:val="004C4CAD"/>
    <w:rsid w:val="004C567A"/>
    <w:rsid w:val="004C6470"/>
    <w:rsid w:val="004D0DF5"/>
    <w:rsid w:val="004D11BE"/>
    <w:rsid w:val="004D1D83"/>
    <w:rsid w:val="004D2873"/>
    <w:rsid w:val="004D34F2"/>
    <w:rsid w:val="004D50E6"/>
    <w:rsid w:val="004D5330"/>
    <w:rsid w:val="004E1D55"/>
    <w:rsid w:val="004E4214"/>
    <w:rsid w:val="004E5FAA"/>
    <w:rsid w:val="004E7522"/>
    <w:rsid w:val="004E7793"/>
    <w:rsid w:val="004F154B"/>
    <w:rsid w:val="004F3ED6"/>
    <w:rsid w:val="004F4BFF"/>
    <w:rsid w:val="004F725F"/>
    <w:rsid w:val="005028AA"/>
    <w:rsid w:val="005062FE"/>
    <w:rsid w:val="00515261"/>
    <w:rsid w:val="00520453"/>
    <w:rsid w:val="0052060C"/>
    <w:rsid w:val="00520E02"/>
    <w:rsid w:val="0052148A"/>
    <w:rsid w:val="005269D4"/>
    <w:rsid w:val="00531C40"/>
    <w:rsid w:val="00533EB5"/>
    <w:rsid w:val="00542A92"/>
    <w:rsid w:val="0054321C"/>
    <w:rsid w:val="0054353E"/>
    <w:rsid w:val="0054550D"/>
    <w:rsid w:val="00546C19"/>
    <w:rsid w:val="005518C2"/>
    <w:rsid w:val="005526E1"/>
    <w:rsid w:val="00553599"/>
    <w:rsid w:val="00553F74"/>
    <w:rsid w:val="00554C35"/>
    <w:rsid w:val="005555CD"/>
    <w:rsid w:val="0055630B"/>
    <w:rsid w:val="005572A2"/>
    <w:rsid w:val="005579F0"/>
    <w:rsid w:val="00560706"/>
    <w:rsid w:val="00560D8C"/>
    <w:rsid w:val="00561E10"/>
    <w:rsid w:val="0056577E"/>
    <w:rsid w:val="00565B3E"/>
    <w:rsid w:val="00567AA9"/>
    <w:rsid w:val="005700C7"/>
    <w:rsid w:val="0057079A"/>
    <w:rsid w:val="00573F1A"/>
    <w:rsid w:val="0058076C"/>
    <w:rsid w:val="00581A22"/>
    <w:rsid w:val="00585D39"/>
    <w:rsid w:val="005908AE"/>
    <w:rsid w:val="0059306B"/>
    <w:rsid w:val="00594A7A"/>
    <w:rsid w:val="005B1891"/>
    <w:rsid w:val="005B4AFD"/>
    <w:rsid w:val="005C2192"/>
    <w:rsid w:val="005C2FDF"/>
    <w:rsid w:val="005C3D6F"/>
    <w:rsid w:val="005C480B"/>
    <w:rsid w:val="005C59A2"/>
    <w:rsid w:val="005D36A2"/>
    <w:rsid w:val="005D6DCC"/>
    <w:rsid w:val="005E09B2"/>
    <w:rsid w:val="005E20AE"/>
    <w:rsid w:val="005F0C27"/>
    <w:rsid w:val="005F140D"/>
    <w:rsid w:val="005F3A57"/>
    <w:rsid w:val="005F50B6"/>
    <w:rsid w:val="0060078D"/>
    <w:rsid w:val="00600CF5"/>
    <w:rsid w:val="00602740"/>
    <w:rsid w:val="00604D55"/>
    <w:rsid w:val="00605B67"/>
    <w:rsid w:val="00612DC2"/>
    <w:rsid w:val="00615270"/>
    <w:rsid w:val="00615600"/>
    <w:rsid w:val="0062200E"/>
    <w:rsid w:val="00623F6D"/>
    <w:rsid w:val="00633AAA"/>
    <w:rsid w:val="00635708"/>
    <w:rsid w:val="00636534"/>
    <w:rsid w:val="0064187A"/>
    <w:rsid w:val="0064304A"/>
    <w:rsid w:val="00644ED8"/>
    <w:rsid w:val="006476B1"/>
    <w:rsid w:val="0065241C"/>
    <w:rsid w:val="00654C5D"/>
    <w:rsid w:val="00655303"/>
    <w:rsid w:val="00656EF3"/>
    <w:rsid w:val="0066580A"/>
    <w:rsid w:val="00665844"/>
    <w:rsid w:val="00670914"/>
    <w:rsid w:val="00670B61"/>
    <w:rsid w:val="006736FC"/>
    <w:rsid w:val="006747DB"/>
    <w:rsid w:val="00675AF2"/>
    <w:rsid w:val="00682563"/>
    <w:rsid w:val="00685BE4"/>
    <w:rsid w:val="00687584"/>
    <w:rsid w:val="006875B3"/>
    <w:rsid w:val="006A2649"/>
    <w:rsid w:val="006A7DD8"/>
    <w:rsid w:val="006B0D93"/>
    <w:rsid w:val="006B7036"/>
    <w:rsid w:val="006B7199"/>
    <w:rsid w:val="006B7216"/>
    <w:rsid w:val="006C0F1D"/>
    <w:rsid w:val="006C3309"/>
    <w:rsid w:val="006C3C8A"/>
    <w:rsid w:val="006C5068"/>
    <w:rsid w:val="006C69D2"/>
    <w:rsid w:val="006D7581"/>
    <w:rsid w:val="006D795A"/>
    <w:rsid w:val="006E19C4"/>
    <w:rsid w:val="006E1D49"/>
    <w:rsid w:val="006E6F5A"/>
    <w:rsid w:val="006E7B4E"/>
    <w:rsid w:val="006F1CC2"/>
    <w:rsid w:val="006F1F96"/>
    <w:rsid w:val="006F3E44"/>
    <w:rsid w:val="00703994"/>
    <w:rsid w:val="00704AEA"/>
    <w:rsid w:val="00705FE2"/>
    <w:rsid w:val="00716720"/>
    <w:rsid w:val="0072074B"/>
    <w:rsid w:val="007224CB"/>
    <w:rsid w:val="007246C8"/>
    <w:rsid w:val="00731798"/>
    <w:rsid w:val="00734507"/>
    <w:rsid w:val="00735D15"/>
    <w:rsid w:val="007364AC"/>
    <w:rsid w:val="00736C84"/>
    <w:rsid w:val="007508A5"/>
    <w:rsid w:val="00753015"/>
    <w:rsid w:val="0076799B"/>
    <w:rsid w:val="0077334D"/>
    <w:rsid w:val="00773B04"/>
    <w:rsid w:val="0077616C"/>
    <w:rsid w:val="007827D6"/>
    <w:rsid w:val="0078429D"/>
    <w:rsid w:val="007A090E"/>
    <w:rsid w:val="007B0353"/>
    <w:rsid w:val="007B09EA"/>
    <w:rsid w:val="007B16DA"/>
    <w:rsid w:val="007B1E5D"/>
    <w:rsid w:val="007B4511"/>
    <w:rsid w:val="007B48CF"/>
    <w:rsid w:val="007B5170"/>
    <w:rsid w:val="007B7347"/>
    <w:rsid w:val="007C0BFF"/>
    <w:rsid w:val="007C3BB5"/>
    <w:rsid w:val="007C5970"/>
    <w:rsid w:val="007C6927"/>
    <w:rsid w:val="007C7981"/>
    <w:rsid w:val="007D009E"/>
    <w:rsid w:val="007D079F"/>
    <w:rsid w:val="007D1A2F"/>
    <w:rsid w:val="007D3331"/>
    <w:rsid w:val="007D4847"/>
    <w:rsid w:val="007D67B9"/>
    <w:rsid w:val="007E1300"/>
    <w:rsid w:val="007E2468"/>
    <w:rsid w:val="007E46FC"/>
    <w:rsid w:val="007F2301"/>
    <w:rsid w:val="007F2DBC"/>
    <w:rsid w:val="007F5C77"/>
    <w:rsid w:val="00801318"/>
    <w:rsid w:val="00811F82"/>
    <w:rsid w:val="0081230A"/>
    <w:rsid w:val="00816E84"/>
    <w:rsid w:val="0082288D"/>
    <w:rsid w:val="008254FF"/>
    <w:rsid w:val="008270C4"/>
    <w:rsid w:val="008360E1"/>
    <w:rsid w:val="00842C1F"/>
    <w:rsid w:val="008516A7"/>
    <w:rsid w:val="0085270D"/>
    <w:rsid w:val="00866EC9"/>
    <w:rsid w:val="008708BD"/>
    <w:rsid w:val="00872757"/>
    <w:rsid w:val="00876A9C"/>
    <w:rsid w:val="008800D4"/>
    <w:rsid w:val="008819F7"/>
    <w:rsid w:val="00883E61"/>
    <w:rsid w:val="008855D8"/>
    <w:rsid w:val="00885845"/>
    <w:rsid w:val="00887451"/>
    <w:rsid w:val="00892081"/>
    <w:rsid w:val="0089619D"/>
    <w:rsid w:val="008966ED"/>
    <w:rsid w:val="008A2888"/>
    <w:rsid w:val="008A5F2D"/>
    <w:rsid w:val="008A75EC"/>
    <w:rsid w:val="008B0C98"/>
    <w:rsid w:val="008B699A"/>
    <w:rsid w:val="008D220C"/>
    <w:rsid w:val="008D6BB2"/>
    <w:rsid w:val="008E0DC9"/>
    <w:rsid w:val="008E39FA"/>
    <w:rsid w:val="008E6171"/>
    <w:rsid w:val="008F0FCA"/>
    <w:rsid w:val="008F2EA9"/>
    <w:rsid w:val="008F4B96"/>
    <w:rsid w:val="0090496D"/>
    <w:rsid w:val="009108A3"/>
    <w:rsid w:val="009135ED"/>
    <w:rsid w:val="00917101"/>
    <w:rsid w:val="009233C8"/>
    <w:rsid w:val="009236C1"/>
    <w:rsid w:val="0092385A"/>
    <w:rsid w:val="0092681D"/>
    <w:rsid w:val="00933A0A"/>
    <w:rsid w:val="00940CBC"/>
    <w:rsid w:val="0094189C"/>
    <w:rsid w:val="00942D78"/>
    <w:rsid w:val="00943F85"/>
    <w:rsid w:val="00952C2A"/>
    <w:rsid w:val="0095686C"/>
    <w:rsid w:val="0096601C"/>
    <w:rsid w:val="009765AB"/>
    <w:rsid w:val="00976E8A"/>
    <w:rsid w:val="00981F88"/>
    <w:rsid w:val="00987A98"/>
    <w:rsid w:val="00993FE7"/>
    <w:rsid w:val="00996E85"/>
    <w:rsid w:val="009A1C74"/>
    <w:rsid w:val="009B2CAE"/>
    <w:rsid w:val="009B66EE"/>
    <w:rsid w:val="009C07CA"/>
    <w:rsid w:val="009C3234"/>
    <w:rsid w:val="009C4687"/>
    <w:rsid w:val="009D2179"/>
    <w:rsid w:val="009D6E4E"/>
    <w:rsid w:val="009E095B"/>
    <w:rsid w:val="009E0E9D"/>
    <w:rsid w:val="009E1E48"/>
    <w:rsid w:val="009E227C"/>
    <w:rsid w:val="009E56FB"/>
    <w:rsid w:val="009F786C"/>
    <w:rsid w:val="00A00010"/>
    <w:rsid w:val="00A0053C"/>
    <w:rsid w:val="00A07033"/>
    <w:rsid w:val="00A11FA7"/>
    <w:rsid w:val="00A174BF"/>
    <w:rsid w:val="00A17582"/>
    <w:rsid w:val="00A17C06"/>
    <w:rsid w:val="00A2675A"/>
    <w:rsid w:val="00A26A0D"/>
    <w:rsid w:val="00A3337E"/>
    <w:rsid w:val="00A411AE"/>
    <w:rsid w:val="00A4241C"/>
    <w:rsid w:val="00A45923"/>
    <w:rsid w:val="00A47339"/>
    <w:rsid w:val="00A507A9"/>
    <w:rsid w:val="00A545F7"/>
    <w:rsid w:val="00A61A1A"/>
    <w:rsid w:val="00A66D25"/>
    <w:rsid w:val="00A83DA6"/>
    <w:rsid w:val="00A8482F"/>
    <w:rsid w:val="00A901CD"/>
    <w:rsid w:val="00A90861"/>
    <w:rsid w:val="00A93278"/>
    <w:rsid w:val="00A93A78"/>
    <w:rsid w:val="00A94BB7"/>
    <w:rsid w:val="00AA4312"/>
    <w:rsid w:val="00AA4D1C"/>
    <w:rsid w:val="00AB532B"/>
    <w:rsid w:val="00AB6FA0"/>
    <w:rsid w:val="00AC1909"/>
    <w:rsid w:val="00AC2D86"/>
    <w:rsid w:val="00AC5CF7"/>
    <w:rsid w:val="00AE1A11"/>
    <w:rsid w:val="00AF04A9"/>
    <w:rsid w:val="00B027FD"/>
    <w:rsid w:val="00B05158"/>
    <w:rsid w:val="00B06622"/>
    <w:rsid w:val="00B074CB"/>
    <w:rsid w:val="00B13391"/>
    <w:rsid w:val="00B14492"/>
    <w:rsid w:val="00B17771"/>
    <w:rsid w:val="00B17FB8"/>
    <w:rsid w:val="00B26CE3"/>
    <w:rsid w:val="00B349D7"/>
    <w:rsid w:val="00B34C7A"/>
    <w:rsid w:val="00B35B12"/>
    <w:rsid w:val="00B40A63"/>
    <w:rsid w:val="00B40D06"/>
    <w:rsid w:val="00B43BC6"/>
    <w:rsid w:val="00B45856"/>
    <w:rsid w:val="00B46ADE"/>
    <w:rsid w:val="00B46B9E"/>
    <w:rsid w:val="00B5171C"/>
    <w:rsid w:val="00B548DD"/>
    <w:rsid w:val="00B62EFA"/>
    <w:rsid w:val="00B65C81"/>
    <w:rsid w:val="00B7146F"/>
    <w:rsid w:val="00B725E7"/>
    <w:rsid w:val="00B72E1F"/>
    <w:rsid w:val="00B76538"/>
    <w:rsid w:val="00B826D7"/>
    <w:rsid w:val="00B84625"/>
    <w:rsid w:val="00B85BDD"/>
    <w:rsid w:val="00B866CE"/>
    <w:rsid w:val="00B86903"/>
    <w:rsid w:val="00B9141D"/>
    <w:rsid w:val="00B95033"/>
    <w:rsid w:val="00B959DD"/>
    <w:rsid w:val="00B977AC"/>
    <w:rsid w:val="00B97E21"/>
    <w:rsid w:val="00BB44CC"/>
    <w:rsid w:val="00BB6D30"/>
    <w:rsid w:val="00BD757B"/>
    <w:rsid w:val="00BE0C08"/>
    <w:rsid w:val="00BE3EA9"/>
    <w:rsid w:val="00BE64A3"/>
    <w:rsid w:val="00BF01E3"/>
    <w:rsid w:val="00BF047E"/>
    <w:rsid w:val="00BF1EF0"/>
    <w:rsid w:val="00BF2C83"/>
    <w:rsid w:val="00C01860"/>
    <w:rsid w:val="00C02803"/>
    <w:rsid w:val="00C05412"/>
    <w:rsid w:val="00C0677A"/>
    <w:rsid w:val="00C06C4C"/>
    <w:rsid w:val="00C1590F"/>
    <w:rsid w:val="00C21CEC"/>
    <w:rsid w:val="00C21E90"/>
    <w:rsid w:val="00C2280C"/>
    <w:rsid w:val="00C23ADE"/>
    <w:rsid w:val="00C274A4"/>
    <w:rsid w:val="00C30393"/>
    <w:rsid w:val="00C33099"/>
    <w:rsid w:val="00C33917"/>
    <w:rsid w:val="00C3611D"/>
    <w:rsid w:val="00C36930"/>
    <w:rsid w:val="00C36FDD"/>
    <w:rsid w:val="00C375B5"/>
    <w:rsid w:val="00C4572A"/>
    <w:rsid w:val="00C45E13"/>
    <w:rsid w:val="00C47B7B"/>
    <w:rsid w:val="00C54444"/>
    <w:rsid w:val="00C55548"/>
    <w:rsid w:val="00C57001"/>
    <w:rsid w:val="00C60EED"/>
    <w:rsid w:val="00C6617C"/>
    <w:rsid w:val="00C7283E"/>
    <w:rsid w:val="00C836A7"/>
    <w:rsid w:val="00C90809"/>
    <w:rsid w:val="00C92C91"/>
    <w:rsid w:val="00C93313"/>
    <w:rsid w:val="00C93798"/>
    <w:rsid w:val="00C946D3"/>
    <w:rsid w:val="00C947CC"/>
    <w:rsid w:val="00CA109A"/>
    <w:rsid w:val="00CA2407"/>
    <w:rsid w:val="00CB5C25"/>
    <w:rsid w:val="00CB5C28"/>
    <w:rsid w:val="00CB5EB0"/>
    <w:rsid w:val="00CB6DDE"/>
    <w:rsid w:val="00CC0A63"/>
    <w:rsid w:val="00CD06B4"/>
    <w:rsid w:val="00CD07B2"/>
    <w:rsid w:val="00CD3121"/>
    <w:rsid w:val="00CD3A5D"/>
    <w:rsid w:val="00CD52F2"/>
    <w:rsid w:val="00CE14E8"/>
    <w:rsid w:val="00CE1D9B"/>
    <w:rsid w:val="00CE7F14"/>
    <w:rsid w:val="00CF53A9"/>
    <w:rsid w:val="00D004C6"/>
    <w:rsid w:val="00D00F10"/>
    <w:rsid w:val="00D04D73"/>
    <w:rsid w:val="00D10FAA"/>
    <w:rsid w:val="00D2476A"/>
    <w:rsid w:val="00D27AF5"/>
    <w:rsid w:val="00D330B2"/>
    <w:rsid w:val="00D4144A"/>
    <w:rsid w:val="00D42954"/>
    <w:rsid w:val="00D44A34"/>
    <w:rsid w:val="00D4566F"/>
    <w:rsid w:val="00D462D8"/>
    <w:rsid w:val="00D50802"/>
    <w:rsid w:val="00D5211E"/>
    <w:rsid w:val="00D54AE5"/>
    <w:rsid w:val="00D55616"/>
    <w:rsid w:val="00D61F0D"/>
    <w:rsid w:val="00D62DB6"/>
    <w:rsid w:val="00D631DE"/>
    <w:rsid w:val="00D659AC"/>
    <w:rsid w:val="00D70DEA"/>
    <w:rsid w:val="00D7239A"/>
    <w:rsid w:val="00D7547B"/>
    <w:rsid w:val="00D80E4E"/>
    <w:rsid w:val="00D92205"/>
    <w:rsid w:val="00D92282"/>
    <w:rsid w:val="00D9450F"/>
    <w:rsid w:val="00D9507F"/>
    <w:rsid w:val="00D95104"/>
    <w:rsid w:val="00D95208"/>
    <w:rsid w:val="00DA4FCD"/>
    <w:rsid w:val="00DA71A5"/>
    <w:rsid w:val="00DA7C78"/>
    <w:rsid w:val="00DB6306"/>
    <w:rsid w:val="00DC04B4"/>
    <w:rsid w:val="00DC35DC"/>
    <w:rsid w:val="00DD0F55"/>
    <w:rsid w:val="00DD1949"/>
    <w:rsid w:val="00DD1CC1"/>
    <w:rsid w:val="00DD1E19"/>
    <w:rsid w:val="00DD2E98"/>
    <w:rsid w:val="00DD3D1F"/>
    <w:rsid w:val="00DD44C6"/>
    <w:rsid w:val="00DD4FD1"/>
    <w:rsid w:val="00DD6318"/>
    <w:rsid w:val="00DE29AD"/>
    <w:rsid w:val="00DE32AD"/>
    <w:rsid w:val="00DE36CB"/>
    <w:rsid w:val="00DE7932"/>
    <w:rsid w:val="00DE7F02"/>
    <w:rsid w:val="00DF04DC"/>
    <w:rsid w:val="00DF0698"/>
    <w:rsid w:val="00DF1CD0"/>
    <w:rsid w:val="00DF29B0"/>
    <w:rsid w:val="00DF405C"/>
    <w:rsid w:val="00DF7A13"/>
    <w:rsid w:val="00E0427D"/>
    <w:rsid w:val="00E123C9"/>
    <w:rsid w:val="00E17F8A"/>
    <w:rsid w:val="00E22BC4"/>
    <w:rsid w:val="00E31AEE"/>
    <w:rsid w:val="00E32870"/>
    <w:rsid w:val="00E36849"/>
    <w:rsid w:val="00E412F8"/>
    <w:rsid w:val="00E50147"/>
    <w:rsid w:val="00E52FEE"/>
    <w:rsid w:val="00E557F0"/>
    <w:rsid w:val="00E5679A"/>
    <w:rsid w:val="00E574C2"/>
    <w:rsid w:val="00E60B3D"/>
    <w:rsid w:val="00E640D4"/>
    <w:rsid w:val="00E703A2"/>
    <w:rsid w:val="00E7168D"/>
    <w:rsid w:val="00E804EF"/>
    <w:rsid w:val="00E83024"/>
    <w:rsid w:val="00E844DB"/>
    <w:rsid w:val="00E8723B"/>
    <w:rsid w:val="00E8778F"/>
    <w:rsid w:val="00E91B0A"/>
    <w:rsid w:val="00E96CD3"/>
    <w:rsid w:val="00EA2AD7"/>
    <w:rsid w:val="00EA4DBE"/>
    <w:rsid w:val="00EA58F7"/>
    <w:rsid w:val="00EA6A42"/>
    <w:rsid w:val="00EB2235"/>
    <w:rsid w:val="00EB2C02"/>
    <w:rsid w:val="00EB5C9E"/>
    <w:rsid w:val="00EB76EA"/>
    <w:rsid w:val="00ED0028"/>
    <w:rsid w:val="00ED4747"/>
    <w:rsid w:val="00ED7516"/>
    <w:rsid w:val="00EE0D72"/>
    <w:rsid w:val="00EE1974"/>
    <w:rsid w:val="00EE1D34"/>
    <w:rsid w:val="00EE3D8C"/>
    <w:rsid w:val="00EF08AC"/>
    <w:rsid w:val="00EF1690"/>
    <w:rsid w:val="00EF2C99"/>
    <w:rsid w:val="00EF7E86"/>
    <w:rsid w:val="00F011A8"/>
    <w:rsid w:val="00F03914"/>
    <w:rsid w:val="00F0398E"/>
    <w:rsid w:val="00F1379F"/>
    <w:rsid w:val="00F2121C"/>
    <w:rsid w:val="00F214E8"/>
    <w:rsid w:val="00F2253A"/>
    <w:rsid w:val="00F30024"/>
    <w:rsid w:val="00F441FB"/>
    <w:rsid w:val="00F44AA4"/>
    <w:rsid w:val="00F44EA3"/>
    <w:rsid w:val="00F47AD7"/>
    <w:rsid w:val="00F47DA4"/>
    <w:rsid w:val="00F52064"/>
    <w:rsid w:val="00F61756"/>
    <w:rsid w:val="00F66D63"/>
    <w:rsid w:val="00F743CA"/>
    <w:rsid w:val="00F76DCC"/>
    <w:rsid w:val="00F835C3"/>
    <w:rsid w:val="00F83A38"/>
    <w:rsid w:val="00F83D6C"/>
    <w:rsid w:val="00F904CD"/>
    <w:rsid w:val="00F932F1"/>
    <w:rsid w:val="00FA607B"/>
    <w:rsid w:val="00FB632E"/>
    <w:rsid w:val="00FB7097"/>
    <w:rsid w:val="00FC1888"/>
    <w:rsid w:val="00FC4073"/>
    <w:rsid w:val="00FC67D3"/>
    <w:rsid w:val="00FD1F8F"/>
    <w:rsid w:val="00FD23F3"/>
    <w:rsid w:val="00FD279E"/>
    <w:rsid w:val="00FD4A87"/>
    <w:rsid w:val="00FD4E26"/>
    <w:rsid w:val="00FD6810"/>
    <w:rsid w:val="00FE3643"/>
    <w:rsid w:val="00FE44F1"/>
    <w:rsid w:val="00FE6CD4"/>
    <w:rsid w:val="00FF044F"/>
    <w:rsid w:val="00FF10D2"/>
    <w:rsid w:val="00FF34E9"/>
    <w:rsid w:val="00FF68E5"/>
    <w:rsid w:val="00FF7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DF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 w:type="paragraph" w:styleId="Footer">
    <w:name w:val="footer"/>
    <w:basedOn w:val="Normal"/>
    <w:link w:val="FooterChar"/>
    <w:uiPriority w:val="99"/>
    <w:unhideWhenUsed/>
    <w:rsid w:val="00105E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05E44"/>
    <w:rPr>
      <w:rFonts w:asciiTheme="minorHAnsi" w:eastAsiaTheme="minorEastAsia" w:hAnsiTheme="minorHAnsi" w:cstheme="minorBidi"/>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eading 1 Char"/>
    <w:basedOn w:val="Normal"/>
    <w:next w:val="Heading3"/>
    <w:link w:val="Heading1Char1"/>
    <w:qFormat/>
    <w:rsid w:val="0042063B"/>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qFormat/>
    <w:rsid w:val="0042063B"/>
    <w:pPr>
      <w:keepNext/>
      <w:spacing w:before="240" w:after="60"/>
      <w:outlineLvl w:val="1"/>
    </w:pPr>
    <w:rPr>
      <w:rFonts w:ascii="Arial" w:hAnsi="Arial" w:cs="Arial"/>
      <w:b/>
      <w:bCs/>
      <w:i/>
      <w:iCs/>
      <w:sz w:val="28"/>
      <w:szCs w:val="28"/>
    </w:rPr>
  </w:style>
  <w:style w:type="paragraph" w:styleId="Heading3">
    <w:name w:val="heading 3"/>
    <w:aliases w:val="headline,OH,3,heading 3"/>
    <w:basedOn w:val="Heading2"/>
    <w:next w:val="Heading4"/>
    <w:qFormat/>
    <w:rsid w:val="0042063B"/>
    <w:pPr>
      <w:spacing w:before="120" w:after="120"/>
      <w:jc w:val="center"/>
      <w:outlineLvl w:val="2"/>
    </w:pPr>
    <w:rPr>
      <w:rFonts w:eastAsia="Times New Roman" w:cs="Times New Roman"/>
      <w:bCs w:val="0"/>
      <w:i w:val="0"/>
      <w:iCs w:val="0"/>
      <w:kern w:val="28"/>
      <w:szCs w:val="20"/>
      <w:lang w:eastAsia="en-US"/>
    </w:rPr>
  </w:style>
  <w:style w:type="paragraph" w:styleId="Heading4">
    <w:name w:val="heading 4"/>
    <w:basedOn w:val="Normal"/>
    <w:next w:val="Normal"/>
    <w:qFormat/>
    <w:rsid w:val="0042063B"/>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42063B"/>
    <w:rPr>
      <w:rFonts w:ascii="Courier New" w:eastAsia="Times New Roman" w:hAnsi="Courier New"/>
      <w:sz w:val="20"/>
      <w:szCs w:val="20"/>
      <w:lang w:eastAsia="en-US"/>
    </w:rPr>
  </w:style>
  <w:style w:type="paragraph" w:customStyle="1" w:styleId="author">
    <w:name w:val="author"/>
    <w:aliases w:val="au"/>
    <w:basedOn w:val="Normal"/>
    <w:rsid w:val="0042063B"/>
    <w:rPr>
      <w:rFonts w:ascii="Arial" w:eastAsia="Times New Roman" w:hAnsi="Arial"/>
      <w:szCs w:val="20"/>
      <w:lang w:eastAsia="en-US"/>
    </w:rPr>
  </w:style>
  <w:style w:type="paragraph" w:customStyle="1" w:styleId="new-text">
    <w:name w:val="new-text"/>
    <w:basedOn w:val="Normal"/>
    <w:rsid w:val="0042063B"/>
    <w:rPr>
      <w:rFonts w:eastAsia="Times New Roman"/>
      <w:sz w:val="18"/>
      <w:szCs w:val="20"/>
      <w:lang w:eastAsia="en-US"/>
    </w:rPr>
  </w:style>
  <w:style w:type="paragraph" w:styleId="BodyText3">
    <w:name w:val="Body Text 3"/>
    <w:basedOn w:val="Normal"/>
    <w:rsid w:val="0042063B"/>
    <w:pPr>
      <w:jc w:val="both"/>
    </w:pPr>
    <w:rPr>
      <w:rFonts w:eastAsia="Times New Roman"/>
      <w:sz w:val="18"/>
      <w:lang w:eastAsia="en-US"/>
    </w:rPr>
  </w:style>
  <w:style w:type="character" w:customStyle="1" w:styleId="Heading1Char1">
    <w:name w:val="Heading 1 Char1"/>
    <w:aliases w:val="Heading 1 Char Char"/>
    <w:link w:val="Heading1"/>
    <w:rsid w:val="0042063B"/>
    <w:rPr>
      <w:rFonts w:ascii="Arial" w:hAnsi="Arial"/>
      <w:b/>
      <w:smallCaps/>
      <w:kern w:val="28"/>
      <w:sz w:val="36"/>
      <w:lang w:val="en-US" w:eastAsia="en-US" w:bidi="ar-SA"/>
    </w:rPr>
  </w:style>
  <w:style w:type="paragraph" w:styleId="BalloonText">
    <w:name w:val="Balloon Text"/>
    <w:basedOn w:val="Normal"/>
    <w:semiHidden/>
    <w:rsid w:val="005526E1"/>
    <w:rPr>
      <w:rFonts w:ascii="Lucida Grande" w:eastAsia="Times New Roman" w:hAnsi="Lucida Grande"/>
      <w:sz w:val="18"/>
      <w:szCs w:val="18"/>
      <w:lang w:eastAsia="en-US"/>
    </w:rPr>
  </w:style>
  <w:style w:type="character" w:styleId="Hyperlink">
    <w:name w:val="Hyperlink"/>
    <w:rsid w:val="0052060C"/>
    <w:rPr>
      <w:color w:val="0000FF"/>
      <w:u w:val="single"/>
    </w:rPr>
  </w:style>
  <w:style w:type="table" w:styleId="TableGrid">
    <w:name w:val="Table Grid"/>
    <w:basedOn w:val="TableNormal"/>
    <w:uiPriority w:val="39"/>
    <w:rsid w:val="005F0C2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121C"/>
    <w:pPr>
      <w:spacing w:after="200" w:line="276" w:lineRule="auto"/>
      <w:ind w:left="720"/>
      <w:contextualSpacing/>
    </w:pPr>
    <w:rPr>
      <w:rFonts w:ascii="Calibri" w:eastAsia="Calibri" w:hAnsi="Calibri"/>
      <w:sz w:val="22"/>
      <w:szCs w:val="22"/>
      <w:lang w:eastAsia="en-US"/>
    </w:rPr>
  </w:style>
  <w:style w:type="paragraph" w:styleId="PlainText">
    <w:name w:val="Plain Text"/>
    <w:basedOn w:val="Normal"/>
    <w:link w:val="PlainTextChar"/>
    <w:uiPriority w:val="99"/>
    <w:unhideWhenUsed/>
    <w:rsid w:val="00F61756"/>
    <w:rPr>
      <w:rFonts w:ascii="Calibri" w:eastAsiaTheme="minorEastAsia" w:hAnsi="Calibri" w:cstheme="minorBidi"/>
      <w:sz w:val="22"/>
      <w:szCs w:val="21"/>
    </w:rPr>
  </w:style>
  <w:style w:type="character" w:customStyle="1" w:styleId="PlainTextChar">
    <w:name w:val="Plain Text Char"/>
    <w:basedOn w:val="DefaultParagraphFont"/>
    <w:link w:val="PlainText"/>
    <w:uiPriority w:val="99"/>
    <w:rsid w:val="00F61756"/>
    <w:rPr>
      <w:rFonts w:ascii="Calibri" w:eastAsiaTheme="minorEastAsia" w:hAnsi="Calibri" w:cstheme="minorBidi"/>
      <w:sz w:val="22"/>
      <w:szCs w:val="21"/>
    </w:rPr>
  </w:style>
  <w:style w:type="paragraph" w:styleId="NormalWeb">
    <w:name w:val="Normal (Web)"/>
    <w:basedOn w:val="Normal"/>
    <w:uiPriority w:val="99"/>
    <w:unhideWhenUsed/>
    <w:rsid w:val="00D9507F"/>
    <w:pPr>
      <w:spacing w:before="100" w:beforeAutospacing="1" w:after="100" w:afterAutospacing="1"/>
    </w:pPr>
    <w:rPr>
      <w:rFonts w:eastAsiaTheme="minorEastAsia"/>
    </w:rPr>
  </w:style>
  <w:style w:type="paragraph" w:styleId="Caption">
    <w:name w:val="caption"/>
    <w:basedOn w:val="Normal"/>
    <w:next w:val="Normal"/>
    <w:unhideWhenUsed/>
    <w:qFormat/>
    <w:rsid w:val="002C739B"/>
    <w:pPr>
      <w:spacing w:after="200"/>
    </w:pPr>
    <w:rPr>
      <w:i/>
      <w:iCs/>
      <w:color w:val="44546A" w:themeColor="text2"/>
      <w:sz w:val="18"/>
      <w:szCs w:val="18"/>
    </w:rPr>
  </w:style>
  <w:style w:type="paragraph" w:styleId="Footer">
    <w:name w:val="footer"/>
    <w:basedOn w:val="Normal"/>
    <w:link w:val="FooterChar"/>
    <w:uiPriority w:val="99"/>
    <w:unhideWhenUsed/>
    <w:rsid w:val="00105E44"/>
    <w:pPr>
      <w:tabs>
        <w:tab w:val="center" w:pos="4320"/>
        <w:tab w:val="right" w:pos="8640"/>
      </w:tabs>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105E44"/>
    <w:rPr>
      <w:rFonts w:asciiTheme="minorHAnsi" w:eastAsiaTheme="minorEastAsia"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3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12702-6144-044C-AED2-E0D996AEB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11</Pages>
  <Words>4194</Words>
  <Characters>24621</Characters>
  <Application>Microsoft Macintosh Word</Application>
  <DocSecurity>0</DocSecurity>
  <Lines>403</Lines>
  <Paragraphs>83</Paragraphs>
  <ScaleCrop>false</ScaleCrop>
  <HeadingPairs>
    <vt:vector size="2" baseType="variant">
      <vt:variant>
        <vt:lpstr>Title</vt:lpstr>
      </vt:variant>
      <vt:variant>
        <vt:i4>1</vt:i4>
      </vt:variant>
    </vt:vector>
  </HeadingPairs>
  <TitlesOfParts>
    <vt:vector size="1" baseType="lpstr">
      <vt:lpstr>RESPONSE LETTER</vt:lpstr>
    </vt:vector>
  </TitlesOfParts>
  <Company>Dana Farber</Company>
  <LinksUpToDate>false</LinksUpToDate>
  <CharactersWithSpaces>28732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LETTER</dc:title>
  <dc:subject/>
  <dc:creator>Haiyuan Yu</dc:creator>
  <cp:keywords/>
  <dc:description/>
  <cp:lastModifiedBy>DECLAN CLARKE</cp:lastModifiedBy>
  <cp:revision>79</cp:revision>
  <cp:lastPrinted>2014-06-23T22:43:00Z</cp:lastPrinted>
  <dcterms:created xsi:type="dcterms:W3CDTF">2015-11-29T08:04:00Z</dcterms:created>
  <dcterms:modified xsi:type="dcterms:W3CDTF">2015-12-08T20:49:00Z</dcterms:modified>
</cp:coreProperties>
</file>