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EE1974" w:rsidRDefault="00CD3A5D" w:rsidP="003F3510">
            <w:pPr>
              <w:pStyle w:val="author"/>
              <w:jc w:val="both"/>
              <w:rPr>
                <w:rFonts w:cs="Arial"/>
              </w:rPr>
            </w:pPr>
            <w:r>
              <w:rPr>
                <w:rFonts w:cs="Arial"/>
              </w:rPr>
              <w:t xml:space="preserve">We would like to thank the reviewer for pointing out the importance of allelic mapping bias, which 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t>personal genomes [</w:t>
            </w:r>
            <w:r w:rsidR="004E7793">
              <w:rPr>
                <w:rFonts w:cs="Arial"/>
                <w:color w:val="FF0000"/>
              </w:rPr>
              <w:t>1,</w:t>
            </w:r>
            <w:r w:rsidR="00DF1CD0">
              <w:rPr>
                <w:rFonts w:cs="Arial"/>
                <w:color w:val="FF0000"/>
              </w:rPr>
              <w:t>3,4,</w:t>
            </w:r>
            <w:r w:rsidR="004E7793">
              <w:rPr>
                <w:rFonts w:cs="Arial"/>
                <w:color w:val="FF0000"/>
              </w:rPr>
              <w:t>5</w:t>
            </w:r>
            <w:r w:rsidR="00DF1CD0">
              <w:rPr>
                <w:rFonts w:cs="Arial"/>
              </w:rPr>
              <w:t xml:space="preserve">]. </w:t>
            </w:r>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genomes as a rigorous </w:t>
            </w:r>
            <w:r w:rsidR="00BF2C83" w:rsidRPr="001C434A">
              <w:rPr>
                <w:rFonts w:cs="Arial"/>
              </w:rPr>
              <w:lastRenderedPageBreak/>
              <w:t xml:space="preserve">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1,3,4,</w:t>
            </w:r>
            <w:r w:rsidR="00BF2C83" w:rsidRPr="001C434A">
              <w:rPr>
                <w:rFonts w:cs="Arial"/>
                <w:color w:val="FF0000"/>
              </w:rPr>
              <w:t>5</w:t>
            </w:r>
            <w:r w:rsidR="00BF2C83" w:rsidRPr="001C434A">
              <w:rPr>
                <w:rFonts w:cs="Arial"/>
              </w:rPr>
              <w:t>].</w:t>
            </w:r>
            <w:r w:rsidR="00BF2C83">
              <w:rPr>
                <w:rFonts w:cs="Arial"/>
              </w:rPr>
              <w:t xml:space="preserve"> </w:t>
            </w:r>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Pr>
                <w:rFonts w:cs="Arial"/>
              </w:rPr>
              <w:t xml:space="preserve"> </w:t>
            </w:r>
            <w:r w:rsidR="00DF1CD0" w:rsidRPr="001C434A">
              <w:rPr>
                <w:rFonts w:cs="Arial"/>
              </w:rPr>
              <w:t xml:space="preserve">to focus </w:t>
            </w:r>
            <w:r w:rsidR="00DF1CD0">
              <w:rPr>
                <w:rFonts w:cs="Arial"/>
              </w:rPr>
              <w:t xml:space="preserve">specifically </w:t>
            </w:r>
            <w:r w:rsidR="00DF1CD0" w:rsidRPr="001C434A">
              <w:rPr>
                <w:rFonts w:cs="Arial"/>
              </w:rPr>
              <w:t>on rectifying the reference bias</w:t>
            </w:r>
            <w:r w:rsidR="00DF1CD0">
              <w:rPr>
                <w:rFonts w:cs="Arial"/>
              </w:rPr>
              <w:t xml:space="preserve"> by aligning </w:t>
            </w:r>
            <w:r w:rsidR="00BF2C83">
              <w:rPr>
                <w:rFonts w:cs="Arial"/>
              </w:rPr>
              <w:t xml:space="preserve">reads </w:t>
            </w:r>
            <w:r w:rsidR="00C30393">
              <w:rPr>
                <w:rFonts w:cs="Arial"/>
              </w:rPr>
              <w:t>to</w:t>
            </w:r>
            <w:r w:rsidR="00BF2C83">
              <w:rPr>
                <w:rFonts w:cs="Arial"/>
              </w:rPr>
              <w:t xml:space="preserve"> their corresponding </w:t>
            </w:r>
            <w:r w:rsidR="00DF1CD0">
              <w:rPr>
                <w:rFonts w:cs="Arial"/>
              </w:rPr>
              <w:t>diploid personal genome</w:t>
            </w:r>
            <w:r w:rsidR="00DF1CD0" w:rsidRPr="001C434A">
              <w:rPr>
                <w:rFonts w:cs="Arial"/>
              </w:rPr>
              <w:t xml:space="preserve">. </w:t>
            </w:r>
          </w:p>
          <w:p w:rsidR="00EE1974" w:rsidRDefault="00EE1974" w:rsidP="003F3510">
            <w:pPr>
              <w:pStyle w:val="author"/>
              <w:jc w:val="both"/>
              <w:rPr>
                <w:rFonts w:cs="Arial"/>
              </w:rPr>
            </w:pPr>
          </w:p>
          <w:p w:rsidR="007F5C77" w:rsidRDefault="004E7793" w:rsidP="003F3510">
            <w:pPr>
              <w:pStyle w:val="author"/>
              <w:jc w:val="both"/>
              <w:rPr>
                <w:rFonts w:cs="Arial"/>
              </w:rPr>
            </w:pPr>
            <w:r>
              <w:rPr>
                <w:rFonts w:cs="Arial"/>
              </w:rPr>
              <w:t>T</w:t>
            </w:r>
            <w:r w:rsidR="00EE1974">
              <w:rPr>
                <w:rFonts w:cs="Arial"/>
              </w:rPr>
              <w:t>here is currently no single solution to totally eliminate allelic mapping bias [</w:t>
            </w:r>
            <w:r w:rsidR="00EE1974" w:rsidRPr="00EE1974">
              <w:rPr>
                <w:rFonts w:cs="Arial"/>
                <w:color w:val="FF0000"/>
              </w:rPr>
              <w:t>1</w:t>
            </w:r>
            <w:r>
              <w:rPr>
                <w:rFonts w:cs="Arial"/>
              </w:rPr>
              <w:t>]. Hence,</w:t>
            </w:r>
            <w:r w:rsidR="00EE1974">
              <w:rPr>
                <w:rFonts w:cs="Arial"/>
              </w:rPr>
              <w:t xml:space="preserve"> w</w:t>
            </w:r>
            <w:r w:rsidR="00C92C91">
              <w:rPr>
                <w:rFonts w:cs="Arial"/>
              </w:rPr>
              <w:t>hile</w:t>
            </w:r>
            <w:r w:rsidR="00DC04B4">
              <w:rPr>
                <w:rFonts w:cs="Arial"/>
              </w:rPr>
              <w:t xml:space="preserve"> </w:t>
            </w:r>
            <w:r w:rsidR="00D95104">
              <w:rPr>
                <w:rFonts w:cs="Arial"/>
              </w:rPr>
              <w:t>a small proportion of the mapping bias will still exist</w:t>
            </w:r>
            <w:r w:rsidR="00D95104">
              <w:rPr>
                <w:rFonts w:cs="Arial"/>
              </w:rPr>
              <w:t>,</w:t>
            </w:r>
            <w:r w:rsidR="00D95104">
              <w:rPr>
                <w:rFonts w:cs="Arial"/>
              </w:rPr>
              <w:t xml:space="preserve"> </w:t>
            </w:r>
            <w:r w:rsidR="00C92C91">
              <w:rPr>
                <w:rFonts w:cs="Arial"/>
              </w:rPr>
              <w:t>w</w:t>
            </w:r>
            <w:r w:rsidR="00C90809">
              <w:rPr>
                <w:rFonts w:cs="Arial"/>
              </w:rPr>
              <w:t xml:space="preserve">e </w:t>
            </w:r>
            <w:r w:rsidR="00EE1974">
              <w:rPr>
                <w:rFonts w:cs="Arial"/>
              </w:rPr>
              <w:t xml:space="preserve">do </w:t>
            </w:r>
            <w:r w:rsidR="00C90809">
              <w:rPr>
                <w:rFonts w:cs="Arial"/>
              </w:rPr>
              <w:t xml:space="preserve">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r w:rsidR="00DC04B4">
              <w:rPr>
                <w:rFonts w:cs="Arial"/>
              </w:rPr>
              <w:t xml:space="preserve">the </w:t>
            </w:r>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r w:rsidR="00DC04B4">
              <w:rPr>
                <w:rFonts w:cs="Arial"/>
              </w:rPr>
              <w:t>.</w:t>
            </w:r>
            <w:r w:rsidR="00BF2C83">
              <w:rPr>
                <w:rFonts w:cs="Arial"/>
              </w:rPr>
              <w:t xml:space="preserve"> </w:t>
            </w:r>
          </w:p>
          <w:p w:rsidR="007F5C77" w:rsidRDefault="007F5C77" w:rsidP="003F3510">
            <w:pPr>
              <w:pStyle w:val="author"/>
              <w:jc w:val="both"/>
              <w:rPr>
                <w:rFonts w:cs="Arial"/>
              </w:rPr>
            </w:pPr>
          </w:p>
          <w:p w:rsidR="007F5C77" w:rsidRDefault="00D95104" w:rsidP="003F3510">
            <w:pPr>
              <w:pStyle w:val="author"/>
              <w:jc w:val="both"/>
              <w:rPr>
                <w:rFonts w:cs="Arial"/>
              </w:rPr>
            </w:pPr>
            <w:r>
              <w:rPr>
                <w:rFonts w:cs="Arial"/>
              </w:rPr>
              <w:t xml:space="preserve">Nonetheless, </w:t>
            </w:r>
            <w:r w:rsidR="00C7283E">
              <w:rPr>
                <w:rFonts w:cs="Arial"/>
              </w:rPr>
              <w:t xml:space="preserve">in this revision, </w:t>
            </w:r>
            <w:r w:rsidR="00C30393">
              <w:rPr>
                <w:rFonts w:cs="Arial"/>
              </w:rPr>
              <w:t>w</w:t>
            </w:r>
            <w:r w:rsidR="007F5C77">
              <w:rPr>
                <w:rFonts w:cs="Arial"/>
              </w:rPr>
              <w:t xml:space="preserve">e </w:t>
            </w:r>
            <w:r w:rsidR="00C7283E">
              <w:rPr>
                <w:rFonts w:cs="Arial"/>
              </w:rPr>
              <w:t xml:space="preserve">have </w:t>
            </w:r>
            <w:r w:rsidR="00EE1974">
              <w:rPr>
                <w:rFonts w:cs="Arial"/>
              </w:rPr>
              <w:t xml:space="preserve">further </w:t>
            </w:r>
            <w:r w:rsidR="007F5C77">
              <w:rPr>
                <w:rFonts w:cs="Arial"/>
              </w:rPr>
              <w:t>examine</w:t>
            </w:r>
            <w:r w:rsidR="00C30393">
              <w:rPr>
                <w:rFonts w:cs="Arial"/>
              </w:rPr>
              <w:t>d</w:t>
            </w:r>
            <w:r w:rsidR="007F5C77">
              <w:rPr>
                <w:rFonts w:cs="Arial"/>
              </w:rPr>
              <w:t xml:space="preserve"> </w:t>
            </w:r>
            <w:r w:rsidR="00EE1974">
              <w:rPr>
                <w:rFonts w:cs="Arial"/>
              </w:rPr>
              <w:t xml:space="preserve">another bias within this </w:t>
            </w:r>
            <w:r w:rsidR="00BF2C83">
              <w:rPr>
                <w:rFonts w:cs="Arial"/>
              </w:rPr>
              <w:t>small proportion of allelic mapping bias</w:t>
            </w:r>
            <w:r w:rsidR="007F5C77">
              <w:rPr>
                <w:rFonts w:cs="Arial"/>
              </w:rPr>
              <w:t>, which w</w:t>
            </w:r>
            <w:r w:rsidR="007F5C77">
              <w:rPr>
                <w:rFonts w:cs="Arial"/>
              </w:rPr>
              <w:t xml:space="preserve">e termed </w:t>
            </w:r>
            <w:r w:rsidR="007F5C77">
              <w:rPr>
                <w:rFonts w:cs="Arial"/>
              </w:rPr>
              <w:t xml:space="preserve">the </w:t>
            </w:r>
            <w:r w:rsidR="007F5C77">
              <w:rPr>
                <w:rFonts w:cs="Arial"/>
              </w:rPr>
              <w:t>‘ambiguous mapping bias’</w:t>
            </w:r>
            <w:r w:rsidR="007F5C77">
              <w:rPr>
                <w:rFonts w:cs="Arial"/>
              </w:rPr>
              <w:t>. In the context of the personal genome, this can</w:t>
            </w:r>
            <w:r w:rsidR="001E4031">
              <w:rPr>
                <w:rFonts w:cs="Arial"/>
              </w:rPr>
              <w:t xml:space="preserve"> </w:t>
            </w:r>
            <w:r w:rsidR="00BF2C83">
              <w:rPr>
                <w:rFonts w:cs="Arial"/>
              </w:rPr>
              <w:t xml:space="preserve">occur due </w:t>
            </w:r>
            <w:r w:rsidR="004E7793">
              <w:rPr>
                <w:rFonts w:cs="Arial"/>
              </w:rPr>
              <w:t>to</w:t>
            </w:r>
            <w:r w:rsidR="001E4031">
              <w:rPr>
                <w:rFonts w:cs="Arial"/>
              </w:rPr>
              <w:t xml:space="preserve"> seq</w:t>
            </w:r>
            <w:r w:rsidR="004E7793">
              <w:rPr>
                <w:rFonts w:cs="Arial"/>
              </w:rPr>
              <w:t>uence homology in other regions</w:t>
            </w:r>
            <w:r w:rsidR="001E4031">
              <w:rPr>
                <w:rFonts w:cs="Arial"/>
              </w:rPr>
              <w:t xml:space="preserve"> (</w:t>
            </w:r>
            <w:r w:rsidR="006875B3" w:rsidRPr="006875B3">
              <w:rPr>
                <w:rFonts w:cs="Arial"/>
                <w:color w:val="FF0000"/>
              </w:rPr>
              <w:t xml:space="preserve">new </w:t>
            </w:r>
            <w:r w:rsidR="001E4031" w:rsidRPr="00DE36CB">
              <w:rPr>
                <w:rFonts w:cs="Arial"/>
                <w:color w:val="FF0000"/>
              </w:rPr>
              <w:t>Figure</w:t>
            </w:r>
            <w:r w:rsidR="007C3BB5">
              <w:rPr>
                <w:rFonts w:cs="Arial"/>
                <w:color w:val="FF0000"/>
              </w:rPr>
              <w:t xml:space="preserve"> 1</w:t>
            </w:r>
            <w:r w:rsidR="006875B3">
              <w:rPr>
                <w:rFonts w:cs="Arial"/>
                <w:color w:val="FF0000"/>
              </w:rPr>
              <w:t xml:space="preserve"> in the manuscript</w:t>
            </w:r>
            <w:r w:rsidR="001E4031">
              <w:rPr>
                <w:rFonts w:cs="Arial"/>
              </w:rPr>
              <w:t>)</w:t>
            </w:r>
            <w:r w:rsidR="007F5C77">
              <w:rPr>
                <w:rFonts w:cs="Arial"/>
              </w:rPr>
              <w:t>,</w:t>
            </w:r>
            <w:r w:rsidR="001E4031">
              <w:rPr>
                <w:rFonts w:cs="Arial"/>
              </w:rPr>
              <w:t xml:space="preserve">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7F5C77">
              <w:rPr>
                <w:rFonts w:cs="Arial"/>
              </w:rPr>
              <w:t>]</w:t>
            </w:r>
            <w:r w:rsidR="003F3510">
              <w:rPr>
                <w:rFonts w:cs="Arial"/>
              </w:rPr>
              <w:t xml:space="preserve">. </w:t>
            </w:r>
            <w:r w:rsidR="004472F7">
              <w:rPr>
                <w:rFonts w:cs="Arial"/>
              </w:rPr>
              <w:t>To date, t</w:t>
            </w:r>
            <w:r w:rsidR="003F3510">
              <w:rPr>
                <w:rFonts w:cs="Arial"/>
              </w:rPr>
              <w:t xml:space="preserve">he primary </w:t>
            </w:r>
            <w:r w:rsidR="007F5C77">
              <w:rPr>
                <w:rFonts w:cs="Arial"/>
              </w:rPr>
              <w:t xml:space="preserve">strategy </w:t>
            </w:r>
            <w:r w:rsidR="00BF2C83">
              <w:rPr>
                <w:rFonts w:cs="Arial"/>
              </w:rPr>
              <w:t xml:space="preserve">to manage this bias </w:t>
            </w:r>
            <w:r w:rsidR="003F3510">
              <w:rPr>
                <w:rFonts w:cs="Arial"/>
              </w:rPr>
              <w:t xml:space="preserve">has been </w:t>
            </w:r>
            <w:r w:rsidR="004E7793">
              <w:rPr>
                <w:rFonts w:cs="Arial"/>
              </w:rPr>
              <w:t xml:space="preserve">via simulation of uniquely mapped reads and </w:t>
            </w:r>
            <w:r w:rsidR="003F3510">
              <w:rPr>
                <w:rFonts w:cs="Arial"/>
              </w:rPr>
              <w:t>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3F3510" w:rsidRPr="00443605">
              <w:rPr>
                <w:rFonts w:cs="Arial"/>
                <w:color w:val="FF0000"/>
              </w:rPr>
              <w:t>1,5,7,8,9</w:t>
            </w:r>
            <w:r w:rsidR="003F3510" w:rsidRPr="00443605">
              <w:rPr>
                <w:rFonts w:cs="Arial"/>
              </w:rPr>
              <w:t xml:space="preserve">]. </w:t>
            </w:r>
            <w:r w:rsidR="007F5C77">
              <w:rPr>
                <w:rFonts w:cs="Arial"/>
              </w:rPr>
              <w:t xml:space="preserve">However, we found that site removal can be overly stringent, since </w:t>
            </w:r>
            <w:r w:rsidR="006875B3">
              <w:rPr>
                <w:rFonts w:cs="Arial"/>
              </w:rPr>
              <w:t xml:space="preserve">many of </w:t>
            </w:r>
            <w:r w:rsidR="006875B3">
              <w:rPr>
                <w:rFonts w:cs="Arial"/>
              </w:rPr>
              <w:t>these implicated sites</w:t>
            </w:r>
            <w:r w:rsidR="006875B3">
              <w:rPr>
                <w:rFonts w:cs="Arial"/>
              </w:rPr>
              <w:t xml:space="preserve"> are still detected as allele-specific under the beta-binomial test</w:t>
            </w:r>
            <w:r w:rsidR="006875B3">
              <w:rPr>
                <w:rFonts w:cs="Arial"/>
              </w:rPr>
              <w:t xml:space="preserve"> if we remove only the reads</w:t>
            </w:r>
            <w:r w:rsidR="006875B3">
              <w:rPr>
                <w:rFonts w:cs="Arial"/>
              </w:rPr>
              <w:t xml:space="preserve"> </w:t>
            </w:r>
            <w:r w:rsidR="006875B3">
              <w:rPr>
                <w:rFonts w:cs="Arial"/>
              </w:rPr>
              <w:t xml:space="preserve">with ambiguous mapping bias </w:t>
            </w:r>
            <w:r w:rsidR="006875B3">
              <w:rPr>
                <w:rFonts w:cs="Arial"/>
              </w:rPr>
              <w:t>(</w:t>
            </w:r>
            <w:r w:rsidR="006875B3" w:rsidRPr="006875B3">
              <w:rPr>
                <w:rFonts w:cs="Arial"/>
                <w:color w:val="FF0000"/>
              </w:rPr>
              <w:t xml:space="preserve">new </w:t>
            </w:r>
            <w:r w:rsidR="006875B3">
              <w:rPr>
                <w:rFonts w:cs="Arial"/>
                <w:color w:val="FF0000"/>
              </w:rPr>
              <w:t>Supplementary Table</w:t>
            </w:r>
            <w:r w:rsidR="006875B3">
              <w:rPr>
                <w:rFonts w:cs="Arial"/>
                <w:color w:val="FF0000"/>
              </w:rPr>
              <w:t xml:space="preserve"> 5 in the manuscript</w:t>
            </w:r>
            <w:r w:rsidR="006875B3">
              <w:rPr>
                <w:rFonts w:cs="Arial"/>
              </w:rPr>
              <w:t>)</w:t>
            </w:r>
            <w:r w:rsidR="006875B3">
              <w:rPr>
                <w:rFonts w:cs="Arial"/>
              </w:rPr>
              <w:t xml:space="preserve">. </w:t>
            </w:r>
            <w:r w:rsidR="004E7793">
              <w:rPr>
                <w:rFonts w:cs="Arial"/>
              </w:rPr>
              <w:t xml:space="preserve">Hence, we adopted the </w:t>
            </w:r>
            <w:r w:rsidR="004E7793">
              <w:rPr>
                <w:rFonts w:cs="Arial"/>
              </w:rPr>
              <w:t>ambiguous-read-removal</w:t>
            </w:r>
            <w:r w:rsidR="004E7793">
              <w:rPr>
                <w:rFonts w:cs="Arial"/>
              </w:rPr>
              <w:t xml:space="preserve"> strategy</w:t>
            </w:r>
            <w:r w:rsidR="00C30393">
              <w:rPr>
                <w:rFonts w:cs="Arial"/>
              </w:rPr>
              <w:t>.</w:t>
            </w:r>
            <w:r w:rsidR="004E7793">
              <w:rPr>
                <w:rFonts w:cs="Arial"/>
              </w:rPr>
              <w:t xml:space="preserve"> E</w:t>
            </w:r>
            <w:r w:rsidR="006875B3">
              <w:rPr>
                <w:rFonts w:cs="Arial"/>
              </w:rPr>
              <w:t xml:space="preserve">ven though </w:t>
            </w:r>
            <w:r w:rsidR="004E7793">
              <w:rPr>
                <w:rFonts w:cs="Arial"/>
              </w:rPr>
              <w:t xml:space="preserve">it </w:t>
            </w:r>
            <w:r w:rsidR="003947D2" w:rsidRPr="0092385A">
              <w:rPr>
                <w:rFonts w:cs="Arial"/>
              </w:rPr>
              <w:t>is computationally more expensive</w:t>
            </w:r>
            <w:r w:rsidR="00D7239A">
              <w:rPr>
                <w:rFonts w:cs="Arial"/>
              </w:rPr>
              <w:t xml:space="preserve"> </w:t>
            </w:r>
            <w:r w:rsidR="006875B3">
              <w:rPr>
                <w:rFonts w:cs="Arial"/>
              </w:rPr>
              <w:t>(</w:t>
            </w:r>
            <w:r w:rsidR="00D7239A">
              <w:rPr>
                <w:rFonts w:cs="Arial"/>
              </w:rPr>
              <w:t xml:space="preserve">since we need to </w:t>
            </w:r>
            <w:r w:rsidR="006875B3">
              <w:rPr>
                <w:rFonts w:cs="Arial"/>
              </w:rPr>
              <w:t xml:space="preserve">filter and </w:t>
            </w:r>
            <w:r w:rsidR="00D7239A">
              <w:rPr>
                <w:rFonts w:cs="Arial"/>
              </w:rPr>
              <w:t>re-process the original read pile</w:t>
            </w:r>
            <w:r w:rsidR="006875B3">
              <w:rPr>
                <w:rFonts w:cs="Arial"/>
              </w:rPr>
              <w:t>)</w:t>
            </w:r>
            <w:r w:rsidR="003947D2" w:rsidRPr="0092385A">
              <w:rPr>
                <w:rFonts w:cs="Arial"/>
              </w:rPr>
              <w:t xml:space="preserve">, </w:t>
            </w:r>
            <w:r w:rsidR="006875B3">
              <w:rPr>
                <w:rFonts w:cs="Arial"/>
              </w:rPr>
              <w:t>it provides the double advantage of being able to remove potential false positives and yet still able to retain</w:t>
            </w:r>
            <w:r w:rsidR="003947D2">
              <w:rPr>
                <w:rFonts w:cs="Arial"/>
              </w:rPr>
              <w:t xml:space="preserve"> those that are strongly allele-specific. Interestingly, while we were working on this submission, van de Geijn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w:t>
            </w:r>
            <w:r w:rsidR="0064304A">
              <w:rPr>
                <w:rFonts w:cs="Arial"/>
              </w:rPr>
              <w:t>, in order to account</w:t>
            </w:r>
            <w:r w:rsidR="003947D2">
              <w:rPr>
                <w:rFonts w:cs="Arial"/>
              </w:rPr>
              <w:t xml:space="preserve"> </w:t>
            </w:r>
            <w:r w:rsidR="0064304A">
              <w:rPr>
                <w:rFonts w:cs="Arial"/>
              </w:rPr>
              <w:t xml:space="preserve">for allelic mapping bias </w:t>
            </w:r>
            <w:r w:rsidR="003947D2">
              <w:rPr>
                <w:rFonts w:cs="Arial"/>
              </w:rPr>
              <w:t>[</w:t>
            </w:r>
            <w:r w:rsidR="003947D2" w:rsidRPr="00395E7B">
              <w:rPr>
                <w:rFonts w:cs="Arial"/>
                <w:color w:val="FF0000"/>
              </w:rPr>
              <w:t>6</w:t>
            </w:r>
            <w:r w:rsidR="003947D2">
              <w:rPr>
                <w:rFonts w:cs="Arial"/>
              </w:rPr>
              <w:t>].</w:t>
            </w:r>
            <w:r w:rsidR="006875B3">
              <w:rPr>
                <w:rFonts w:cs="Arial"/>
              </w:rPr>
              <w:t xml:space="preserve"> </w:t>
            </w:r>
          </w:p>
          <w:p w:rsidR="00395E7B" w:rsidRDefault="00395E7B" w:rsidP="004F3ED6">
            <w:pPr>
              <w:pStyle w:val="author"/>
              <w:jc w:val="both"/>
              <w:rPr>
                <w:rFonts w:cs="Arial"/>
              </w:rPr>
            </w:pPr>
          </w:p>
          <w:p w:rsidR="00C30393" w:rsidRDefault="00415292" w:rsidP="002E0ACF">
            <w:pPr>
              <w:pStyle w:val="author"/>
              <w:jc w:val="both"/>
              <w:rPr>
                <w:rFonts w:cs="Arial"/>
              </w:rPr>
            </w:pPr>
            <w:r>
              <w:rPr>
                <w:rFonts w:cs="Arial"/>
              </w:rPr>
              <w:t>So far</w:t>
            </w:r>
            <w:r w:rsidR="006875B3">
              <w:rPr>
                <w:rFonts w:cs="Arial"/>
              </w:rPr>
              <w:t xml:space="preserve">, </w:t>
            </w:r>
            <w:r w:rsidR="003F3510">
              <w:rPr>
                <w:rFonts w:cs="Arial"/>
              </w:rPr>
              <w:t xml:space="preserve">we have </w:t>
            </w:r>
            <w:r>
              <w:rPr>
                <w:rFonts w:cs="Arial"/>
              </w:rPr>
              <w:t xml:space="preserve">reprocessed all the datasets and analyses carefully twice, with each round taking approximately </w:t>
            </w:r>
            <w:r w:rsidR="0064304A">
              <w:rPr>
                <w:rFonts w:cs="Arial"/>
              </w:rPr>
              <w:t>3</w:t>
            </w:r>
            <w:r>
              <w:rPr>
                <w:rFonts w:cs="Arial"/>
              </w:rPr>
              <w:t xml:space="preserve"> months. We hope we have satisfied the reviewer by carefully implementing and accounting for not one, but two,</w:t>
            </w:r>
            <w:r w:rsidR="003947D2">
              <w:rPr>
                <w:rFonts w:cs="Arial"/>
              </w:rPr>
              <w:t xml:space="preserve"> main types of</w:t>
            </w:r>
            <w:r w:rsidR="003F3510">
              <w:rPr>
                <w:rFonts w:cs="Arial"/>
              </w:rPr>
              <w:t xml:space="preserve"> </w:t>
            </w:r>
            <w:r w:rsidR="003947D2">
              <w:rPr>
                <w:rFonts w:cs="Arial"/>
              </w:rPr>
              <w:t>allelic mapping bias</w:t>
            </w:r>
            <w:r>
              <w:rPr>
                <w:rFonts w:cs="Arial"/>
              </w:rPr>
              <w:t>,</w:t>
            </w:r>
            <w:r w:rsidR="003947D2">
              <w:rPr>
                <w:rFonts w:cs="Arial"/>
              </w:rPr>
              <w:t xml:space="preserve"> </w:t>
            </w:r>
            <w:r w:rsidR="003F3510">
              <w:rPr>
                <w:rFonts w:cs="Arial"/>
              </w:rPr>
              <w:t>in the context of the diploid personal genome.</w:t>
            </w:r>
            <w:r w:rsidR="003947D2">
              <w:rPr>
                <w:rFonts w:cs="Arial"/>
              </w:rPr>
              <w:t xml:space="preserve"> </w:t>
            </w:r>
            <w:r w:rsidR="00BB6D30" w:rsidRPr="00BB6D30">
              <w:rPr>
                <w:rFonts w:cs="Arial"/>
              </w:rPr>
              <w:t xml:space="preserve">Additionally, </w:t>
            </w:r>
            <w:r w:rsidR="00675AF2" w:rsidRPr="00BB6D30">
              <w:rPr>
                <w:rFonts w:cs="Arial"/>
              </w:rPr>
              <w:t>our approach</w:t>
            </w:r>
            <w:r w:rsidR="00BB6D30" w:rsidRPr="00BB6D30">
              <w:rPr>
                <w:rFonts w:cs="Arial"/>
              </w:rPr>
              <w:t xml:space="preserve"> is already conservative</w:t>
            </w:r>
            <w:r w:rsidR="00675AF2" w:rsidRPr="00BB6D30">
              <w:rPr>
                <w:rFonts w:cs="Arial"/>
              </w:rPr>
              <w:t xml:space="preserve">, </w:t>
            </w:r>
            <w:r w:rsidR="00BB6D30" w:rsidRPr="00BB6D30">
              <w:rPr>
                <w:rFonts w:cs="Arial"/>
              </w:rPr>
              <w:t xml:space="preserve">with multiple </w:t>
            </w:r>
            <w:r>
              <w:rPr>
                <w:rFonts w:cs="Arial"/>
              </w:rPr>
              <w:t xml:space="preserve">additional </w:t>
            </w:r>
            <w:r w:rsidR="00BB6D30" w:rsidRPr="00BB6D30">
              <w:rPr>
                <w:rFonts w:cs="Arial"/>
              </w:rPr>
              <w:t xml:space="preserve">filters </w:t>
            </w:r>
            <w:r w:rsidR="00BB6D30">
              <w:rPr>
                <w:rFonts w:cs="Arial"/>
              </w:rPr>
              <w:t xml:space="preserve">in place, </w:t>
            </w:r>
            <w:r w:rsidR="00BB6D30" w:rsidRPr="000F3D9B">
              <w:rPr>
                <w:rFonts w:cs="Arial"/>
                <w:color w:val="FF0000"/>
              </w:rPr>
              <w:t xml:space="preserve">such as </w:t>
            </w:r>
            <w:r w:rsidRPr="000F3D9B">
              <w:rPr>
                <w:rFonts w:cs="Arial"/>
                <w:color w:val="FF0000"/>
              </w:rPr>
              <w:t>quality control via the removal of</w:t>
            </w:r>
            <w:r w:rsidR="00BB6D30" w:rsidRPr="000F3D9B">
              <w:rPr>
                <w:rFonts w:cs="Arial"/>
                <w:color w:val="FF0000"/>
              </w:rPr>
              <w:t xml:space="preserve"> </w:t>
            </w:r>
            <w:r w:rsidR="00675AF2" w:rsidRPr="000F3D9B">
              <w:rPr>
                <w:rFonts w:cs="Arial"/>
                <w:color w:val="FF0000"/>
              </w:rPr>
              <w:t xml:space="preserve">highly over-dispersed datasets and using the beta-binomial </w:t>
            </w:r>
            <w:r w:rsidR="00BB6D30" w:rsidRPr="000F3D9B">
              <w:rPr>
                <w:rFonts w:cs="Arial"/>
                <w:color w:val="FF0000"/>
              </w:rPr>
              <w:t xml:space="preserve">test </w:t>
            </w:r>
            <w:r w:rsidR="00675AF2" w:rsidRPr="000F3D9B">
              <w:rPr>
                <w:rFonts w:cs="Arial"/>
                <w:color w:val="FF0000"/>
              </w:rPr>
              <w:t xml:space="preserve">with an FDR of 5% </w:t>
            </w:r>
            <w:r w:rsidR="00BB6D30" w:rsidRPr="000F3D9B">
              <w:rPr>
                <w:rFonts w:cs="Arial"/>
                <w:color w:val="FF0000"/>
              </w:rPr>
              <w:t>f</w:t>
            </w:r>
            <w:r w:rsidR="00675AF2" w:rsidRPr="000F3D9B">
              <w:rPr>
                <w:rFonts w:cs="Arial"/>
                <w:color w:val="FF0000"/>
              </w:rPr>
              <w:t>or</w:t>
            </w:r>
            <w:r w:rsidRPr="000F3D9B">
              <w:rPr>
                <w:rFonts w:cs="Arial"/>
                <w:color w:val="FF0000"/>
              </w:rPr>
              <w:t xml:space="preserve"> all</w:t>
            </w:r>
            <w:r w:rsidR="00675AF2" w:rsidRPr="000F3D9B">
              <w:rPr>
                <w:rFonts w:cs="Arial"/>
                <w:color w:val="FF0000"/>
              </w:rPr>
              <w:t xml:space="preserve"> datasets</w:t>
            </w:r>
            <w:r w:rsidR="00675AF2" w:rsidRPr="00BB6D30">
              <w:rPr>
                <w:rFonts w:cs="Arial"/>
              </w:rPr>
              <w:t>.</w:t>
            </w:r>
            <w:r>
              <w:rPr>
                <w:rFonts w:cs="Arial"/>
              </w:rPr>
              <w:t xml:space="preserve"> </w:t>
            </w:r>
          </w:p>
          <w:p w:rsidR="00C30393" w:rsidRDefault="00C30393" w:rsidP="002E0ACF">
            <w:pPr>
              <w:pStyle w:val="author"/>
              <w:jc w:val="both"/>
              <w:rPr>
                <w:rFonts w:cs="Arial"/>
              </w:rPr>
            </w:pPr>
          </w:p>
          <w:p w:rsidR="002E0ACF" w:rsidRDefault="0064304A" w:rsidP="002E0ACF">
            <w:pPr>
              <w:pStyle w:val="author"/>
              <w:jc w:val="both"/>
              <w:rPr>
                <w:rFonts w:cs="Arial"/>
              </w:rPr>
            </w:pPr>
            <w:r>
              <w:rPr>
                <w:rFonts w:cs="Arial"/>
              </w:rPr>
              <w:lastRenderedPageBreak/>
              <w:t>Finally, w</w:t>
            </w:r>
            <w:r w:rsidR="00415292">
              <w:rPr>
                <w:rFonts w:cs="Arial"/>
              </w:rPr>
              <w:t xml:space="preserve">e have </w:t>
            </w:r>
            <w:r w:rsidR="0057079A">
              <w:rPr>
                <w:rFonts w:cs="Arial"/>
              </w:rPr>
              <w:t>improved the manuscript by including</w:t>
            </w:r>
            <w:r w:rsidR="00EE1974">
              <w:rPr>
                <w:rFonts w:cs="Arial"/>
              </w:rPr>
              <w:t xml:space="preserve"> </w:t>
            </w:r>
            <w:r w:rsidR="0057079A">
              <w:rPr>
                <w:rFonts w:cs="Arial"/>
              </w:rPr>
              <w:t xml:space="preserve">results of the additional analyses </w:t>
            </w:r>
            <w:r w:rsidR="004E7793">
              <w:rPr>
                <w:rFonts w:cs="Arial"/>
              </w:rPr>
              <w:t xml:space="preserve">for ambiguous mapping bias </w:t>
            </w:r>
            <w:r w:rsidR="0057079A">
              <w:rPr>
                <w:rFonts w:cs="Arial"/>
              </w:rPr>
              <w:t xml:space="preserve">in the supplementary materials, </w:t>
            </w:r>
            <w:r w:rsidR="004E7793">
              <w:rPr>
                <w:rFonts w:cs="Arial"/>
              </w:rPr>
              <w:t xml:space="preserve">a </w:t>
            </w:r>
            <w:r w:rsidR="004E7793">
              <w:rPr>
                <w:rFonts w:cs="Arial"/>
              </w:rPr>
              <w:t xml:space="preserve">discussion </w:t>
            </w:r>
            <w:r w:rsidR="004E7793">
              <w:rPr>
                <w:rFonts w:cs="Arial"/>
              </w:rPr>
              <w:t>in the ‘Discussion’</w:t>
            </w:r>
            <w:r w:rsidR="004E7793">
              <w:rPr>
                <w:rFonts w:cs="Arial"/>
              </w:rPr>
              <w:t xml:space="preserve"> section and </w:t>
            </w:r>
            <w:r w:rsidR="00415292">
              <w:rPr>
                <w:rFonts w:cs="Arial"/>
              </w:rPr>
              <w:t xml:space="preserve">details of the new AlleleDB pipeline </w:t>
            </w:r>
            <w:r w:rsidR="00EE1974">
              <w:rPr>
                <w:rFonts w:cs="Arial"/>
              </w:rPr>
              <w:t xml:space="preserve">in </w:t>
            </w:r>
            <w:r w:rsidR="00415292">
              <w:rPr>
                <w:rFonts w:cs="Arial"/>
              </w:rPr>
              <w:t xml:space="preserve">the ‘Results’ and ‘Methods’ </w:t>
            </w:r>
            <w:r w:rsidR="00415292">
              <w:rPr>
                <w:rFonts w:cs="Arial"/>
              </w:rPr>
              <w:t>sections</w:t>
            </w:r>
          </w:p>
          <w:p w:rsidR="00BB6D30" w:rsidRDefault="00BB6D30" w:rsidP="002E0ACF">
            <w:pPr>
              <w:pStyle w:val="author"/>
              <w:jc w:val="both"/>
              <w:rPr>
                <w:rFonts w:cs="Arial"/>
                <w:color w:val="FF0000"/>
              </w:rPr>
            </w:pPr>
          </w:p>
          <w:p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Degner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r w:rsidR="002238EC" w:rsidRPr="001C434A">
              <w:rPr>
                <w:rFonts w:ascii="Arial" w:hAnsi="Arial" w:cs="Arial"/>
              </w:rPr>
              <w:t xml:space="preserve">Panousis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rsidR="004C6470" w:rsidRDefault="004C6470" w:rsidP="004C6470">
            <w:pPr>
              <w:rPr>
                <w:rFonts w:ascii="Arial" w:hAnsi="Arial" w:cs="Arial"/>
              </w:rPr>
            </w:pPr>
            <w:r>
              <w:rPr>
                <w:rFonts w:ascii="Arial" w:hAnsi="Arial" w:cs="Arial"/>
              </w:rPr>
              <w:t>[6</w:t>
            </w:r>
            <w:r w:rsidRPr="001C434A">
              <w:rPr>
                <w:rFonts w:ascii="Arial" w:hAnsi="Arial" w:cs="Arial"/>
              </w:rPr>
              <w:t xml:space="preserve">] van de Geijn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doi: 10.1038/nmeth.3582 [epub ahead of print]</w:t>
            </w:r>
          </w:p>
          <w:p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rsidR="003C6B37" w:rsidRDefault="003C6B37" w:rsidP="004C6470">
            <w:pPr>
              <w:rPr>
                <w:rFonts w:ascii="Arial" w:hAnsi="Arial" w:cs="Arial"/>
              </w:rPr>
            </w:pPr>
            <w:r>
              <w:rPr>
                <w:rFonts w:ascii="Arial" w:hAnsi="Arial" w:cs="Arial"/>
              </w:rPr>
              <w:t xml:space="preserve">[9] The GTEx Consortium (2015). </w:t>
            </w:r>
            <w:r>
              <w:rPr>
                <w:rFonts w:ascii="Arial" w:hAnsi="Arial" w:cs="Arial"/>
                <w:i/>
              </w:rPr>
              <w:t>Science</w:t>
            </w:r>
            <w:r>
              <w:rPr>
                <w:rFonts w:ascii="Arial" w:hAnsi="Arial" w:cs="Arial"/>
              </w:rPr>
              <w:t>, 348(6235):648-60</w:t>
            </w:r>
          </w:p>
          <w:p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p>
          <w:p w:rsidR="004E4214" w:rsidRDefault="004E4214" w:rsidP="004C6470">
            <w:pPr>
              <w:rPr>
                <w:rFonts w:ascii="Arial" w:hAnsi="Arial" w:cs="Arial"/>
              </w:rPr>
            </w:pPr>
            <w:r>
              <w:rPr>
                <w:rFonts w:ascii="Arial" w:hAnsi="Arial" w:cs="Arial"/>
              </w:rPr>
              <w:t xml:space="preserve">[11] Rozowsky </w:t>
            </w:r>
            <w:r>
              <w:rPr>
                <w:rFonts w:ascii="Arial" w:hAnsi="Arial" w:cs="Arial"/>
                <w:i/>
              </w:rPr>
              <w:t xml:space="preserve">et al. </w:t>
            </w:r>
            <w:r>
              <w:rPr>
                <w:rFonts w:ascii="Arial" w:hAnsi="Arial" w:cs="Arial"/>
              </w:rPr>
              <w:t xml:space="preserve">(2011). </w:t>
            </w:r>
            <w:r>
              <w:rPr>
                <w:rFonts w:ascii="Arial" w:hAnsi="Arial" w:cs="Arial"/>
                <w:i/>
              </w:rPr>
              <w:t>Mol Syst Biol</w:t>
            </w:r>
            <w:r>
              <w:rPr>
                <w:rFonts w:ascii="Arial" w:hAnsi="Arial" w:cs="Arial"/>
              </w:rPr>
              <w:t>., 7:522</w:t>
            </w:r>
          </w:p>
          <w:p w:rsidR="009765AB" w:rsidRDefault="004E4214" w:rsidP="00EE1974">
            <w:pPr>
              <w:rPr>
                <w:rFonts w:ascii="Arial" w:hAnsi="Arial" w:cs="Arial"/>
              </w:rPr>
            </w:pPr>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p>
          <w:p w:rsidR="00EE1974" w:rsidRPr="00EE1974" w:rsidRDefault="00EE1974" w:rsidP="00EE1974">
            <w:pPr>
              <w:rPr>
                <w:rFonts w:ascii="Arial" w:hAnsi="Arial" w:cs="Arial"/>
              </w:rPr>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4E7793" w:rsidRPr="00C1590F" w:rsidRDefault="004E7793" w:rsidP="004E7793">
            <w:r w:rsidRPr="00C1590F">
              <w:t xml:space="preserve">Please refer to </w:t>
            </w:r>
            <w:r>
              <w:t xml:space="preserve">Supplementary Tables </w:t>
            </w:r>
            <w:r w:rsidR="00C30393">
              <w:t xml:space="preserve">1, </w:t>
            </w:r>
            <w:r>
              <w:t>3</w:t>
            </w:r>
            <w:r w:rsidRPr="00C1590F">
              <w:t xml:space="preserve"> and 5 and their corresponding legends. Please also refer to the ‘Results’ section under ‘</w:t>
            </w:r>
            <w:r>
              <w:t>AlleleDB Workflow</w:t>
            </w:r>
            <w:r w:rsidRPr="00C1590F">
              <w:t>’</w:t>
            </w:r>
            <w:r w:rsidR="00C30393">
              <w:t xml:space="preserve"> and ‘Methods’ section under ‘Accounting for ambiguous mapping bias’</w:t>
            </w:r>
            <w:r w:rsidRPr="00C1590F">
              <w:t xml:space="preserve">. </w:t>
            </w:r>
          </w:p>
          <w:p w:rsidR="004E7793" w:rsidRPr="00C1590F" w:rsidRDefault="004E7793" w:rsidP="004E7793"/>
          <w:p w:rsidR="004E7793" w:rsidRPr="007A090E" w:rsidRDefault="004E7793" w:rsidP="004E7793">
            <w:pPr>
              <w:rPr>
                <w:color w:val="FF0000"/>
              </w:rPr>
            </w:pPr>
            <w:r w:rsidRPr="00C1590F">
              <w:rPr>
                <w:i/>
                <w:sz w:val="20"/>
              </w:rPr>
              <w:t>“</w:t>
            </w:r>
            <w:r w:rsidR="007A090E" w:rsidRPr="007A090E">
              <w:rPr>
                <w:i/>
                <w:sz w:val="20"/>
                <w:szCs w:val="20"/>
              </w:rPr>
              <w:t>…</w:t>
            </w:r>
            <w:r w:rsidR="007A090E" w:rsidRPr="007A090E">
              <w:rPr>
                <w:b/>
                <w:i/>
                <w:sz w:val="20"/>
                <w:szCs w:val="20"/>
              </w:rPr>
              <w:t xml:space="preserve">(3) </w:t>
            </w:r>
            <w:r w:rsidR="007A090E" w:rsidRPr="007A090E">
              <w:rPr>
                <w:i/>
                <w:sz w:val="20"/>
                <w:szCs w:val="20"/>
              </w:rPr>
              <w:t>The third module filters reads that preferentially map to one allele over the other due to sequence homology (</w:t>
            </w:r>
            <w:r w:rsidR="007A090E" w:rsidRPr="007A090E">
              <w:rPr>
                <w:i/>
                <w:color w:val="FF0000"/>
                <w:sz w:val="20"/>
                <w:szCs w:val="20"/>
              </w:rPr>
              <w:t>Figure 1</w:t>
            </w:r>
            <w:r w:rsidR="007A090E" w:rsidRPr="007A090E">
              <w:rPr>
                <w:i/>
                <w:sz w:val="20"/>
                <w:szCs w:val="20"/>
              </w:rPr>
              <w:t>), which we term ‘</w:t>
            </w:r>
            <w:r w:rsidR="007A090E" w:rsidRPr="007A090E">
              <w:rPr>
                <w:i/>
                <w:color w:val="FF0000"/>
                <w:sz w:val="20"/>
                <w:szCs w:val="20"/>
              </w:rPr>
              <w:t>ambiguous mapping bias</w:t>
            </w:r>
            <w:r w:rsidR="007A090E" w:rsidRPr="007A090E">
              <w:rPr>
                <w:i/>
                <w:sz w:val="20"/>
                <w:szCs w:val="20"/>
              </w:rPr>
              <w:t xml:space="preserve">’. This bias occur when reads containing one allele maps to multiple locations and are thus removed, not because  of worse alignment, but because of ambiguous alignment. For a uniquely mapped read that overlap at least one heterozygous SNV on one parental genome (‘original read’), we simulate reads that represent all possible haplotypes of that read, even though we found that most original reads overlap only 1 heterozygous SNV (typically &gt;90%; </w:t>
            </w:r>
            <w:r w:rsidR="007A090E" w:rsidRPr="007A090E">
              <w:rPr>
                <w:i/>
                <w:color w:val="FF0000"/>
                <w:sz w:val="20"/>
                <w:szCs w:val="20"/>
              </w:rPr>
              <w:t>Supplementary Table 3</w:t>
            </w:r>
            <w:r w:rsidR="007A090E" w:rsidRPr="007A090E">
              <w:rPr>
                <w:i/>
                <w:sz w:val="20"/>
                <w:szCs w:val="20"/>
              </w:rPr>
              <w:t>). We then align the simulated reads to the other parental genome. Original reads with simulated reads that map to multiple locations or do not map back to the same location on the other parental genome are removed. (</w:t>
            </w:r>
            <w:r w:rsidR="007A090E" w:rsidRPr="007A090E">
              <w:rPr>
                <w:i/>
                <w:color w:val="FF0000"/>
                <w:sz w:val="20"/>
                <w:szCs w:val="20"/>
              </w:rPr>
              <w:t>Figure 1</w:t>
            </w:r>
            <w:r w:rsidR="007A090E" w:rsidRPr="007A090E">
              <w:rPr>
                <w:i/>
                <w:sz w:val="20"/>
                <w:szCs w:val="20"/>
              </w:rPr>
              <w:t>). We subsequently re-align the filtered read pile to the diploid personal genome (see ‘Methods’).</w:t>
            </w:r>
            <w:r w:rsidRPr="00C1590F">
              <w:rPr>
                <w:i/>
                <w:sz w:val="20"/>
              </w:rPr>
              <w:t>”</w:t>
            </w:r>
          </w:p>
          <w:p w:rsidR="004E7793" w:rsidRDefault="004E7793" w:rsidP="004E7793"/>
          <w:p w:rsidR="00C30393" w:rsidRDefault="00C30393" w:rsidP="004E7793">
            <w:r w:rsidRPr="00C1590F">
              <w:t>Please refer to the ‘Discussion’ section for more description.</w:t>
            </w:r>
          </w:p>
          <w:p w:rsidR="00C30393" w:rsidRDefault="00C30393" w:rsidP="004E7793"/>
          <w:p w:rsidR="00C30393" w:rsidRPr="00C30393" w:rsidRDefault="00C30393" w:rsidP="004E7793">
            <w:pPr>
              <w:rPr>
                <w:i/>
                <w:sz w:val="20"/>
                <w:szCs w:val="20"/>
              </w:rPr>
            </w:pPr>
            <w:r>
              <w:rPr>
                <w:i/>
                <w:sz w:val="20"/>
                <w:szCs w:val="20"/>
              </w:rPr>
              <w:t>“</w:t>
            </w:r>
            <w:r w:rsidRPr="00C30393">
              <w:rPr>
                <w:i/>
                <w:sz w:val="20"/>
                <w:szCs w:val="20"/>
              </w:rPr>
              <w:t>The second allelic mapping bias stems from loci with sequence homology. We term this ‘ambiguous mapping bias’, because reads from one allele might align ambiguously to multiple locations, resulting in reads with the other allele being unduly favored (</w:t>
            </w:r>
            <w:r w:rsidRPr="00C30393">
              <w:rPr>
                <w:i/>
                <w:color w:val="FF0000"/>
                <w:sz w:val="20"/>
                <w:szCs w:val="20"/>
              </w:rPr>
              <w:t>Figure 1</w:t>
            </w:r>
            <w:r w:rsidRPr="00C30393">
              <w:rPr>
                <w:i/>
                <w:sz w:val="20"/>
                <w:szCs w:val="20"/>
              </w:rPr>
              <w:t>).</w:t>
            </w:r>
            <w:r w:rsidRPr="00C30393">
              <w:rPr>
                <w:i/>
                <w:sz w:val="20"/>
                <w:szCs w:val="20"/>
              </w:rPr>
              <w:fldChar w:fldCharType="begin" w:fldLock="1"/>
            </w:r>
            <w:r w:rsidRPr="00C3039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"&lt;sup&gt;19,38,35&lt;/sup&gt;", "plainTextFormattedCitation" : "19,38,35", "previouslyFormattedCitation" : "&lt;sup&gt;19,38,35&lt;/sup&gt;" }, "properties" : { "noteIndex" : 0 }, "schema" : "https://github.com/citation-style-language/schema/raw/master/csl-citation.json" }</w:instrText>
            </w:r>
            <w:r w:rsidRPr="00C30393">
              <w:rPr>
                <w:i/>
                <w:sz w:val="20"/>
                <w:szCs w:val="20"/>
              </w:rPr>
              <w:fldChar w:fldCharType="separate"/>
            </w:r>
            <w:r w:rsidRPr="00C30393">
              <w:rPr>
                <w:i/>
                <w:noProof/>
                <w:sz w:val="20"/>
                <w:szCs w:val="20"/>
                <w:vertAlign w:val="superscript"/>
              </w:rPr>
              <w:t>19,38,35</w:t>
            </w:r>
            <w:r w:rsidRPr="00C30393">
              <w:rPr>
                <w:i/>
                <w:sz w:val="20"/>
                <w:szCs w:val="20"/>
              </w:rPr>
              <w:fldChar w:fldCharType="end"/>
            </w:r>
            <w:r w:rsidRPr="00C30393">
              <w:rPr>
                <w:i/>
                <w:sz w:val="20"/>
                <w:szCs w:val="20"/>
              </w:rPr>
              <w:t xml:space="preserve"> Several strategies have been implemented in dealing with the ambiguous mapping bias (</w:t>
            </w:r>
            <w:r w:rsidRPr="00C30393">
              <w:rPr>
                <w:i/>
                <w:color w:val="FF0000"/>
                <w:sz w:val="20"/>
                <w:szCs w:val="20"/>
              </w:rPr>
              <w:t>Supplementary Table 1</w:t>
            </w:r>
            <w:r w:rsidRPr="00C30393">
              <w:rPr>
                <w:i/>
                <w:sz w:val="20"/>
                <w:szCs w:val="20"/>
              </w:rPr>
              <w:t xml:space="preserve">). </w:t>
            </w:r>
            <w:r>
              <w:rPr>
                <w:i/>
                <w:sz w:val="20"/>
                <w:szCs w:val="20"/>
              </w:rPr>
              <w:t xml:space="preserve">… </w:t>
            </w:r>
            <w:r w:rsidRPr="00C30393">
              <w:rPr>
                <w:i/>
                <w:sz w:val="20"/>
                <w:szCs w:val="20"/>
              </w:rPr>
              <w:t>We also show that ambiguous mapping bias seems to have a greater effect on ChIP-seq than RNA-seq datasets, even after accounting for reference bias by the personal genomes (</w:t>
            </w:r>
            <w:r w:rsidRPr="00C30393">
              <w:rPr>
                <w:i/>
                <w:color w:val="FF0000"/>
                <w:sz w:val="20"/>
                <w:szCs w:val="20"/>
              </w:rPr>
              <w:t>Supplementary Table 5</w:t>
            </w:r>
            <w:r w:rsidRPr="00C30393">
              <w:rPr>
                <w:i/>
                <w:sz w:val="20"/>
                <w:szCs w:val="20"/>
              </w:rPr>
              <w:t xml:space="preserve">). Besides allelic differences, ambiguous mapping is also highly dependent on the length of the read, as also shown by Degner et al. that the bias decreases with increasing </w:t>
            </w:r>
            <w:r w:rsidRPr="00C30393">
              <w:rPr>
                <w:i/>
                <w:sz w:val="20"/>
                <w:szCs w:val="20"/>
              </w:rPr>
              <w:lastRenderedPageBreak/>
              <w:t>read length.</w:t>
            </w:r>
            <w:r w:rsidRPr="00C30393">
              <w:rPr>
                <w:i/>
                <w:sz w:val="20"/>
                <w:szCs w:val="20"/>
              </w:rPr>
              <w:fldChar w:fldCharType="begin" w:fldLock="1"/>
            </w:r>
            <w:r w:rsidRPr="00C3039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Pr="00C30393">
              <w:rPr>
                <w:i/>
                <w:sz w:val="20"/>
                <w:szCs w:val="20"/>
              </w:rPr>
              <w:fldChar w:fldCharType="separate"/>
            </w:r>
            <w:r w:rsidRPr="00C30393">
              <w:rPr>
                <w:i/>
                <w:noProof/>
                <w:sz w:val="20"/>
                <w:szCs w:val="20"/>
                <w:vertAlign w:val="superscript"/>
              </w:rPr>
              <w:t>19</w:t>
            </w:r>
            <w:r w:rsidRPr="00C30393">
              <w:rPr>
                <w:i/>
                <w:sz w:val="20"/>
                <w:szCs w:val="20"/>
              </w:rPr>
              <w:fldChar w:fldCharType="end"/>
            </w:r>
            <w:r w:rsidRPr="00C30393">
              <w:rPr>
                <w:i/>
                <w:sz w:val="20"/>
                <w:szCs w:val="20"/>
              </w:rPr>
              <w:t xml:space="preserve"> We envision that ambiguous mapping bias will be further </w:t>
            </w:r>
            <w:r w:rsidR="00FD4A87">
              <w:rPr>
                <w:i/>
                <w:sz w:val="20"/>
                <w:szCs w:val="20"/>
              </w:rPr>
              <w:t>alleviated</w:t>
            </w:r>
            <w:r w:rsidRPr="00C30393">
              <w:rPr>
                <w:i/>
                <w:sz w:val="20"/>
                <w:szCs w:val="20"/>
              </w:rPr>
              <w:t xml:space="preserve"> by long read technologies being employed in functional assays.</w:t>
            </w:r>
            <w:r w:rsidRPr="00C30393">
              <w:rPr>
                <w:i/>
                <w:sz w:val="20"/>
                <w:szCs w:val="20"/>
              </w:rPr>
              <w:t>”</w:t>
            </w:r>
          </w:p>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Geijn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indels </w:t>
            </w:r>
            <w:r w:rsidR="007B09EA">
              <w:t xml:space="preserve">and larger structural variants, which can be accommodated by the construction of personal genomes.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rsidR="00D80E4E" w:rsidRDefault="00D80E4E" w:rsidP="00216B8C">
            <w:pPr>
              <w:pStyle w:val="author"/>
              <w:jc w:val="both"/>
            </w:pPr>
          </w:p>
          <w:p w:rsidR="006D7581" w:rsidRDefault="008966ED" w:rsidP="00FF68E5">
            <w:pPr>
              <w:pStyle w:val="author"/>
              <w:jc w:val="both"/>
            </w:pPr>
            <w:r>
              <w:t>Additionally, o</w:t>
            </w:r>
            <w:bookmarkStart w:id="0" w:name="_GoBack"/>
            <w:bookmarkEnd w:id="0"/>
            <w:r w:rsidR="00B14492">
              <w:t>ur revised approach estimates o</w:t>
            </w:r>
            <w:r w:rsidR="004D0DF5">
              <w:t xml:space="preserve">ver-dispersion at two levels. An </w:t>
            </w:r>
            <w:r w:rsidR="00B14492">
              <w:t>over-dispersion</w:t>
            </w:r>
            <w:r w:rsidR="009C3234">
              <w:t xml:space="preserve"> parameter</w:t>
            </w:r>
            <w:r w:rsidR="00B14492">
              <w:t xml:space="preserve">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 xml:space="preserve">for RNA-seq </w:t>
            </w:r>
            <w:r w:rsidR="00B959DD">
              <w:t xml:space="preserve">and </w:t>
            </w:r>
            <w:r w:rsidR="001C7DB3">
              <w:t xml:space="preserve">each sample and </w:t>
            </w:r>
            <w:r w:rsidR="00B959DD">
              <w:t xml:space="preserve">transcription factor, TF, for ChIP-seq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 xml:space="preserve">(for each sample for RNA-seq and also each sample and transcription factor for ChIP-seq) </w:t>
            </w:r>
            <w:r w:rsidR="00B959DD">
              <w:t xml:space="preserve">and apply this estimation to </w:t>
            </w:r>
            <w:r w:rsidR="00B959DD">
              <w:lastRenderedPageBreak/>
              <w:t xml:space="preserve">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rsidR="00655303" w:rsidRDefault="00655303" w:rsidP="00FF68E5">
            <w:pPr>
              <w:pStyle w:val="author"/>
              <w:jc w:val="both"/>
            </w:pPr>
          </w:p>
          <w:p w:rsidR="006C3C8A" w:rsidRDefault="0005732C" w:rsidP="00FF68E5">
            <w:pPr>
              <w:pStyle w:val="author"/>
              <w:jc w:val="both"/>
            </w:pPr>
            <w:r>
              <w:t>W</w:t>
            </w:r>
            <w:r w:rsidR="004D0DF5">
              <w:t xml:space="preserve">e </w:t>
            </w:r>
            <w:r>
              <w:t xml:space="preserve">further </w:t>
            </w:r>
            <w:r w:rsidR="004D0DF5">
              <w:t xml:space="preserve">point out that our two-step serial </w:t>
            </w:r>
            <w:r w:rsidR="009C3234">
              <w:t>procedure is novel. B</w:t>
            </w:r>
            <w:r w:rsidR="009C3234">
              <w:t>y removing datasets that are too over-dispersed at the outset</w:t>
            </w:r>
            <w:r w:rsidR="009C3234">
              <w:t>,</w:t>
            </w:r>
            <w:r w:rsidR="00A94BB7">
              <w:t xml:space="preserve"> </w:t>
            </w:r>
            <w:r w:rsidR="009C3234">
              <w:t xml:space="preserve">this first step serves as a quality control </w:t>
            </w:r>
            <w:r w:rsidR="00A94BB7">
              <w:t>to homogenize</w:t>
            </w:r>
            <w:r w:rsidR="004D0DF5">
              <w:t xml:space="preserve"> the pooling </w:t>
            </w:r>
            <w:r w:rsidR="009C3234">
              <w:t>of datasets before the second overdispersion calculation</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over-dispersed datasets if they are not removed. </w:t>
            </w:r>
          </w:p>
          <w:p w:rsidR="00E804EF" w:rsidRDefault="00E804EF" w:rsidP="00FF68E5">
            <w:pPr>
              <w:pStyle w:val="author"/>
              <w:jc w:val="both"/>
            </w:pPr>
          </w:p>
          <w:p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rsidR="00AB532B" w:rsidRDefault="00AB532B" w:rsidP="00FF68E5">
            <w:pPr>
              <w:pStyle w:val="author"/>
              <w:jc w:val="both"/>
            </w:pPr>
          </w:p>
          <w:p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Geijn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doi: 10.1038/nmeth.3582 [epub ahead of print]</w:t>
            </w:r>
          </w:p>
          <w:p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68(1):1-11</w:t>
            </w:r>
          </w:p>
          <w:p w:rsidR="005572A2" w:rsidRPr="005572A2" w:rsidRDefault="005572A2" w:rsidP="00FF68E5">
            <w:pPr>
              <w:pStyle w:val="author"/>
              <w:jc w:val="both"/>
              <w:rPr>
                <w:rFonts w:cs="Arial"/>
              </w:rPr>
            </w:pPr>
            <w:r>
              <w:rPr>
                <w:rFonts w:cs="Arial"/>
              </w:rPr>
              <w:t xml:space="preserve">[3] Mayba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EF7E86" w:rsidRDefault="002203EA" w:rsidP="00D9507F">
            <w:pPr>
              <w:pStyle w:val="BodyText3"/>
              <w:rPr>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1) Imprinting discussion should reference recent imprinting paper from GTEx.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00682563">
              <w:rPr>
                <w:szCs w:val="18"/>
                <w:vertAlign w:val="superscript"/>
              </w:rPr>
              <w:t>41</w:t>
            </w:r>
            <w:r>
              <w:rPr>
                <w:szCs w:val="18"/>
              </w:rPr>
              <w:t>”</w:t>
            </w:r>
            <w:r w:rsidR="00682563">
              <w:rPr>
                <w:szCs w:val="18"/>
              </w:rPr>
              <w:t>, where reference 41</w:t>
            </w:r>
            <w:r>
              <w:rPr>
                <w:szCs w:val="18"/>
              </w:rPr>
              <w:t xml:space="preserve"> is by the GTEx consortium and Baran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The CEU trio is a well-studied family and with multiple ChIP-seq studies performed on different TFs. Previous studies have also presented allele-specific inheritance.</w:t>
            </w:r>
            <w:r w:rsidRPr="00467CE3">
              <w:rPr>
                <w:szCs w:val="18"/>
                <w:vertAlign w:val="superscript"/>
              </w:rPr>
              <w:t>10,15,21</w:t>
            </w:r>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471"/>
    <w:rsid w:val="0033271A"/>
    <w:rsid w:val="003328E6"/>
    <w:rsid w:val="003408D4"/>
    <w:rsid w:val="00345D9E"/>
    <w:rsid w:val="003535F0"/>
    <w:rsid w:val="003551D1"/>
    <w:rsid w:val="003559D9"/>
    <w:rsid w:val="00357C92"/>
    <w:rsid w:val="00370430"/>
    <w:rsid w:val="003764EE"/>
    <w:rsid w:val="00380C0D"/>
    <w:rsid w:val="00392CB0"/>
    <w:rsid w:val="003936A3"/>
    <w:rsid w:val="00394599"/>
    <w:rsid w:val="003947D2"/>
    <w:rsid w:val="00395E7B"/>
    <w:rsid w:val="003A4EA7"/>
    <w:rsid w:val="003A4ED8"/>
    <w:rsid w:val="003A6D43"/>
    <w:rsid w:val="003B5869"/>
    <w:rsid w:val="003C6B37"/>
    <w:rsid w:val="003C6FED"/>
    <w:rsid w:val="003D2003"/>
    <w:rsid w:val="003D28D2"/>
    <w:rsid w:val="003D58E5"/>
    <w:rsid w:val="003F1457"/>
    <w:rsid w:val="003F33A3"/>
    <w:rsid w:val="003F3510"/>
    <w:rsid w:val="003F42CF"/>
    <w:rsid w:val="003F5558"/>
    <w:rsid w:val="003F5BD6"/>
    <w:rsid w:val="003F5D40"/>
    <w:rsid w:val="003F7899"/>
    <w:rsid w:val="00403182"/>
    <w:rsid w:val="00412BEF"/>
    <w:rsid w:val="00415292"/>
    <w:rsid w:val="0042063B"/>
    <w:rsid w:val="004218BE"/>
    <w:rsid w:val="00425700"/>
    <w:rsid w:val="004305E6"/>
    <w:rsid w:val="00433307"/>
    <w:rsid w:val="00443605"/>
    <w:rsid w:val="004472F7"/>
    <w:rsid w:val="00450989"/>
    <w:rsid w:val="00453608"/>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E7793"/>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79A"/>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304A"/>
    <w:rsid w:val="00644ED8"/>
    <w:rsid w:val="006476B1"/>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A090E"/>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7F2301"/>
    <w:rsid w:val="007F5C77"/>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966ED"/>
    <w:rsid w:val="008A2888"/>
    <w:rsid w:val="008A75EC"/>
    <w:rsid w:val="008B0C98"/>
    <w:rsid w:val="008B699A"/>
    <w:rsid w:val="008D6BB2"/>
    <w:rsid w:val="008E0DC9"/>
    <w:rsid w:val="008E39FA"/>
    <w:rsid w:val="008F0FCA"/>
    <w:rsid w:val="008F2EA9"/>
    <w:rsid w:val="008F4B96"/>
    <w:rsid w:val="009108A3"/>
    <w:rsid w:val="009135ED"/>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3234"/>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26CE3"/>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0393"/>
    <w:rsid w:val="00C33099"/>
    <w:rsid w:val="00C3611D"/>
    <w:rsid w:val="00C36930"/>
    <w:rsid w:val="00C36FDD"/>
    <w:rsid w:val="00C375B5"/>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7239A"/>
    <w:rsid w:val="00D80E4E"/>
    <w:rsid w:val="00D92205"/>
    <w:rsid w:val="00D92282"/>
    <w:rsid w:val="00D9450F"/>
    <w:rsid w:val="00D9507F"/>
    <w:rsid w:val="00D95104"/>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679A"/>
    <w:rsid w:val="00E574C2"/>
    <w:rsid w:val="00E60B3D"/>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974"/>
    <w:rsid w:val="00EE1D34"/>
    <w:rsid w:val="00EE3D8C"/>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A87"/>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3EEA-B145-40E2-AB1A-E4476BEC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23768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12</cp:revision>
  <cp:lastPrinted>2014-06-23T22:43:00Z</cp:lastPrinted>
  <dcterms:created xsi:type="dcterms:W3CDTF">2015-11-15T05:36:00Z</dcterms:created>
  <dcterms:modified xsi:type="dcterms:W3CDTF">2015-11-15T07:24:00Z</dcterms:modified>
</cp:coreProperties>
</file>