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F171F7" w:rsidP="00674E09">
      <w:pPr>
        <w:spacing w:after="0" w:line="240" w:lineRule="auto"/>
        <w:rPr>
          <w:rFonts w:ascii="Times New Roman" w:hAnsi="Times New Roman" w:cs="Times New Roman"/>
          <w:b/>
          <w:sz w:val="24"/>
          <w:szCs w:val="24"/>
        </w:rPr>
      </w:pPr>
      <w:r w:rsidRPr="00F171F7">
        <w:rPr>
          <w:rFonts w:ascii="Times New Roman" w:eastAsia="Times New Roman" w:hAnsi="Times New Roman" w:cs="Times New Roman"/>
          <w:b/>
          <w:sz w:val="24"/>
          <w:szCs w:val="24"/>
        </w:rPr>
        <w:t>Allele-specific binding and expression: a uniform survey over many assays and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4B6DB6">
        <w:rPr>
          <w:rFonts w:ascii="Times New Roman" w:hAnsi="Times New Roman" w:cs="Times New Roman"/>
          <w:b/>
          <w:sz w:val="24"/>
          <w:szCs w:val="24"/>
        </w:rPr>
        <w:t>Timur Galeev</w:t>
      </w:r>
      <w:bookmarkStart w:id="0" w:name="_GoBack"/>
      <w:r w:rsidR="004B6DB6" w:rsidRPr="004B6DB6">
        <w:rPr>
          <w:rFonts w:ascii="Times New Roman" w:hAnsi="Times New Roman" w:cs="Times New Roman"/>
          <w:b/>
          <w:sz w:val="24"/>
          <w:szCs w:val="24"/>
          <w:vertAlign w:val="superscript"/>
        </w:rPr>
        <w:t>1,3</w:t>
      </w:r>
      <w:bookmarkEnd w:id="0"/>
      <w:r w:rsidR="004B6DB6">
        <w:rPr>
          <w:rFonts w:ascii="Times New Roman" w:hAnsi="Times New Roman" w:cs="Times New Roman"/>
          <w:b/>
          <w:sz w:val="24"/>
          <w:szCs w:val="24"/>
        </w:rPr>
        <w:t xml:space="preserve">, </w:t>
      </w:r>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F91860"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genome sequencing in the 1000 Genomes Project has revealed multitudes of rare single-nucleotide variants. Here, we </w:t>
      </w:r>
      <w:r>
        <w:rPr>
          <w:rFonts w:ascii="Times New Roman" w:eastAsia="Times New Roman" w:hAnsi="Times New Roman" w:cs="Times New Roman"/>
          <w:sz w:val="24"/>
          <w:szCs w:val="24"/>
        </w:rPr>
        <w:t xml:space="preserve">provide insights into the functional effect of the </w:t>
      </w:r>
      <w:r>
        <w:rPr>
          <w:rFonts w:ascii="Times New Roman" w:hAnsi="Times New Roman" w:cs="Times New Roman"/>
          <w:sz w:val="24"/>
          <w:szCs w:val="24"/>
        </w:rPr>
        <w:t xml:space="preserve">1000-Genomes variants using allele-specific behavior. </w:t>
      </w:r>
      <w:r>
        <w:rPr>
          <w:rFonts w:ascii="Times New Roman" w:eastAsia="Times New Roman" w:hAnsi="Times New Roman" w:cs="Times New Roman"/>
          <w:sz w:val="24"/>
          <w:szCs w:val="24"/>
        </w:rPr>
        <w:t xml:space="preserve">We comprehensively annotate variants associated with allele-specific binding and expression in 382 individuals from the 1000-Genomes Project by uniformly processing 1,263 </w:t>
      </w:r>
      <w:proofErr w:type="spellStart"/>
      <w:r>
        <w:rPr>
          <w:rFonts w:ascii="Times New Roman" w:eastAsia="Times New Roman" w:hAnsi="Times New Roman" w:cs="Times New Roman"/>
          <w:sz w:val="24"/>
          <w:szCs w:val="24"/>
        </w:rPr>
        <w:t>ChIP-seq</w:t>
      </w:r>
      <w:proofErr w:type="spellEnd"/>
      <w:r>
        <w:rPr>
          <w:rFonts w:ascii="Times New Roman" w:eastAsia="Times New Roman" w:hAnsi="Times New Roman" w:cs="Times New Roman"/>
          <w:sz w:val="24"/>
          <w:szCs w:val="24"/>
        </w:rPr>
        <w:t xml:space="preserve"> and RNA-</w:t>
      </w:r>
      <w:proofErr w:type="spellStart"/>
      <w:r>
        <w:rPr>
          <w:rFonts w:ascii="Times New Roman" w:eastAsia="Times New Roman" w:hAnsi="Times New Roman" w:cs="Times New Roman"/>
          <w:sz w:val="24"/>
          <w:szCs w:val="24"/>
        </w:rPr>
        <w:t>seq</w:t>
      </w:r>
      <w:proofErr w:type="spellEnd"/>
      <w:r>
        <w:rPr>
          <w:rFonts w:ascii="Times New Roman" w:eastAsia="Times New Roman" w:hAnsi="Times New Roman" w:cs="Times New Roman"/>
          <w:sz w:val="24"/>
          <w:szCs w:val="24"/>
        </w:rPr>
        <w:t xml:space="preserve"> datasets, developing approaches to reduce the heterogeneity between datasets due to over-dispersion. We also identify genomic regions enriched in allelic activity using the allele-specific variants. Since many of these allelic variants are rare, aggregation across multiple 1000-Genomes individuals is necessary to identify broadly applicable “allelic regions” and their association with a particular personal genome. </w:t>
      </w:r>
      <w:r>
        <w:rPr>
          <w:rFonts w:ascii="Times New Roman" w:hAnsi="Times New Roman" w:cs="Times New Roman"/>
          <w:sz w:val="24"/>
          <w:szCs w:val="24"/>
        </w:rPr>
        <w:t>O</w:t>
      </w:r>
      <w:r>
        <w:rPr>
          <w:rFonts w:ascii="Times New Roman" w:eastAsia="Times New Roman" w:hAnsi="Times New Roman" w:cs="Times New Roman"/>
          <w:sz w:val="24"/>
          <w:szCs w:val="24"/>
        </w:rPr>
        <w:t>ur results serve as an allele-specific annotation for the 1000-Genomes catalog of variants and can be accessed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F91860" w:rsidRDefault="00F91860" w:rsidP="00674E09">
      <w:pPr>
        <w:spacing w:after="0" w:line="240" w:lineRule="auto"/>
        <w:rPr>
          <w:rFonts w:ascii="Times New Roman" w:hAnsi="Times New Roman" w:cs="Times New Roman"/>
          <w:sz w:val="24"/>
          <w:szCs w:val="24"/>
        </w:rPr>
      </w:pP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proofErr w:type="spellStart"/>
      <w:r w:rsidR="00416F3A" w:rsidRPr="00F32397">
        <w:rPr>
          <w:rFonts w:ascii="Times New Roman" w:hAnsi="Times New Roman" w:cs="Times New Roman"/>
          <w:sz w:val="24"/>
          <w:szCs w:val="24"/>
        </w:rPr>
        <w:t>Supp</w:t>
      </w:r>
      <w:proofErr w:type="spellEnd"/>
      <w:r w:rsidR="00416F3A"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Table 1)</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w:t>
      </w:r>
      <w:proofErr w:type="spellStart"/>
      <w:r w:rsidR="00BD3122" w:rsidRPr="00F32397">
        <w:rPr>
          <w:rFonts w:ascii="Times New Roman" w:hAnsi="Times New Roman" w:cs="Times New Roman"/>
          <w:sz w:val="24"/>
          <w:szCs w:val="24"/>
        </w:rPr>
        <w:t>thresholding</w:t>
      </w:r>
      <w:proofErr w:type="spellEnd"/>
      <w:r w:rsidR="00BD3122" w:rsidRPr="00F32397">
        <w:rPr>
          <w:rFonts w:ascii="Times New Roman" w:hAnsi="Times New Roman" w:cs="Times New Roman"/>
          <w:sz w:val="24"/>
          <w:szCs w:val="24"/>
        </w:rPr>
        <w:t xml:space="preserve"> and read mapping.</w:t>
      </w:r>
      <w:r w:rsidR="00BD3122"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20–23</w:t>
      </w:r>
      <w:r w:rsidR="00BD3122" w:rsidRPr="00F32397">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(Figure 1)</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proofErr w:type="gramStart"/>
      <w:r w:rsidR="00931B6E" w:rsidRPr="00F32397">
        <w:rPr>
          <w:rFonts w:ascii="Times New Roman" w:hAnsi="Times New Roman" w:cs="Times New Roman"/>
          <w:sz w:val="24"/>
          <w:szCs w:val="24"/>
        </w:rPr>
        <w:t>In</w:t>
      </w:r>
      <w:proofErr w:type="gramEnd"/>
      <w:r w:rsidR="00931B6E" w:rsidRPr="00F32397">
        <w:rPr>
          <w:rFonts w:ascii="Times New Roman" w:hAnsi="Times New Roman" w:cs="Times New Roman"/>
          <w:sz w:val="24"/>
          <w:szCs w:val="24"/>
        </w:rPr>
        <w:t xml:space="preserve">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Discussion and</w:t>
      </w:r>
      <w:r w:rsidR="00AE7938" w:rsidRPr="00F32397">
        <w:rPr>
          <w:rFonts w:ascii="Times New Roman" w:hAnsi="Times New Roman" w:cs="Times New Roman"/>
          <w:sz w:val="24"/>
          <w:szCs w:val="24"/>
        </w:rPr>
        <w:t xml:space="preserve"> Methods)</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(Figure 2).</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proofErr w:type="spellStart"/>
      <w:r w:rsidR="00E25CB9" w:rsidRPr="00F32397">
        <w:rPr>
          <w:rFonts w:ascii="Times New Roman" w:hAnsi="Times New Roman" w:cs="Times New Roman"/>
          <w:sz w:val="24"/>
          <w:szCs w:val="24"/>
        </w:rPr>
        <w:t>Supp</w:t>
      </w:r>
      <w:proofErr w:type="spellEnd"/>
      <w:r w:rsidR="00E25CB9"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w:t>
      </w:r>
      <w:proofErr w:type="gramEnd"/>
      <w:r w:rsidR="00851B4E" w:rsidRPr="00F32397">
        <w:rPr>
          <w:rFonts w:ascii="Times New Roman" w:hAnsi="Times New Roman" w:cs="Times New Roman"/>
          <w:sz w:val="24"/>
          <w:szCs w:val="24"/>
        </w:rPr>
        <w:t xml:space="preserv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that has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calculated </w:t>
      </w:r>
      <w:r w:rsidR="00787002" w:rsidRPr="00F32397">
        <w:rPr>
          <w:rFonts w:ascii="Times New Roman" w:hAnsi="Times New Roman" w:cs="Times New Roman"/>
          <w:sz w:val="24"/>
          <w:szCs w:val="24"/>
        </w:rPr>
        <w:lastRenderedPageBreak/>
        <w:t>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 (see Methods).</w:t>
      </w:r>
    </w:p>
    <w:p w:rsidR="0013626F" w:rsidRPr="00E562C5"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Figure 4a 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vertAlign w:val="superscript"/>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in a consistent manner (Figure </w:t>
      </w:r>
      <w:r w:rsidR="00C12B83" w:rsidRPr="00F32397">
        <w:rPr>
          <w:rFonts w:ascii="Times New Roman" w:hAnsi="Times New Roman" w:cs="Times New Roman"/>
          <w:sz w:val="24"/>
          <w:szCs w:val="24"/>
        </w:rPr>
        <w:t>3</w:t>
      </w:r>
      <w:r w:rsidRPr="00F32397">
        <w:rPr>
          <w:rFonts w:ascii="Times New Roman" w:hAnsi="Times New Roman" w:cs="Times New Roman"/>
          <w:sz w:val="24"/>
          <w:szCs w:val="24"/>
        </w:rPr>
        <w:t>; see Methods). For the DNA-binding protein CTCF</w:t>
      </w:r>
      <w:r w:rsidR="003236E7" w:rsidRPr="00F32397">
        <w:rPr>
          <w:rFonts w:ascii="Times New Roman" w:hAnsi="Times New Roman" w:cs="Times New Roman"/>
          <w:sz w:val="24"/>
          <w:szCs w:val="24"/>
        </w:rPr>
        <w:t xml:space="preserve"> and PU.1</w:t>
      </w:r>
      <w:r w:rsidR="00422AB6">
        <w:rPr>
          <w:rFonts w:ascii="Times New Roman" w:hAnsi="Times New Roman" w:cs="Times New Roman"/>
          <w:sz w:val="24"/>
          <w:szCs w:val="24"/>
        </w:rPr>
        <w:t xml:space="preserve"> (also SPI1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xml:space="preserve">, we observe a high parent-child correlation (Figure </w:t>
      </w:r>
      <w:r w:rsidR="006D0FC0" w:rsidRPr="00F32397">
        <w:rPr>
          <w:rFonts w:ascii="Times New Roman" w:hAnsi="Times New Roman" w:cs="Times New Roman"/>
          <w:sz w:val="24"/>
          <w:szCs w:val="24"/>
        </w:rPr>
        <w:t xml:space="preserve">3, </w:t>
      </w:r>
      <w:proofErr w:type="spellStart"/>
      <w:r w:rsidR="006D0FC0" w:rsidRPr="00F32397">
        <w:rPr>
          <w:rFonts w:ascii="Times New Roman" w:hAnsi="Times New Roman" w:cs="Times New Roman"/>
          <w:sz w:val="24"/>
          <w:szCs w:val="24"/>
        </w:rPr>
        <w:t>Supp</w:t>
      </w:r>
      <w:proofErr w:type="spellEnd"/>
      <w:r w:rsidR="006D0FC0"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and enrichment analyses</w:t>
      </w:r>
    </w:p>
    <w:p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16% and 6</w:t>
      </w:r>
      <w:r w:rsidRPr="00F32397">
        <w:rPr>
          <w:rFonts w:ascii="Times New Roman" w:hAnsi="Times New Roman" w:cs="Times New Roman"/>
          <w:sz w:val="24"/>
          <w:szCs w:val="24"/>
        </w:rPr>
        <w:t xml:space="preserve">% of the accessible SNVs respectively (Table 1). </w:t>
      </w:r>
      <w:r w:rsidR="00D45948" w:rsidRPr="00F32397">
        <w:rPr>
          <w:rFonts w:ascii="Times New Roman" w:hAnsi="Times New Roman" w:cs="Times New Roman"/>
          <w:sz w:val="24"/>
          <w:szCs w:val="24"/>
        </w:rPr>
        <w:t>15% of our candidate ASE SNVs and 3%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proofErr w:type="spellStart"/>
      <w:r w:rsidR="00D82EE9" w:rsidRPr="00F32397">
        <w:rPr>
          <w:rFonts w:ascii="Times New Roman" w:hAnsi="Times New Roman" w:cs="Times New Roman"/>
          <w:sz w:val="24"/>
          <w:szCs w:val="24"/>
        </w:rPr>
        <w:t>Supp</w:t>
      </w:r>
      <w:proofErr w:type="spellEnd"/>
      <w:r w:rsidR="00D82EE9" w:rsidRPr="00F32397">
        <w:rPr>
          <w:rFonts w:ascii="Times New Roman" w:hAnsi="Times New Roman" w:cs="Times New Roman"/>
          <w:sz w:val="24"/>
          <w:szCs w:val="24"/>
        </w:rPr>
        <w:t xml:space="preserve"> Fig</w:t>
      </w:r>
      <w:r w:rsidR="002F0C93" w:rsidRPr="00F32397">
        <w:rPr>
          <w:rFonts w:ascii="Times New Roman" w:hAnsi="Times New Roman" w:cs="Times New Roman"/>
          <w:sz w:val="24"/>
          <w:szCs w:val="24"/>
        </w:rPr>
        <w:t>ure</w:t>
      </w:r>
      <w:r w:rsidR="00D82EE9" w:rsidRPr="00F32397">
        <w:rPr>
          <w:rFonts w:ascii="Times New Roman" w:hAnsi="Times New Roman" w:cs="Times New Roman"/>
          <w:sz w:val="24"/>
          <w:szCs w:val="24"/>
        </w:rPr>
        <w:t xml:space="preserve"> 1)</w:t>
      </w:r>
      <w:r w:rsidR="00D45948" w:rsidRPr="00F32397">
        <w:rPr>
          <w:rFonts w:ascii="Times New Roman" w:hAnsi="Times New Roman" w:cs="Times New Roman"/>
          <w:sz w:val="24"/>
          <w:szCs w:val="24"/>
        </w:rPr>
        <w:t>.</w:t>
      </w:r>
    </w:p>
    <w:p w:rsidR="00C353A9" w:rsidRPr="00F32397" w:rsidRDefault="00C353A9" w:rsidP="00674E09">
      <w:pPr>
        <w:spacing w:after="0" w:line="240" w:lineRule="auto"/>
        <w:rPr>
          <w:rFonts w:ascii="Times New Roman" w:hAnsi="Times New Roman" w:cs="Times New Roman"/>
          <w:sz w:val="24"/>
          <w:szCs w:val="24"/>
        </w:rPr>
      </w:pP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597694" w:rsidRPr="00F32397">
        <w:rPr>
          <w:rFonts w:ascii="Times New Roman" w:hAnsi="Times New Roman" w:cs="Times New Roman"/>
          <w:sz w:val="24"/>
          <w:szCs w:val="24"/>
        </w:rPr>
        <w:t>possess at least the minimum number of reads needed to be statistically detectab</w:t>
      </w:r>
      <w:r w:rsidR="00597694">
        <w:rPr>
          <w:rFonts w:ascii="Times New Roman" w:hAnsi="Times New Roman" w:cs="Times New Roman"/>
          <w:sz w:val="24"/>
          <w:szCs w:val="24"/>
        </w:rPr>
        <w:t xml:space="preserve">le for allelic imbalance </w:t>
      </w:r>
      <w:r w:rsidR="00597694" w:rsidRPr="00F32397">
        <w:rPr>
          <w:rFonts w:ascii="Times New Roman" w:hAnsi="Times New Roman" w:cs="Times New Roman"/>
          <w:sz w:val="24"/>
          <w:szCs w:val="24"/>
        </w:rPr>
        <w:t>(see Methods)</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the ‘control’ SNVs as a subset</w:t>
      </w:r>
      <w:r w:rsidR="00C353A9" w:rsidRPr="00F32397">
        <w:rPr>
          <w:rFonts w:ascii="Times New Roman" w:hAnsi="Times New Roman" w:cs="Times New Roman"/>
          <w:sz w:val="24"/>
          <w:szCs w:val="24"/>
        </w:rPr>
        <w:t xml:space="preserve"> of </w:t>
      </w:r>
      <w:r>
        <w:rPr>
          <w:rFonts w:ascii="Times New Roman" w:hAnsi="Times New Roman" w:cs="Times New Roman"/>
          <w:sz w:val="24"/>
          <w:szCs w:val="24"/>
        </w:rPr>
        <w:t xml:space="preserve">non-allele-specific 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well-matched in power to the detected allele-specific SNVs (see Methods).</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 xml:space="preserve">allele-specific SNVs relative to </w:t>
      </w:r>
      <w:r w:rsidRPr="00F32397">
        <w:rPr>
          <w:rFonts w:ascii="Times New Roman" w:hAnsi="Times New Roman" w:cs="Times New Roman"/>
          <w:sz w:val="24"/>
          <w:szCs w:val="24"/>
        </w:rPr>
        <w:lastRenderedPageBreak/>
        <w:t>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(Figure 4b)</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27</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28</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 xml:space="preserve">SNRPN and </w:t>
      </w:r>
      <w:r w:rsidRPr="00F32397">
        <w:rPr>
          <w:rFonts w:ascii="Times New Roman" w:hAnsi="Times New Roman" w:cs="Times New Roman"/>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t>
      </w:r>
      <w:proofErr w:type="spellEnd"/>
      <w:r w:rsidRPr="00F32397">
        <w:rPr>
          <w:rFonts w:ascii="Times New Roman" w:hAnsi="Times New Roman" w:cs="Times New Roman"/>
          <w:sz w:val="24"/>
          <w:szCs w:val="24"/>
        </w:rPr>
        <w:t>-Willi Syndrome, an imprinting disorder.</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"&lt;sup&gt;31&lt;/sup&gt;", "plainTextFormattedCitation" : "31", "previouslyFormattedCitation" : "&lt;sup&gt;31&lt;/sup&gt;"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proofErr w:type="spellStart"/>
      <w:r w:rsidR="00FB54C1" w:rsidRPr="00F32397">
        <w:rPr>
          <w:rFonts w:ascii="Times New Roman" w:hAnsi="Times New Roman" w:cs="Times New Roman"/>
          <w:sz w:val="24"/>
          <w:szCs w:val="24"/>
        </w:rPr>
        <w:t>Supp</w:t>
      </w:r>
      <w:proofErr w:type="spellEnd"/>
      <w:r w:rsidR="00FB54C1" w:rsidRPr="00F32397">
        <w:rPr>
          <w:rFonts w:ascii="Times New Roman" w:hAnsi="Times New Roman" w:cs="Times New Roman"/>
          <w:sz w:val="24"/>
          <w:szCs w:val="24"/>
        </w:rPr>
        <w:t xml:space="preserve"> file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F32397">
        <w:rPr>
          <w:rFonts w:ascii="Times New Roman" w:hAnsi="Times New Roman" w:cs="Times New Roman"/>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ZNF331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"&lt;sup&gt;32&lt;/sup&gt;", "plainTextFormattedCitation" : "32", "previouslyFormattedCitation" : "&lt;sup&gt;32&lt;/sup&gt;"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32</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(also c-</w:t>
      </w:r>
      <w:proofErr w:type="spellStart"/>
      <w:r w:rsidR="00C41E93">
        <w:rPr>
          <w:rFonts w:ascii="Times New Roman" w:hAnsi="Times New Roman" w:cs="Times New Roman"/>
          <w:sz w:val="24"/>
          <w:szCs w:val="24"/>
        </w:rPr>
        <w:t>Myc</w:t>
      </w:r>
      <w:proofErr w:type="spellEnd"/>
      <w:r w:rsidR="00C41E93">
        <w:rPr>
          <w:rFonts w:ascii="Times New Roman" w:hAnsi="Times New Roman" w:cs="Times New Roman"/>
          <w:sz w:val="24"/>
          <w:szCs w:val="24"/>
        </w:rPr>
        <w:t xml:space="preserve">, or </w:t>
      </w:r>
      <w:r w:rsidR="00C41E93" w:rsidRPr="00C41E93">
        <w:rPr>
          <w:rFonts w:ascii="Times New Roman" w:hAnsi="Times New Roman" w:cs="Times New Roman"/>
          <w:sz w:val="24"/>
          <w:szCs w:val="24"/>
        </w:rPr>
        <w:t>v-</w:t>
      </w:r>
      <w:proofErr w:type="spellStart"/>
      <w:r w:rsidR="00C41E93" w:rsidRPr="00C41E93">
        <w:rPr>
          <w:rFonts w:ascii="Times New Roman" w:hAnsi="Times New Roman" w:cs="Times New Roman"/>
          <w:sz w:val="24"/>
          <w:szCs w:val="24"/>
        </w:rPr>
        <w:t>myc</w:t>
      </w:r>
      <w:proofErr w:type="spellEnd"/>
      <w:r w:rsidR="00C41E93" w:rsidRPr="00C41E93">
        <w:rPr>
          <w:rFonts w:ascii="Times New Roman" w:hAnsi="Times New Roman" w:cs="Times New Roman"/>
          <w:sz w:val="24"/>
          <w:szCs w:val="24"/>
        </w:rPr>
        <w:t xml:space="preserve"> avian </w:t>
      </w:r>
      <w:proofErr w:type="spellStart"/>
      <w:r w:rsidR="00C41E93" w:rsidRPr="00C41E93">
        <w:rPr>
          <w:rFonts w:ascii="Times New Roman" w:hAnsi="Times New Roman" w:cs="Times New Roman"/>
          <w:sz w:val="24"/>
          <w:szCs w:val="24"/>
        </w:rPr>
        <w:t>myelocytomatosis</w:t>
      </w:r>
      <w:proofErr w:type="spellEnd"/>
      <w:r w:rsidR="00C41E93" w:rsidRPr="00C41E93">
        <w:rPr>
          <w:rFonts w:ascii="Times New Roman" w:hAnsi="Times New Roman" w:cs="Times New Roman"/>
          <w:sz w:val="24"/>
          <w:szCs w:val="24"/>
        </w:rPr>
        <w:t xml:space="preserve"> viral oncogene homolog</w:t>
      </w:r>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ZNF331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(Figure </w:t>
      </w:r>
      <w:r w:rsidR="0049159A" w:rsidRPr="00F32397">
        <w:rPr>
          <w:rFonts w:ascii="Times New Roman" w:hAnsi="Times New Roman" w:cs="Times New Roman"/>
          <w:sz w:val="24"/>
          <w:szCs w:val="24"/>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 xml:space="preserve">5 </w:t>
      </w:r>
      <w:r w:rsidR="00C83337" w:rsidRPr="00F32397">
        <w:rPr>
          <w:rFonts w:ascii="Times New Roman" w:hAnsi="Times New Roman" w:cs="Times New Roman"/>
          <w:sz w:val="24"/>
          <w:szCs w:val="24"/>
        </w:rPr>
        <w:t xml:space="preserve">(and </w:t>
      </w:r>
      <w:proofErr w:type="spellStart"/>
      <w:r w:rsidR="00C83337" w:rsidRPr="00F32397">
        <w:rPr>
          <w:rFonts w:ascii="Times New Roman" w:hAnsi="Times New Roman" w:cs="Times New Roman"/>
          <w:sz w:val="24"/>
          <w:szCs w:val="24"/>
        </w:rPr>
        <w:t>Supp</w:t>
      </w:r>
      <w:proofErr w:type="spellEnd"/>
      <w:r w:rsidR="00C83337" w:rsidRPr="00F32397">
        <w:rPr>
          <w:rFonts w:ascii="Times New Roman" w:hAnsi="Times New Roman" w:cs="Times New Roman"/>
          <w:sz w:val="24"/>
          <w:szCs w:val="24"/>
        </w:rPr>
        <w:t xml:space="preserve"> 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xml:space="preserve">, </w:t>
      </w:r>
      <w:proofErr w:type="spellStart"/>
      <w:r w:rsidR="00E32779" w:rsidRPr="00F32397">
        <w:rPr>
          <w:rFonts w:ascii="Times New Roman" w:hAnsi="Times New Roman" w:cs="Times New Roman"/>
          <w:sz w:val="24"/>
          <w:szCs w:val="24"/>
        </w:rPr>
        <w:t>Supp</w:t>
      </w:r>
      <w:proofErr w:type="spellEnd"/>
      <w:r w:rsidR="0013626F" w:rsidRPr="00F32397">
        <w:rPr>
          <w:rFonts w:ascii="Times New Roman" w:hAnsi="Times New Roman" w:cs="Times New Roman"/>
          <w:sz w:val="24"/>
          <w:szCs w:val="24"/>
        </w:rPr>
        <w:t xml:space="preserve"> file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proofErr w:type="spellStart"/>
      <w:r w:rsidR="00DE0E63" w:rsidRPr="00F32397">
        <w:rPr>
          <w:rFonts w:ascii="Times New Roman" w:hAnsi="Times New Roman" w:cs="Times New Roman"/>
          <w:sz w:val="24"/>
          <w:szCs w:val="24"/>
        </w:rPr>
        <w:t>Supp</w:t>
      </w:r>
      <w:proofErr w:type="spellEnd"/>
      <w:r w:rsidR="00DE0E63" w:rsidRPr="00F32397">
        <w:rPr>
          <w:rFonts w:ascii="Times New Roman" w:hAnsi="Times New Roman" w:cs="Times New Roman"/>
          <w:sz w:val="24"/>
          <w:szCs w:val="24"/>
        </w:rPr>
        <w:t xml:space="preserve"> File 2), and enhancers</w:t>
      </w:r>
      <w:r w:rsidR="001D6208" w:rsidRPr="00F32397">
        <w:rPr>
          <w:rFonts w:ascii="Times New Roman" w:hAnsi="Times New Roman" w:cs="Times New Roman"/>
          <w:sz w:val="24"/>
          <w:szCs w:val="24"/>
        </w:rPr>
        <w:t xml:space="preserve"> (</w:t>
      </w:r>
      <w:proofErr w:type="spellStart"/>
      <w:r w:rsidR="001D6208" w:rsidRPr="00F32397">
        <w:rPr>
          <w:rFonts w:ascii="Times New Roman" w:hAnsi="Times New Roman" w:cs="Times New Roman"/>
          <w:sz w:val="24"/>
          <w:szCs w:val="24"/>
        </w:rPr>
        <w:t>Supp</w:t>
      </w:r>
      <w:proofErr w:type="spellEnd"/>
      <w:r w:rsidR="001D6208" w:rsidRPr="00F32397">
        <w:rPr>
          <w:rFonts w:ascii="Times New Roman" w:hAnsi="Times New Roman" w:cs="Times New Roman"/>
          <w:sz w:val="24"/>
          <w:szCs w:val="24"/>
        </w:rPr>
        <w:t xml:space="preserve"> File 7)</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Table 1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Methods 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"&lt;sup&gt;4,33&lt;/sup&gt;", "plainTextFormattedCitation" : "4,33", "previouslyFormattedCitation" : "&lt;sup&gt;4,33&lt;/sup&gt;"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4,33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proofErr w:type="spellStart"/>
      <w:r w:rsidR="00307D80" w:rsidRPr="00F32397">
        <w:rPr>
          <w:rFonts w:ascii="Times New Roman" w:hAnsi="Times New Roman" w:cs="Times New Roman"/>
          <w:sz w:val="24"/>
          <w:szCs w:val="24"/>
        </w:rPr>
        <w:t>Supp</w:t>
      </w:r>
      <w:proofErr w:type="spellEnd"/>
      <w:r w:rsidR="00307D80" w:rsidRPr="00F32397">
        <w:rPr>
          <w:rFonts w:ascii="Times New Roman" w:hAnsi="Times New Roman" w:cs="Times New Roman"/>
          <w:sz w:val="24"/>
          <w:szCs w:val="24"/>
        </w:rPr>
        <w:t xml:space="preserve"> 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seems to suggest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may be under weaker selection than non-ASE variants, which can </w:t>
      </w:r>
      <w:r w:rsidRPr="00F32397">
        <w:rPr>
          <w:rFonts w:ascii="Times New Roman" w:hAnsi="Times New Roman" w:cs="Times New Roman"/>
          <w:sz w:val="24"/>
          <w:szCs w:val="24"/>
        </w:rPr>
        <w:t>be a result of accommodating varying levels of gen</w:t>
      </w:r>
      <w:r w:rsidR="004A277B">
        <w:rPr>
          <w:rFonts w:ascii="Times New Roman" w:hAnsi="Times New Roman" w:cs="Times New Roman"/>
          <w:sz w:val="24"/>
          <w:szCs w:val="24"/>
        </w:rPr>
        <w:t>e expression across individuals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F201F5"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(see Methods)</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w:t>
      </w:r>
      <w:r w:rsidR="00217A80" w:rsidRPr="00F32397">
        <w:rPr>
          <w:rFonts w:ascii="Times New Roman" w:hAnsi="Times New Roman" w:cs="Times New Roman"/>
          <w:sz w:val="24"/>
          <w:szCs w:val="24"/>
        </w:rPr>
        <w:lastRenderedPageBreak/>
        <w:t xml:space="preserve">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proofErr w:type="spellStart"/>
      <w:r w:rsidR="001F6FE2" w:rsidRPr="00F32397">
        <w:rPr>
          <w:rFonts w:ascii="Times New Roman" w:hAnsi="Times New Roman" w:cs="Times New Roman"/>
          <w:sz w:val="24"/>
          <w:szCs w:val="24"/>
        </w:rPr>
        <w:t>Supp</w:t>
      </w:r>
      <w:proofErr w:type="spellEnd"/>
      <w:r w:rsidR="001F6FE2" w:rsidRPr="00F32397">
        <w:rPr>
          <w:rFonts w:ascii="Times New Roman" w:hAnsi="Times New Roman" w:cs="Times New Roman"/>
          <w:sz w:val="24"/>
          <w:szCs w:val="24"/>
        </w:rPr>
        <w:t xml:space="preserve"> File </w:t>
      </w:r>
      <w:r w:rsidR="00415CE5" w:rsidRPr="00F32397">
        <w:rPr>
          <w:rFonts w:ascii="Times New Roman" w:hAnsi="Times New Roman" w:cs="Times New Roman"/>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C05307"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"&lt;sup&gt;7,34\u201336&lt;/sup&gt;", "plainTextFormattedCitation" : "7,34\u201336", "previouslyFormattedCitation" : "&lt;sup&gt;7,34\u201336&lt;/sup&gt;"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7,34–36</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A62F37" w:rsidRPr="00F32397">
        <w:rPr>
          <w:rFonts w:ascii="Times New Roman" w:hAnsi="Times New Roman" w:cs="Times New Roman"/>
          <w:sz w:val="24"/>
          <w:szCs w:val="24"/>
        </w:rPr>
        <w:t>We</w:t>
      </w:r>
      <w:proofErr w:type="gramEnd"/>
      <w:r w:rsidR="00A62F37" w:rsidRPr="00F32397">
        <w:rPr>
          <w:rFonts w:ascii="Times New Roman" w:hAnsi="Times New Roman" w:cs="Times New Roman"/>
          <w:sz w:val="24"/>
          <w:szCs w:val="24"/>
        </w:rPr>
        <w:t xml:space="preserv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 xml:space="preserve">would have more balanced allelic ratios. Hence, while </w:t>
      </w:r>
      <w:proofErr w:type="spellStart"/>
      <w:r w:rsidR="00A62F37" w:rsidRPr="00F32397">
        <w:rPr>
          <w:rFonts w:ascii="Times New Roman" w:hAnsi="Times New Roman" w:cs="Times New Roman"/>
          <w:sz w:val="24"/>
          <w:szCs w:val="24"/>
        </w:rPr>
        <w:t>overdispersion</w:t>
      </w:r>
      <w:proofErr w:type="spellEnd"/>
      <w:r w:rsidR="00A62F37" w:rsidRPr="00F32397">
        <w:rPr>
          <w:rFonts w:ascii="Times New Roman" w:hAnsi="Times New Roman" w:cs="Times New Roman"/>
          <w:sz w:val="24"/>
          <w:szCs w:val="24"/>
        </w:rPr>
        <w:t xml:space="preserve"> could be a biological consequence of allele-specific behavior,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A54276" w:rsidRPr="00F32397">
        <w:rPr>
          <w:rFonts w:ascii="Times New Roman" w:hAnsi="Times New Roman" w:cs="Times New Roman"/>
          <w:sz w:val="24"/>
          <w:szCs w:val="24"/>
        </w:rPr>
        <w:t xml:space="preserve">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proofErr w:type="spellStart"/>
      <w:r w:rsidR="00034A9E" w:rsidRPr="00F32397">
        <w:rPr>
          <w:rFonts w:ascii="Times New Roman" w:hAnsi="Times New Roman" w:cs="Times New Roman"/>
          <w:sz w:val="24"/>
          <w:szCs w:val="24"/>
        </w:rPr>
        <w:t>AlleleDB</w:t>
      </w:r>
      <w:proofErr w:type="spellEnd"/>
      <w:r w:rsidR="00034A9E" w:rsidRPr="00F32397">
        <w:rPr>
          <w:rFonts w:ascii="Times New Roman" w:hAnsi="Times New Roman" w:cs="Times New Roman"/>
          <w:sz w:val="24"/>
          <w:szCs w:val="24"/>
        </w:rPr>
        <w:t xml:space="preserve">. In addition to accounting for the </w:t>
      </w:r>
      <w:proofErr w:type="spellStart"/>
      <w:r w:rsidR="00034A9E" w:rsidRPr="00F32397">
        <w:rPr>
          <w:rFonts w:ascii="Times New Roman" w:hAnsi="Times New Roman" w:cs="Times New Roman"/>
          <w:sz w:val="24"/>
          <w:szCs w:val="24"/>
        </w:rPr>
        <w:t>overdispersion</w:t>
      </w:r>
      <w:proofErr w:type="spellEnd"/>
      <w:r w:rsidR="00034A9E" w:rsidRPr="00F32397">
        <w:rPr>
          <w:rFonts w:ascii="Times New Roman" w:hAnsi="Times New Roman" w:cs="Times New Roman"/>
          <w:sz w:val="24"/>
          <w:szCs w:val="24"/>
        </w:rPr>
        <w:t xml:space="preserve">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 xml:space="preserve">atasets with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give very similar results between binomial and beta-binomial tests (Figure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 xml:space="preserve">he binomial test tends to overestimate the number of detected allele-specific SNVs in datasets with higher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it is too relaxed in these cases (Figure 2B).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r w:rsidR="008F2A87" w:rsidRPr="00F32397">
        <w:rPr>
          <w:rFonts w:ascii="Times New Roman" w:hAnsi="Times New Roman" w:cs="Times New Roman"/>
          <w:sz w:val="24"/>
          <w:szCs w:val="24"/>
        </w:rPr>
        <w:t xml:space="preserve">segregating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w:t>
      </w:r>
      <w:proofErr w:type="spellStart"/>
      <w:r w:rsidR="00815F77" w:rsidRPr="00F32397">
        <w:rPr>
          <w:rFonts w:ascii="Times New Roman" w:hAnsi="Times New Roman" w:cs="Times New Roman"/>
          <w:sz w:val="24"/>
          <w:szCs w:val="24"/>
        </w:rPr>
        <w:t>overdispersion</w:t>
      </w:r>
      <w:proofErr w:type="spellEnd"/>
      <w:r w:rsidR="00815F77" w:rsidRPr="00F32397">
        <w:rPr>
          <w:rFonts w:ascii="Times New Roman" w:hAnsi="Times New Roman" w:cs="Times New Roman"/>
          <w:sz w:val="24"/>
          <w:szCs w:val="24"/>
        </w:rPr>
        <w:t xml:space="preserve">,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w:t>
      </w:r>
      <w:proofErr w:type="spellStart"/>
      <w:r w:rsidR="008F2A87"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p>
    <w:p w:rsidR="00C05307" w:rsidRDefault="00C05307" w:rsidP="00674E09">
      <w:pPr>
        <w:spacing w:after="0" w:line="240" w:lineRule="auto"/>
        <w:rPr>
          <w:rFonts w:ascii="Times New Roman" w:hAnsi="Times New Roman" w:cs="Times New Roman"/>
          <w:sz w:val="24"/>
          <w:szCs w:val="24"/>
        </w:rPr>
      </w:pPr>
    </w:p>
    <w:p w:rsidR="00A9583A" w:rsidRPr="00F32397" w:rsidRDefault="00C0530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even with lower number of false positives, it is important to note that the AS SNVs detected are not 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0C3D88" w:rsidRPr="000C3D88">
        <w:rPr>
          <w:rFonts w:ascii="Times New Roman" w:hAnsi="Times New Roman" w:cs="Times New Roman"/>
          <w:noProof/>
          <w:sz w:val="24"/>
          <w:szCs w:val="24"/>
          <w:vertAlign w:val="superscript"/>
        </w:rPr>
        <w:t>37</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C3D88">
        <w:rPr>
          <w:rFonts w:ascii="Times New Roman" w:hAnsi="Times New Roman" w:cs="Times New Roman"/>
          <w:sz w:val="24"/>
          <w:szCs w:val="24"/>
        </w:rPr>
        <w:t xml:space="preserve">However, </w:t>
      </w:r>
      <w:r w:rsidR="0059393F">
        <w:rPr>
          <w:rFonts w:ascii="Times New Roman" w:hAnsi="Times New Roman" w:cs="Times New Roman"/>
          <w:sz w:val="24"/>
          <w:szCs w:val="24"/>
        </w:rPr>
        <w:t xml:space="preserve">there are some ways </w:t>
      </w:r>
      <w:r w:rsidR="000C3D88">
        <w:rPr>
          <w:rFonts w:ascii="Times New Roman" w:hAnsi="Times New Roman" w:cs="Times New Roman"/>
          <w:sz w:val="24"/>
          <w:szCs w:val="24"/>
        </w:rPr>
        <w:t xml:space="preserve">variants </w:t>
      </w:r>
      <w:r w:rsidR="0059393F">
        <w:rPr>
          <w:rFonts w:ascii="Times New Roman" w:hAnsi="Times New Roman" w:cs="Times New Roman"/>
          <w:sz w:val="24"/>
          <w:szCs w:val="24"/>
        </w:rPr>
        <w:t>can be prioritized.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(reference allele)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proofErr w:type="spellStart"/>
      <w:r w:rsidR="0059393F" w:rsidRPr="00F32397">
        <w:rPr>
          <w:rFonts w:ascii="Times New Roman" w:hAnsi="Times New Roman" w:cs="Times New Roman"/>
          <w:sz w:val="24"/>
          <w:szCs w:val="24"/>
        </w:rPr>
        <w:t>Supp</w:t>
      </w:r>
      <w:proofErr w:type="spellEnd"/>
      <w:r w:rsidR="0059393F" w:rsidRPr="00F32397">
        <w:rPr>
          <w:rFonts w:ascii="Times New Roman" w:hAnsi="Times New Roman" w:cs="Times New Roman"/>
          <w:sz w:val="24"/>
          <w:szCs w:val="24"/>
        </w:rPr>
        <w:t xml:space="preserve"> File 6).</w:t>
      </w:r>
      <w:r w:rsidR="0059393F">
        <w:rPr>
          <w:rFonts w:ascii="Times New Roman" w:hAnsi="Times New Roman" w:cs="Times New Roman"/>
          <w:sz w:val="24"/>
          <w:szCs w:val="24"/>
        </w:rPr>
        <w:t xml:space="preserve"> Also, a</w:t>
      </w:r>
      <w:r w:rsidR="00EB7856">
        <w:rPr>
          <w:rFonts w:ascii="Times New Roman" w:hAnsi="Times New Roman" w:cs="Times New Roman"/>
          <w:sz w:val="24"/>
          <w:szCs w:val="24"/>
        </w:rPr>
        <w:t xml:space="preserve"> previous study has shown that </w:t>
      </w:r>
      <w:r w:rsidR="0059393F">
        <w:rPr>
          <w:rFonts w:ascii="Times New Roman" w:hAnsi="Times New Roman" w:cs="Times New Roman"/>
          <w:sz w:val="24"/>
          <w:szCs w:val="24"/>
        </w:rPr>
        <w:t xml:space="preserve">there is a greater likelihood of </w:t>
      </w:r>
      <w:r w:rsidR="00EB7856">
        <w:rPr>
          <w:rFonts w:ascii="Times New Roman" w:hAnsi="Times New Roman" w:cs="Times New Roman"/>
          <w:sz w:val="24"/>
          <w:szCs w:val="24"/>
        </w:rPr>
        <w:t xml:space="preserve">functional binding </w:t>
      </w:r>
      <w:r w:rsidR="0059393F">
        <w:rPr>
          <w:rFonts w:ascii="Times New Roman" w:hAnsi="Times New Roman" w:cs="Times New Roman"/>
          <w:sz w:val="24"/>
          <w:szCs w:val="24"/>
        </w:rPr>
        <w:t>when the TF motif sequence matches the canonical motif more</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"&lt;sup&gt;38&lt;/sup&gt;", "plainTextFormattedCitation" : "38"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38</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motifs</w:t>
      </w:r>
      <w:r w:rsidR="0059393F">
        <w:rPr>
          <w:rFonts w:ascii="Times New Roman" w:hAnsi="Times New Roman" w:cs="Times New Roman"/>
          <w:sz w:val="24"/>
          <w:szCs w:val="24"/>
        </w:rPr>
        <w:t xml:space="preserve"> (</w:t>
      </w:r>
      <w:proofErr w:type="spellStart"/>
      <w:r w:rsidR="0059393F">
        <w:rPr>
          <w:rFonts w:ascii="Times New Roman" w:hAnsi="Times New Roman" w:cs="Times New Roman"/>
          <w:sz w:val="24"/>
          <w:szCs w:val="24"/>
        </w:rPr>
        <w:t>Supp</w:t>
      </w:r>
      <w:proofErr w:type="spellEnd"/>
      <w:r w:rsidR="0059393F">
        <w:rPr>
          <w:rFonts w:ascii="Times New Roman" w:hAnsi="Times New Roman" w:cs="Times New Roman"/>
          <w:sz w:val="24"/>
          <w:szCs w:val="24"/>
        </w:rPr>
        <w:t xml:space="preserve"> File 4)</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3D7A5D" w:rsidRPr="00F32397" w:rsidRDefault="00F9398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"&lt;sup&gt;38\u201340&lt;/sup&gt;"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39–41</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w:t>
      </w:r>
      <w:proofErr w:type="gramStart"/>
      <w:r w:rsidR="00B761A1" w:rsidRPr="00F32397">
        <w:rPr>
          <w:rFonts w:ascii="Times New Roman" w:hAnsi="Times New Roman" w:cs="Times New Roman"/>
          <w:sz w:val="24"/>
          <w:szCs w:val="24"/>
        </w:rPr>
        <w:t>Ou</w:t>
      </w:r>
      <w:r w:rsidRPr="00F32397">
        <w:rPr>
          <w:rFonts w:ascii="Times New Roman" w:hAnsi="Times New Roman" w:cs="Times New Roman"/>
          <w:sz w:val="24"/>
          <w:szCs w:val="24"/>
        </w:rPr>
        <w:t>r</w:t>
      </w:r>
      <w:proofErr w:type="gramEnd"/>
      <w:r w:rsidRPr="00F32397">
        <w:rPr>
          <w:rFonts w:ascii="Times New Roman" w:hAnsi="Times New Roman" w:cs="Times New Roman"/>
          <w:sz w:val="24"/>
          <w:szCs w:val="24"/>
        </w:rPr>
        <w:t xml:space="preserve"> </w:t>
      </w:r>
      <w:r w:rsidRPr="00F32397">
        <w:rPr>
          <w:rFonts w:ascii="Times New Roman" w:hAnsi="Times New Roman" w:cs="Times New Roman"/>
          <w:sz w:val="24"/>
          <w:szCs w:val="24"/>
        </w:rPr>
        <w:lastRenderedPageBreak/>
        <w:t xml:space="preserve">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7F4276">
        <w:rPr>
          <w:rFonts w:ascii="Times New Roman" w:hAnsi="Times New Roman" w:cs="Times New Roman"/>
          <w:sz w:val="24"/>
          <w:szCs w:val="24"/>
        </w:rPr>
        <w:t xml:space="preserve"> Considering that a</w:t>
      </w:r>
      <w:r w:rsidRPr="00F32397">
        <w:rPr>
          <w:rFonts w:ascii="Times New Roman" w:hAnsi="Times New Roman" w:cs="Times New Roman"/>
          <w:sz w:val="24"/>
          <w:szCs w:val="24"/>
        </w:rPr>
        <w:t xml:space="preserve"> significant portion of allele-specific SNVs are rare (Figure 6 and Table 1), i.e. occur</w:t>
      </w:r>
      <w:r w:rsidR="00756FC7" w:rsidRPr="00F32397">
        <w:rPr>
          <w:rFonts w:ascii="Times New Roman" w:hAnsi="Times New Roman" w:cs="Times New Roman"/>
          <w:sz w:val="24"/>
          <w:szCs w:val="24"/>
        </w:rPr>
        <w:t>ring</w:t>
      </w:r>
      <w:r w:rsidRPr="00F32397">
        <w:rPr>
          <w:rFonts w:ascii="Times New Roman" w:hAnsi="Times New Roman" w:cs="Times New Roman"/>
          <w:sz w:val="24"/>
          <w:szCs w:val="24"/>
        </w:rPr>
        <w:t xml:space="preserve"> in only a few individuals (MAF ≤ 0.5%), </w:t>
      </w:r>
      <w:r w:rsidR="007F4276">
        <w:rPr>
          <w:rFonts w:ascii="Times New Roman" w:hAnsi="Times New Roman" w:cs="Times New Roman"/>
          <w:sz w:val="24"/>
          <w:szCs w:val="24"/>
        </w:rPr>
        <w:t>such element-centric analyses would not have been feasible without many genomes</w:t>
      </w:r>
      <w:r w:rsidRPr="00F32397">
        <w:rPr>
          <w:rFonts w:ascii="Times New Roman" w:hAnsi="Times New Roman" w:cs="Times New Roman"/>
          <w:sz w:val="24"/>
          <w:szCs w:val="24"/>
        </w:rPr>
        <w:t xml:space="preserve">. </w:t>
      </w:r>
      <w:r w:rsidR="007F4276">
        <w:rPr>
          <w:rFonts w:ascii="Times New Roman" w:hAnsi="Times New Roman" w:cs="Times New Roman"/>
          <w:sz w:val="24"/>
          <w:szCs w:val="24"/>
        </w:rPr>
        <w:t>Since many of them also are in close proximity of each other, c</w:t>
      </w:r>
      <w:r w:rsidRPr="00F32397">
        <w:rPr>
          <w:rFonts w:ascii="Times New Roman" w:hAnsi="Times New Roman" w:cs="Times New Roman"/>
          <w:sz w:val="24"/>
          <w:szCs w:val="24"/>
        </w:rPr>
        <w:t xml:space="preserve">onsolidating rare allele-specific SNVs </w:t>
      </w:r>
      <w:r w:rsidR="003D7A5D" w:rsidRPr="00F32397">
        <w:rPr>
          <w:rFonts w:ascii="Times New Roman" w:hAnsi="Times New Roman" w:cs="Times New Roman"/>
          <w:sz w:val="24"/>
          <w:szCs w:val="24"/>
        </w:rPr>
        <w:t>to quantify</w:t>
      </w:r>
      <w:r w:rsidR="00756FC7" w:rsidRPr="00F32397">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allele-specificity is </w:t>
      </w:r>
      <w:r w:rsidRPr="00F32397">
        <w:rPr>
          <w:rFonts w:ascii="Times New Roman" w:hAnsi="Times New Roman" w:cs="Times New Roman"/>
          <w:sz w:val="24"/>
          <w:szCs w:val="24"/>
        </w:rPr>
        <w:t xml:space="preserve">helpful 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Pr="00F32397">
        <w:rPr>
          <w:rFonts w:ascii="Times New Roman" w:hAnsi="Times New Roman" w:cs="Times New Roman"/>
          <w:sz w:val="24"/>
          <w:szCs w:val="24"/>
        </w:rPr>
        <w:t xml:space="preserve">weights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this is akin to the idea of burden tests for rare variants in association studies.</w:t>
      </w:r>
      <w:r w:rsidR="00366406"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"&lt;sup&gt;42,43&lt;/sup&gt;", "plainTextFormattedCitation" : "42,43", "previouslyFormattedCitation" : "&lt;sup&gt;41,42&lt;/sup&gt;"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lang w:eastAsia="zh-TW"/>
        </w:rPr>
        <w:t>42,43</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weights is especially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"&lt;sup&gt;44&lt;/sup&gt;", "plainTextFormattedCitation" : "44", "previouslyFormattedCitation" : "&lt;sup&gt;43&lt;/sup&gt;"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44</w:t>
      </w:r>
      <w:r w:rsidRPr="00F32397">
        <w:rPr>
          <w:rFonts w:ascii="Times New Roman" w:hAnsi="Times New Roman" w:cs="Times New Roman"/>
          <w:sz w:val="24"/>
          <w:szCs w:val="24"/>
        </w:rPr>
        <w:fldChar w:fldCharType="end"/>
      </w:r>
    </w:p>
    <w:p w:rsidR="003D7A5D" w:rsidRPr="00F32397" w:rsidRDefault="003D7A5D" w:rsidP="00F93982">
      <w:pPr>
        <w:spacing w:after="0" w:line="240" w:lineRule="auto"/>
        <w:rPr>
          <w:rFonts w:ascii="Times New Roman" w:hAnsi="Times New Roman" w:cs="Times New Roman"/>
          <w:sz w:val="24"/>
          <w:szCs w:val="24"/>
          <w:lang w:eastAsia="zh-TW"/>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that is deemed more allele-specific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 xml:space="preserve">Figure </w:t>
      </w:r>
      <w:r w:rsidR="006C2AAD" w:rsidRPr="00F32397">
        <w:rPr>
          <w:rFonts w:ascii="Times New Roman" w:hAnsi="Times New Roman" w:cs="Times New Roman"/>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xml:space="preserve">. For example, loci 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shown to be associated with ASB of various transcription factors, such as imprinted</w:t>
      </w:r>
      <w:r w:rsidR="00F9398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"&lt;sup&gt;45,46&lt;/sup&gt;", "plainTextFormattedCitation" : "45,46", "previouslyFormattedCitation" : "&lt;sup&gt;44,45&lt;/sup&gt;"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45,46</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"&lt;sup&gt;47&lt;/sup&gt;", "plainTextFormattedCitation" : "47", "previouslyFormattedCitation" : "&lt;sup&gt;46&lt;/sup&gt;"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47</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Figure </w:t>
      </w:r>
      <w:r w:rsidR="006C2AAD" w:rsidRPr="00F32397">
        <w:rPr>
          <w:rFonts w:ascii="Times New Roman" w:hAnsi="Times New Roman" w:cs="Times New Roman"/>
          <w:sz w:val="24"/>
          <w:szCs w:val="24"/>
        </w:rPr>
        <w:t>4</w:t>
      </w:r>
      <w:r w:rsidR="003810A2" w:rsidRPr="00F32397">
        <w:rPr>
          <w:rFonts w:ascii="Times New Roman" w:hAnsi="Times New Roman" w:cs="Times New Roman"/>
          <w:sz w:val="24"/>
          <w:szCs w:val="24"/>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CB1FCD" w:rsidRPr="00F32397">
        <w:rPr>
          <w:rFonts w:ascii="Times New Roman" w:hAnsi="Times New Roman" w:cs="Times New Roman"/>
          <w:sz w:val="24"/>
          <w:szCs w:val="24"/>
        </w:rPr>
        <w:t xml:space="preserve"> specific sub-regions within ZNF331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13626F" w:rsidRPr="00F32397" w:rsidRDefault="00A5427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w:t>
      </w:r>
      <w:proofErr w:type="spellStart"/>
      <w:r w:rsidR="0013626F" w:rsidRPr="00F32397">
        <w:rPr>
          <w:rFonts w:ascii="Times New Roman" w:hAnsi="Times New Roman" w:cs="Times New Roman"/>
          <w:sz w:val="24"/>
          <w:szCs w:val="24"/>
        </w:rPr>
        <w:t>lymphoblastoid</w:t>
      </w:r>
      <w:proofErr w:type="spellEnd"/>
      <w:r w:rsidR="0013626F" w:rsidRPr="00F32397">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48</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"&lt;sup&gt;49&lt;/sup&gt;", "plainTextFormattedCitation" : "49", "previouslyFormattedCitation" : "&lt;sup&gt;48&lt;/sup&gt;"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49</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F32397">
        <w:rPr>
          <w:rFonts w:ascii="Times New Roman" w:hAnsi="Times New Roman" w:cs="Times New Roman"/>
          <w:sz w:val="24"/>
          <w:szCs w:val="24"/>
        </w:rPr>
        <w:t>ChIP-seq</w:t>
      </w:r>
      <w:proofErr w:type="spellEnd"/>
      <w:r w:rsidR="0013626F" w:rsidRPr="00F32397">
        <w:rPr>
          <w:rFonts w:ascii="Times New Roman" w:hAnsi="Times New Roman" w:cs="Times New Roman"/>
          <w:sz w:val="24"/>
          <w:szCs w:val="24"/>
        </w:rPr>
        <w:t xml:space="preserve"> and RNA-</w:t>
      </w:r>
      <w:proofErr w:type="spellStart"/>
      <w:r w:rsidR="0013626F" w:rsidRPr="00F32397">
        <w:rPr>
          <w:rFonts w:ascii="Times New Roman" w:hAnsi="Times New Roman" w:cs="Times New Roman"/>
          <w:sz w:val="24"/>
          <w:szCs w:val="24"/>
        </w:rPr>
        <w:t>seq</w:t>
      </w:r>
      <w:proofErr w:type="spellEnd"/>
      <w:r w:rsidR="0013626F" w:rsidRPr="00F32397">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"&lt;sup&gt;49&lt;/sup&gt;"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50</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"&lt;sup&gt;50\u201352&lt;/sup&gt;"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51–53</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proofErr w:type="spellStart"/>
      <w:r w:rsidR="00FD6FBD" w:rsidRPr="00F32397">
        <w:rPr>
          <w:rFonts w:ascii="Times New Roman" w:hAnsi="Times New Roman" w:cs="Times New Roman"/>
          <w:sz w:val="24"/>
          <w:szCs w:val="24"/>
        </w:rPr>
        <w:t>AlleleDB</w:t>
      </w:r>
      <w:proofErr w:type="spellEnd"/>
      <w:r w:rsidR="00FD6FBD" w:rsidRPr="00F32397">
        <w:rPr>
          <w:rFonts w:ascii="Times New Roman" w:hAnsi="Times New Roman" w:cs="Times New Roman"/>
          <w:sz w:val="24"/>
          <w:szCs w:val="24"/>
        </w:rPr>
        <w:t xml:space="preserve">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w:t>
      </w:r>
      <w:proofErr w:type="spellStart"/>
      <w:r w:rsidR="001D73E9">
        <w:rPr>
          <w:rFonts w:ascii="Times New Roman" w:hAnsi="Times New Roman" w:cs="Times New Roman"/>
          <w:sz w:val="24"/>
          <w:szCs w:val="24"/>
        </w:rPr>
        <w:t>AlleleDB</w:t>
      </w:r>
      <w:proofErr w:type="spellEnd"/>
      <w:r w:rsidR="001D73E9">
        <w:rPr>
          <w:rFonts w:ascii="Times New Roman" w:hAnsi="Times New Roman" w:cs="Times New Roman"/>
          <w:sz w:val="24"/>
          <w:szCs w:val="24"/>
        </w:rPr>
        <w:t xml:space="preserve"> can also serve as an allele-specific annotation of the 1000 Genomes Project variant catalog. </w:t>
      </w:r>
    </w:p>
    <w:p w:rsidR="00FE668A" w:rsidRPr="00F32397" w:rsidRDefault="00FE668A" w:rsidP="00674E09">
      <w:pPr>
        <w:spacing w:after="0" w:line="240" w:lineRule="auto"/>
        <w:rPr>
          <w:rFonts w:ascii="Times New Roman" w:hAnsi="Times New Roman" w:cs="Times New Roman"/>
          <w:sz w:val="24"/>
          <w:szCs w:val="24"/>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AND 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proofErr w:type="spellStart"/>
      <w:r w:rsidR="001264F7" w:rsidRPr="00F32397">
        <w:rPr>
          <w:rFonts w:ascii="Times New Roman" w:hAnsi="Times New Roman" w:cs="Times New Roman"/>
          <w:sz w:val="24"/>
          <w:szCs w:val="24"/>
        </w:rPr>
        <w:t>Supp</w:t>
      </w:r>
      <w:proofErr w:type="spellEnd"/>
      <w:r w:rsidR="001264F7" w:rsidRPr="00F32397">
        <w:rPr>
          <w:rFonts w:ascii="Times New Roman" w:hAnsi="Times New Roman" w:cs="Times New Roman"/>
          <w:sz w:val="24"/>
          <w:szCs w:val="24"/>
        </w:rPr>
        <w:t xml:space="preserve"> Table </w:t>
      </w:r>
      <w:r w:rsidR="00CC18E3" w:rsidRPr="00F32397">
        <w:rPr>
          <w:rFonts w:ascii="Times New Roman" w:hAnsi="Times New Roman" w:cs="Times New Roman"/>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Lalonde</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"&lt;sup&gt;56&lt;/sup&gt;"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57</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AB32F7" w:rsidRPr="00F32397">
        <w:rPr>
          <w:rFonts w:ascii="Times New Roman" w:hAnsi="Times New Roman" w:cs="Times New Roman"/>
          <w:b/>
          <w:sz w:val="24"/>
          <w:szCs w:val="24"/>
        </w:rPr>
        <w:t xml:space="preserve"> ρ </w:t>
      </w:r>
      <w:r w:rsidR="00A65EFD" w:rsidRPr="00F32397">
        <w:rPr>
          <w:rFonts w:ascii="Times New Roman" w:hAnsi="Times New Roman" w:cs="Times New Roman"/>
          <w:b/>
          <w:sz w:val="24"/>
          <w:szCs w:val="24"/>
        </w:rPr>
        <w:t>in individual and pooled datasets</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the reads.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"&lt;sup&gt;58&lt;/sup&gt;"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59</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2917EE"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proofErr w:type="spellStart"/>
      <w:r w:rsidR="00BE1E00" w:rsidRPr="00F32397">
        <w:rPr>
          <w:rFonts w:ascii="Times New Roman" w:hAnsi="Times New Roman" w:cs="Times New Roman"/>
          <w:sz w:val="24"/>
          <w:szCs w:val="24"/>
        </w:rPr>
        <w:t>S</w:t>
      </w:r>
      <w:r w:rsidR="00A913F8" w:rsidRPr="00F32397">
        <w:rPr>
          <w:rFonts w:ascii="Times New Roman" w:hAnsi="Times New Roman" w:cs="Times New Roman"/>
          <w:sz w:val="24"/>
          <w:szCs w:val="24"/>
        </w:rPr>
        <w:t>upp</w:t>
      </w:r>
      <w:proofErr w:type="spellEnd"/>
      <w:r w:rsidR="00A913F8" w:rsidRPr="00F32397">
        <w:rPr>
          <w:rFonts w:ascii="Times New Roman" w:hAnsi="Times New Roman" w:cs="Times New Roman"/>
          <w:sz w:val="24"/>
          <w:szCs w:val="24"/>
        </w:rPr>
        <w:t xml:space="preserve"> </w:t>
      </w:r>
      <w:r w:rsidR="00BE1E00" w:rsidRPr="00F32397">
        <w:rPr>
          <w:rFonts w:ascii="Times New Roman" w:hAnsi="Times New Roman" w:cs="Times New Roman"/>
          <w:sz w:val="24"/>
          <w:szCs w:val="24"/>
        </w:rPr>
        <w:t xml:space="preserve">file </w:t>
      </w:r>
      <w:r w:rsidR="00111736" w:rsidRPr="00F32397">
        <w:rPr>
          <w:rFonts w:ascii="Times New Roman" w:hAnsi="Times New Roman" w:cs="Times New Roman"/>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by individual for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and re-calculate ρ for each pooled dataset. This final ρ is used in the beta-binomial test for allele-specific SNV detection.</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 xml:space="preserve">based on the VGAM R package as described in the previous </w:t>
      </w:r>
      <w:r w:rsidR="003C3751" w:rsidRPr="00F32397">
        <w:rPr>
          <w:rFonts w:ascii="Times New Roman" w:hAnsi="Times New Roman" w:cs="Times New Roman"/>
          <w:sz w:val="24"/>
          <w:szCs w:val="24"/>
        </w:rPr>
        <w:lastRenderedPageBreak/>
        <w:t>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data and 5% for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"&lt;sup&gt;59&lt;/sup&gt;"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personal haploid genome.</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"&lt;sup&gt;60&lt;/sup&gt;"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"&lt;sup&gt;61&lt;/sup&gt;" }, "properties" : { "noteIndex" : 0 }, "schema" : "https://github.com/citation-style-language/schema/raw/master/csl-citation.json" }</w:instrText>
      </w:r>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"&lt;sup&gt;62&lt;/sup&gt;"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63</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"&lt;sup&gt;63&lt;/sup&gt;"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64</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 xml:space="preserve">) </w:t>
      </w:r>
      <w:r w:rsidR="005659EE">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"&lt;sup&gt;67&lt;/sup&gt;", "plainTextFormattedCitation" : "67", "previouslyFormattedCitation" : "&lt;sup&gt;66&lt;/sup&gt;" }, "properties" : { "noteIndex" : 0 }, "schema" : "https://github.com/citation-style-language/schema/raw/master/csl-citation.json" }</w:instrText>
      </w:r>
      <w:r w:rsidR="005659EE">
        <w:rPr>
          <w:rFonts w:ascii="Times New Roman" w:hAnsi="Times New Roman" w:cs="Times New Roman"/>
          <w:sz w:val="24"/>
          <w:szCs w:val="24"/>
        </w:rPr>
        <w:fldChar w:fldCharType="end"/>
      </w:r>
      <w:r w:rsidR="0059393F">
        <w:rPr>
          <w:rFonts w:ascii="Times New Roman" w:hAnsi="Times New Roman" w:cs="Times New Roman"/>
          <w:sz w:val="24"/>
          <w:szCs w:val="24"/>
        </w:rPr>
        <w:t>&lt;sup&gt;67&lt;/sup&gt;</w:t>
      </w:r>
      <w:r w:rsidR="000C3D88">
        <w:rPr>
          <w:rFonts w:ascii="Times New Roman" w:hAnsi="Times New Roman" w:cs="Times New Roman"/>
          <w:sz w:val="24"/>
          <w:szCs w:val="24"/>
        </w:rPr>
        <w:t>&lt;sup&gt;66&lt;/sup&gt;</w:t>
      </w:r>
      <w:r w:rsidR="00C168B2">
        <w:rPr>
          <w:rFonts w:ascii="Times New Roman" w:hAnsi="Times New Roman" w:cs="Times New Roman"/>
          <w:sz w:val="24"/>
          <w:szCs w:val="24"/>
        </w:rPr>
        <w:t>&lt;sup&gt;65&lt;/sup&gt;</w:t>
      </w:r>
      <w:r w:rsidR="00F171F7">
        <w:rPr>
          <w:rFonts w:ascii="Times New Roman" w:hAnsi="Times New Roman" w:cs="Times New Roman"/>
          <w:sz w:val="24"/>
          <w:szCs w:val="24"/>
        </w:rPr>
        <w:t>&lt;sup&gt;65&lt;/sup&gt; ([CSL STYLE ERROR: reference with no printed form.])</w:t>
      </w:r>
      <w:r w:rsidR="00D31C2A">
        <w:rPr>
          <w:rFonts w:ascii="Times New Roman" w:hAnsi="Times New Roman" w:cs="Times New Roman"/>
          <w:sz w:val="24"/>
          <w:szCs w:val="24"/>
        </w:rPr>
        <w:t xml:space="preserve">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"&lt;sup&gt;68&lt;/sup&gt;", "plainTextFormattedCitation" : "68", "previouslyFormattedCitation" : "&lt;sup&gt;67&lt;/sup&gt;"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"&lt;sup&gt;68,69&lt;/sup&gt;"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"&lt;sup&gt;72&lt;/sup&gt;" }, "properties" : { "noteIndex" : 0 }, "schema" : "https://github.com/citation-style-language/schema/raw/master/csl-citation.json" }</w:instrText>
      </w:r>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Enrichment analyses were performed in two ways: ‘collapsed’ </w:t>
      </w:r>
      <w:r w:rsidRPr="00F32397">
        <w:rPr>
          <w:rFonts w:ascii="Times New Roman" w:hAnsi="Times New Roman" w:cs="Times New Roman"/>
          <w:sz w:val="24"/>
          <w:szCs w:val="24"/>
        </w:rPr>
        <w:t>and ‘expanded’ (Figure 4b).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rsidR="00CF2042" w:rsidRDefault="00CF2042"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define 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detectable statistically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AE5EB0">
        <w:rPr>
          <w:rFonts w:ascii="Times New Roman" w:hAnsi="Times New Roman" w:cs="Times New Roman"/>
          <w:sz w:val="24"/>
          <w:szCs w:val="24"/>
        </w:rPr>
        <w:t>, including both allele-specific and non-allele-specific SNVs. This is an additional criterion imposed</w:t>
      </w:r>
      <w:r w:rsidR="00165BDC" w:rsidRPr="00F32397">
        <w:rPr>
          <w:rFonts w:ascii="Times New Roman" w:hAnsi="Times New Roman" w:cs="Times New Roman"/>
          <w:sz w:val="24"/>
          <w:szCs w:val="24"/>
        </w:rPr>
        <w:t xml:space="preserve"> on top of the minimum threshold of 6 reads</w:t>
      </w:r>
      <w:r>
        <w:rPr>
          <w:rFonts w:ascii="Times New Roman" w:hAnsi="Times New Roman" w:cs="Times New Roman"/>
          <w:sz w:val="24"/>
          <w:szCs w:val="24"/>
        </w:rPr>
        <w:t>. 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Given a fixed FDR cutoff, for a larger dataset, the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sidRPr="00F32397">
        <w:rPr>
          <w:rFonts w:ascii="Times New Roman" w:hAnsi="Times New Roman" w:cs="Times New Roman"/>
          <w:sz w:val="24"/>
          <w:szCs w:val="24"/>
        </w:rPr>
        <w:t xml:space="preserve">, i.e. </w:t>
      </w:r>
      <w:r w:rsidR="0005271D" w:rsidRPr="00F32397">
        <w:rPr>
          <w:rFonts w:ascii="Times New Roman" w:hAnsi="Times New Roman" w:cs="Times New Roman"/>
          <w:sz w:val="24"/>
          <w:szCs w:val="24"/>
        </w:rPr>
        <w:t>allelic ratio is 0 or 1</w:t>
      </w:r>
      <w:r w:rsidR="00A84974" w:rsidRPr="00F32397">
        <w:rPr>
          <w:rFonts w:ascii="Times New Roman" w:hAnsi="Times New Roman" w:cs="Times New Roman"/>
          <w:sz w:val="24"/>
          <w:szCs w:val="24"/>
        </w:rPr>
        <w:t xml:space="preserve">), this minimum N can be obtained from a table of expected two-tailed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probability density function, such that accessible SNVs are all SNVs with number of reads, n = max(6,N).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 </w:t>
      </w:r>
      <w:r w:rsidR="00A84974" w:rsidRPr="00F32397">
        <w:rPr>
          <w:rFonts w:ascii="Times New Roman" w:hAnsi="Times New Roman" w:cs="Times New Roman"/>
          <w:sz w:val="24"/>
          <w:szCs w:val="24"/>
        </w:rPr>
        <w:t xml:space="preserve">P-values are </w:t>
      </w:r>
      <w:proofErr w:type="spellStart"/>
      <w:r w:rsidR="00A84974" w:rsidRPr="00F32397">
        <w:rPr>
          <w:rFonts w:ascii="Times New Roman" w:hAnsi="Times New Roman" w:cs="Times New Roman"/>
          <w:sz w:val="24"/>
          <w:szCs w:val="24"/>
        </w:rPr>
        <w:t>Bonferroni</w:t>
      </w:r>
      <w:proofErr w:type="spellEnd"/>
      <w:r w:rsidR="00A84974" w:rsidRPr="00F32397">
        <w:rPr>
          <w:rFonts w:ascii="Times New Roman" w:hAnsi="Times New Roman" w:cs="Times New Roman"/>
          <w:sz w:val="24"/>
          <w:szCs w:val="24"/>
        </w:rPr>
        <w:t xml:space="preserve">-corrected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"&lt;sup&gt;73&lt;/sup&gt;"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w:t>
      </w:r>
      <w:r w:rsidR="00380F2E">
        <w:rPr>
          <w:rFonts w:ascii="Times New Roman" w:hAnsi="Times New Roman" w:cs="Times New Roman"/>
          <w:sz w:val="24"/>
          <w:szCs w:val="24"/>
        </w:rPr>
        <w:lastRenderedPageBreak/>
        <w:t xml:space="preserve">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"&lt;sup&gt;74&lt;/sup&gt;"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C974CA" w:rsidRPr="0023377A" w:rsidRDefault="0023377A"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Pr="00A81880"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Pr>
          <w:rFonts w:ascii="Times New Roman" w:hAnsi="Times New Roman" w:cs="Times New Roman"/>
          <w:sz w:val="24"/>
          <w:szCs w:val="24"/>
        </w:rPr>
        <w:t xml:space="preserve">We also would like to thank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Timur Galeev for manuscript discussion.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59393F" w:rsidRPr="0059393F" w:rsidRDefault="0023377A">
      <w:pPr>
        <w:pStyle w:val="NormalWeb"/>
        <w:ind w:left="640" w:hanging="640"/>
        <w:divId w:val="666127832"/>
        <w:rPr>
          <w:noProof/>
        </w:rPr>
      </w:pPr>
      <w:r>
        <w:rPr>
          <w:b/>
          <w:u w:val="single"/>
        </w:rPr>
        <w:fldChar w:fldCharType="begin" w:fldLock="1"/>
      </w:r>
      <w:r>
        <w:rPr>
          <w:b/>
          <w:u w:val="single"/>
        </w:rPr>
        <w:instrText xml:space="preserve">ADDIN Mendeley Bibliography CSL_BIBLIOGRAPHY </w:instrText>
      </w:r>
      <w:r>
        <w:rPr>
          <w:b/>
          <w:u w:val="single"/>
        </w:rPr>
        <w:fldChar w:fldCharType="separate"/>
      </w:r>
      <w:r w:rsidR="0059393F" w:rsidRPr="0059393F">
        <w:rPr>
          <w:noProof/>
        </w:rPr>
        <w:t>1.</w:t>
      </w:r>
      <w:r w:rsidR="0059393F" w:rsidRPr="0059393F">
        <w:rPr>
          <w:noProof/>
        </w:rPr>
        <w:tab/>
        <w:t xml:space="preserve">Wheeler, D. A. </w:t>
      </w:r>
      <w:r w:rsidR="0059393F" w:rsidRPr="0059393F">
        <w:rPr>
          <w:i/>
          <w:iCs/>
          <w:noProof/>
        </w:rPr>
        <w:t>et al.</w:t>
      </w:r>
      <w:r w:rsidR="0059393F" w:rsidRPr="0059393F">
        <w:rPr>
          <w:noProof/>
        </w:rPr>
        <w:t xml:space="preserve"> The complete genome of an individual by massively parallel DNA sequencing. </w:t>
      </w:r>
      <w:r w:rsidR="0059393F" w:rsidRPr="0059393F">
        <w:rPr>
          <w:i/>
          <w:iCs/>
          <w:noProof/>
        </w:rPr>
        <w:t>Nature</w:t>
      </w:r>
      <w:r w:rsidR="0059393F" w:rsidRPr="0059393F">
        <w:rPr>
          <w:noProof/>
        </w:rPr>
        <w:t xml:space="preserve"> </w:t>
      </w:r>
      <w:r w:rsidR="0059393F" w:rsidRPr="0059393F">
        <w:rPr>
          <w:b/>
          <w:bCs/>
          <w:noProof/>
        </w:rPr>
        <w:t>452,</w:t>
      </w:r>
      <w:r w:rsidR="0059393F" w:rsidRPr="0059393F">
        <w:rPr>
          <w:noProof/>
        </w:rPr>
        <w:t xml:space="preserve"> 872–6 (2008).</w:t>
      </w:r>
    </w:p>
    <w:p w:rsidR="0059393F" w:rsidRPr="0059393F" w:rsidRDefault="0059393F">
      <w:pPr>
        <w:pStyle w:val="NormalWeb"/>
        <w:ind w:left="640" w:hanging="640"/>
        <w:divId w:val="666127832"/>
        <w:rPr>
          <w:noProof/>
        </w:rPr>
      </w:pPr>
      <w:r w:rsidRPr="0059393F">
        <w:rPr>
          <w:noProof/>
        </w:rPr>
        <w:t>2.</w:t>
      </w:r>
      <w:r w:rsidRPr="0059393F">
        <w:rPr>
          <w:noProof/>
        </w:rPr>
        <w:tab/>
        <w:t xml:space="preserve">Lupski, J. R. </w:t>
      </w:r>
      <w:r w:rsidRPr="0059393F">
        <w:rPr>
          <w:i/>
          <w:iCs/>
          <w:noProof/>
        </w:rPr>
        <w:t>et al.</w:t>
      </w:r>
      <w:r w:rsidRPr="0059393F">
        <w:rPr>
          <w:noProof/>
        </w:rPr>
        <w:t xml:space="preserve"> Whole-genome sequencing in a patient with Charcot-Marie-Tooth neuropathy. </w:t>
      </w:r>
      <w:r w:rsidRPr="0059393F">
        <w:rPr>
          <w:i/>
          <w:iCs/>
          <w:noProof/>
        </w:rPr>
        <w:t>N. Engl. J. Med.</w:t>
      </w:r>
      <w:r w:rsidRPr="0059393F">
        <w:rPr>
          <w:noProof/>
        </w:rPr>
        <w:t xml:space="preserve"> </w:t>
      </w:r>
      <w:r w:rsidRPr="0059393F">
        <w:rPr>
          <w:b/>
          <w:bCs/>
          <w:noProof/>
        </w:rPr>
        <w:t>362,</w:t>
      </w:r>
      <w:r w:rsidRPr="0059393F">
        <w:rPr>
          <w:noProof/>
        </w:rPr>
        <w:t xml:space="preserve"> 1181–91 (2010).</w:t>
      </w:r>
    </w:p>
    <w:p w:rsidR="0059393F" w:rsidRPr="0059393F" w:rsidRDefault="0059393F">
      <w:pPr>
        <w:pStyle w:val="NormalWeb"/>
        <w:ind w:left="640" w:hanging="640"/>
        <w:divId w:val="666127832"/>
        <w:rPr>
          <w:noProof/>
        </w:rPr>
      </w:pPr>
      <w:r w:rsidRPr="0059393F">
        <w:rPr>
          <w:noProof/>
        </w:rPr>
        <w:t>3.</w:t>
      </w:r>
      <w:r w:rsidRPr="0059393F">
        <w:rPr>
          <w:noProof/>
        </w:rPr>
        <w:tab/>
        <w:t xml:space="preserve">Levy, S. </w:t>
      </w:r>
      <w:r w:rsidRPr="0059393F">
        <w:rPr>
          <w:i/>
          <w:iCs/>
          <w:noProof/>
        </w:rPr>
        <w:t>et al.</w:t>
      </w:r>
      <w:r w:rsidRPr="0059393F">
        <w:rPr>
          <w:noProof/>
        </w:rPr>
        <w:t xml:space="preserve"> The diploid genome sequence of an individual human. </w:t>
      </w:r>
      <w:r w:rsidRPr="0059393F">
        <w:rPr>
          <w:i/>
          <w:iCs/>
          <w:noProof/>
        </w:rPr>
        <w:t>PLoS Biol.</w:t>
      </w:r>
      <w:r w:rsidRPr="0059393F">
        <w:rPr>
          <w:noProof/>
        </w:rPr>
        <w:t xml:space="preserve"> </w:t>
      </w:r>
      <w:r w:rsidRPr="0059393F">
        <w:rPr>
          <w:b/>
          <w:bCs/>
          <w:noProof/>
        </w:rPr>
        <w:t>5,</w:t>
      </w:r>
      <w:r w:rsidRPr="0059393F">
        <w:rPr>
          <w:noProof/>
        </w:rPr>
        <w:t xml:space="preserve"> e254 (2007).</w:t>
      </w:r>
    </w:p>
    <w:p w:rsidR="0059393F" w:rsidRPr="0059393F" w:rsidRDefault="0059393F">
      <w:pPr>
        <w:pStyle w:val="NormalWeb"/>
        <w:ind w:left="640" w:hanging="640"/>
        <w:divId w:val="666127832"/>
        <w:rPr>
          <w:noProof/>
        </w:rPr>
      </w:pPr>
      <w:r w:rsidRPr="0059393F">
        <w:rPr>
          <w:noProof/>
        </w:rPr>
        <w:t>4.</w:t>
      </w:r>
      <w:r w:rsidRPr="0059393F">
        <w:rPr>
          <w:noProof/>
        </w:rPr>
        <w:tab/>
        <w:t xml:space="preserve">Abecasis, G. R. </w:t>
      </w:r>
      <w:r w:rsidRPr="0059393F">
        <w:rPr>
          <w:i/>
          <w:iCs/>
          <w:noProof/>
        </w:rPr>
        <w:t>et al.</w:t>
      </w:r>
      <w:r w:rsidRPr="0059393F">
        <w:rPr>
          <w:noProof/>
        </w:rPr>
        <w:t xml:space="preserve"> An integrated map of genetic variation from 1,092 human genomes. </w:t>
      </w:r>
      <w:r w:rsidRPr="0059393F">
        <w:rPr>
          <w:i/>
          <w:iCs/>
          <w:noProof/>
        </w:rPr>
        <w:t>Nature</w:t>
      </w:r>
      <w:r w:rsidRPr="0059393F">
        <w:rPr>
          <w:noProof/>
        </w:rPr>
        <w:t xml:space="preserve"> </w:t>
      </w:r>
      <w:r w:rsidRPr="0059393F">
        <w:rPr>
          <w:b/>
          <w:bCs/>
          <w:noProof/>
        </w:rPr>
        <w:t>491,</w:t>
      </w:r>
      <w:r w:rsidRPr="0059393F">
        <w:rPr>
          <w:noProof/>
        </w:rPr>
        <w:t xml:space="preserve"> 56–65 (2012).</w:t>
      </w:r>
    </w:p>
    <w:p w:rsidR="0059393F" w:rsidRPr="0059393F" w:rsidRDefault="0059393F">
      <w:pPr>
        <w:pStyle w:val="NormalWeb"/>
        <w:ind w:left="640" w:hanging="640"/>
        <w:divId w:val="666127832"/>
        <w:rPr>
          <w:noProof/>
        </w:rPr>
      </w:pPr>
      <w:r w:rsidRPr="0059393F">
        <w:rPr>
          <w:noProof/>
        </w:rPr>
        <w:t>5.</w:t>
      </w:r>
      <w:r w:rsidRPr="0059393F">
        <w:rPr>
          <w:noProof/>
        </w:rPr>
        <w:tab/>
        <w:t xml:space="preserve">Muddyman, D., Smee, C., Griffin, H. &amp; Kaye, J. Implementing a successful data-management framework: the UK10K managed access model. </w:t>
      </w:r>
      <w:r w:rsidRPr="0059393F">
        <w:rPr>
          <w:i/>
          <w:iCs/>
          <w:noProof/>
        </w:rPr>
        <w:t>Genome Med.</w:t>
      </w:r>
      <w:r w:rsidRPr="0059393F">
        <w:rPr>
          <w:noProof/>
        </w:rPr>
        <w:t xml:space="preserve"> </w:t>
      </w:r>
      <w:r w:rsidRPr="0059393F">
        <w:rPr>
          <w:b/>
          <w:bCs/>
          <w:noProof/>
        </w:rPr>
        <w:t>5,</w:t>
      </w:r>
      <w:r w:rsidRPr="0059393F">
        <w:rPr>
          <w:noProof/>
        </w:rPr>
        <w:t xml:space="preserve"> 100 (2013).</w:t>
      </w:r>
    </w:p>
    <w:p w:rsidR="0059393F" w:rsidRPr="0059393F" w:rsidRDefault="0059393F">
      <w:pPr>
        <w:pStyle w:val="NormalWeb"/>
        <w:ind w:left="640" w:hanging="640"/>
        <w:divId w:val="666127832"/>
        <w:rPr>
          <w:noProof/>
        </w:rPr>
      </w:pPr>
      <w:r w:rsidRPr="0059393F">
        <w:rPr>
          <w:noProof/>
        </w:rPr>
        <w:t>6.</w:t>
      </w:r>
      <w:r w:rsidRPr="0059393F">
        <w:rPr>
          <w:noProof/>
        </w:rPr>
        <w:tab/>
        <w:t xml:space="preserve">Church, G. M. The personal genome project. </w:t>
      </w:r>
      <w:r w:rsidRPr="0059393F">
        <w:rPr>
          <w:i/>
          <w:iCs/>
          <w:noProof/>
        </w:rPr>
        <w:t>Mol. Syst. Biol.</w:t>
      </w:r>
      <w:r w:rsidRPr="0059393F">
        <w:rPr>
          <w:noProof/>
        </w:rPr>
        <w:t xml:space="preserve"> </w:t>
      </w:r>
      <w:r w:rsidRPr="0059393F">
        <w:rPr>
          <w:b/>
          <w:bCs/>
          <w:noProof/>
        </w:rPr>
        <w:t>1,</w:t>
      </w:r>
      <w:r w:rsidRPr="0059393F">
        <w:rPr>
          <w:noProof/>
        </w:rPr>
        <w:t xml:space="preserve"> 2005.0030 (2005).</w:t>
      </w:r>
    </w:p>
    <w:p w:rsidR="0059393F" w:rsidRPr="0059393F" w:rsidRDefault="0059393F">
      <w:pPr>
        <w:pStyle w:val="NormalWeb"/>
        <w:ind w:left="640" w:hanging="640"/>
        <w:divId w:val="666127832"/>
        <w:rPr>
          <w:noProof/>
        </w:rPr>
      </w:pPr>
      <w:r w:rsidRPr="0059393F">
        <w:rPr>
          <w:noProof/>
        </w:rPr>
        <w:t>7.</w:t>
      </w:r>
      <w:r w:rsidRPr="0059393F">
        <w:rPr>
          <w:noProof/>
        </w:rPr>
        <w:tab/>
        <w:t xml:space="preserve">Pickrell, J. K. </w:t>
      </w:r>
      <w:r w:rsidRPr="0059393F">
        <w:rPr>
          <w:i/>
          <w:iCs/>
          <w:noProof/>
        </w:rPr>
        <w:t>et al.</w:t>
      </w:r>
      <w:r w:rsidRPr="0059393F">
        <w:rPr>
          <w:noProof/>
        </w:rPr>
        <w:t xml:space="preserve"> Understanding mechanisms underlying human gene expression variation with RNA sequencing. </w:t>
      </w:r>
      <w:r w:rsidRPr="0059393F">
        <w:rPr>
          <w:i/>
          <w:iCs/>
          <w:noProof/>
        </w:rPr>
        <w:t>Nature</w:t>
      </w:r>
      <w:r w:rsidRPr="0059393F">
        <w:rPr>
          <w:noProof/>
        </w:rPr>
        <w:t xml:space="preserve"> </w:t>
      </w:r>
      <w:r w:rsidRPr="0059393F">
        <w:rPr>
          <w:b/>
          <w:bCs/>
          <w:noProof/>
        </w:rPr>
        <w:t>464,</w:t>
      </w:r>
      <w:r w:rsidRPr="0059393F">
        <w:rPr>
          <w:noProof/>
        </w:rPr>
        <w:t xml:space="preserve"> 768–72 (2010).</w:t>
      </w:r>
    </w:p>
    <w:p w:rsidR="0059393F" w:rsidRPr="0059393F" w:rsidRDefault="0059393F">
      <w:pPr>
        <w:pStyle w:val="NormalWeb"/>
        <w:ind w:left="640" w:hanging="640"/>
        <w:divId w:val="666127832"/>
        <w:rPr>
          <w:noProof/>
        </w:rPr>
      </w:pPr>
      <w:r w:rsidRPr="0059393F">
        <w:rPr>
          <w:noProof/>
        </w:rPr>
        <w:t>8.</w:t>
      </w:r>
      <w:r w:rsidRPr="0059393F">
        <w:rPr>
          <w:noProof/>
        </w:rPr>
        <w:tab/>
        <w:t xml:space="preserve">Majewski, J. &amp; Pastinen, T. The study of eQTL variations by RNA-seq: from SNPs to phenotypes. </w:t>
      </w:r>
      <w:r w:rsidRPr="0059393F">
        <w:rPr>
          <w:i/>
          <w:iCs/>
          <w:noProof/>
        </w:rPr>
        <w:t>Trends Genet.</w:t>
      </w:r>
      <w:r w:rsidRPr="0059393F">
        <w:rPr>
          <w:noProof/>
        </w:rPr>
        <w:t xml:space="preserve"> </w:t>
      </w:r>
      <w:r w:rsidRPr="0059393F">
        <w:rPr>
          <w:b/>
          <w:bCs/>
          <w:noProof/>
        </w:rPr>
        <w:t>27,</w:t>
      </w:r>
      <w:r w:rsidRPr="0059393F">
        <w:rPr>
          <w:noProof/>
        </w:rPr>
        <w:t xml:space="preserve"> 72–9 (2011).</w:t>
      </w:r>
    </w:p>
    <w:p w:rsidR="0059393F" w:rsidRPr="0059393F" w:rsidRDefault="0059393F">
      <w:pPr>
        <w:pStyle w:val="NormalWeb"/>
        <w:ind w:left="640" w:hanging="640"/>
        <w:divId w:val="666127832"/>
        <w:rPr>
          <w:noProof/>
        </w:rPr>
      </w:pPr>
      <w:r w:rsidRPr="0059393F">
        <w:rPr>
          <w:noProof/>
        </w:rPr>
        <w:lastRenderedPageBreak/>
        <w:t>9.</w:t>
      </w:r>
      <w:r w:rsidRPr="0059393F">
        <w:rPr>
          <w:noProof/>
        </w:rPr>
        <w:tab/>
        <w:t xml:space="preserve">Montgomery, S. B., Lappalainen, T., Gutierrez-Arcelus, M. &amp; Dermitzakis, E. T. Rare and common regulatory variation in population-scale sequenced human genomes. </w:t>
      </w:r>
      <w:r w:rsidRPr="0059393F">
        <w:rPr>
          <w:i/>
          <w:iCs/>
          <w:noProof/>
        </w:rPr>
        <w:t>PLoS Genet.</w:t>
      </w:r>
      <w:r w:rsidRPr="0059393F">
        <w:rPr>
          <w:noProof/>
        </w:rPr>
        <w:t xml:space="preserve"> </w:t>
      </w:r>
      <w:r w:rsidRPr="0059393F">
        <w:rPr>
          <w:b/>
          <w:bCs/>
          <w:noProof/>
        </w:rPr>
        <w:t>7,</w:t>
      </w:r>
      <w:r w:rsidRPr="0059393F">
        <w:rPr>
          <w:noProof/>
        </w:rPr>
        <w:t xml:space="preserve"> e1002144 (2011).</w:t>
      </w:r>
    </w:p>
    <w:p w:rsidR="0059393F" w:rsidRPr="0059393F" w:rsidRDefault="0059393F">
      <w:pPr>
        <w:pStyle w:val="NormalWeb"/>
        <w:ind w:left="640" w:hanging="640"/>
        <w:divId w:val="666127832"/>
        <w:rPr>
          <w:noProof/>
        </w:rPr>
      </w:pPr>
      <w:r w:rsidRPr="0059393F">
        <w:rPr>
          <w:noProof/>
        </w:rPr>
        <w:t>10.</w:t>
      </w:r>
      <w:r w:rsidRPr="0059393F">
        <w:rPr>
          <w:noProof/>
        </w:rPr>
        <w:tab/>
        <w:t xml:space="preserve">Djebali, S. </w:t>
      </w:r>
      <w:r w:rsidRPr="0059393F">
        <w:rPr>
          <w:i/>
          <w:iCs/>
          <w:noProof/>
        </w:rPr>
        <w:t>et al.</w:t>
      </w:r>
      <w:r w:rsidRPr="0059393F">
        <w:rPr>
          <w:noProof/>
        </w:rPr>
        <w:t xml:space="preserve"> Landscape of transcription in human cells. </w:t>
      </w:r>
      <w:r w:rsidRPr="0059393F">
        <w:rPr>
          <w:i/>
          <w:iCs/>
          <w:noProof/>
        </w:rPr>
        <w:t>Nature</w:t>
      </w:r>
      <w:r w:rsidRPr="0059393F">
        <w:rPr>
          <w:noProof/>
        </w:rPr>
        <w:t xml:space="preserve"> </w:t>
      </w:r>
      <w:r w:rsidRPr="0059393F">
        <w:rPr>
          <w:b/>
          <w:bCs/>
          <w:noProof/>
        </w:rPr>
        <w:t>489,</w:t>
      </w:r>
      <w:r w:rsidRPr="0059393F">
        <w:rPr>
          <w:noProof/>
        </w:rPr>
        <w:t xml:space="preserve"> 101–8 (2012).</w:t>
      </w:r>
    </w:p>
    <w:p w:rsidR="0059393F" w:rsidRPr="0059393F" w:rsidRDefault="0059393F">
      <w:pPr>
        <w:pStyle w:val="NormalWeb"/>
        <w:ind w:left="640" w:hanging="640"/>
        <w:divId w:val="666127832"/>
        <w:rPr>
          <w:noProof/>
        </w:rPr>
      </w:pPr>
      <w:r w:rsidRPr="0059393F">
        <w:rPr>
          <w:noProof/>
        </w:rPr>
        <w:t>11.</w:t>
      </w:r>
      <w:r w:rsidRPr="0059393F">
        <w:rPr>
          <w:noProof/>
        </w:rPr>
        <w:tab/>
        <w:t xml:space="preserve">McDaniell, R. </w:t>
      </w:r>
      <w:r w:rsidRPr="0059393F">
        <w:rPr>
          <w:i/>
          <w:iCs/>
          <w:noProof/>
        </w:rPr>
        <w:t>et al.</w:t>
      </w:r>
      <w:r w:rsidRPr="0059393F">
        <w:rPr>
          <w:noProof/>
        </w:rPr>
        <w:t xml:space="preserve"> Heritable individual-specific and allele-specific chromatin signatures in humans. </w:t>
      </w:r>
      <w:r w:rsidRPr="0059393F">
        <w:rPr>
          <w:i/>
          <w:iCs/>
          <w:noProof/>
        </w:rPr>
        <w:t>Science</w:t>
      </w:r>
      <w:r w:rsidRPr="0059393F">
        <w:rPr>
          <w:noProof/>
        </w:rPr>
        <w:t xml:space="preserve"> </w:t>
      </w:r>
      <w:r w:rsidRPr="0059393F">
        <w:rPr>
          <w:b/>
          <w:bCs/>
          <w:noProof/>
        </w:rPr>
        <w:t>328,</w:t>
      </w:r>
      <w:r w:rsidRPr="0059393F">
        <w:rPr>
          <w:noProof/>
        </w:rPr>
        <w:t xml:space="preserve"> 235–9 (2010).</w:t>
      </w:r>
    </w:p>
    <w:p w:rsidR="0059393F" w:rsidRPr="0059393F" w:rsidRDefault="0059393F">
      <w:pPr>
        <w:pStyle w:val="NormalWeb"/>
        <w:ind w:left="640" w:hanging="640"/>
        <w:divId w:val="666127832"/>
        <w:rPr>
          <w:noProof/>
        </w:rPr>
      </w:pPr>
      <w:r w:rsidRPr="0059393F">
        <w:rPr>
          <w:noProof/>
        </w:rPr>
        <w:t>12.</w:t>
      </w:r>
      <w:r w:rsidRPr="0059393F">
        <w:rPr>
          <w:noProof/>
        </w:rPr>
        <w:tab/>
        <w:t xml:space="preserve">Yan, H., Yuan, W., Velculescu, V. E., Vogelstein, B. &amp; Kinzler, K. W. Allelic variation in human gene expression. </w:t>
      </w:r>
      <w:r w:rsidRPr="0059393F">
        <w:rPr>
          <w:i/>
          <w:iCs/>
          <w:noProof/>
        </w:rPr>
        <w:t>Science</w:t>
      </w:r>
      <w:r w:rsidRPr="0059393F">
        <w:rPr>
          <w:noProof/>
        </w:rPr>
        <w:t xml:space="preserve"> </w:t>
      </w:r>
      <w:r w:rsidRPr="0059393F">
        <w:rPr>
          <w:b/>
          <w:bCs/>
          <w:noProof/>
        </w:rPr>
        <w:t>297,</w:t>
      </w:r>
      <w:r w:rsidRPr="0059393F">
        <w:rPr>
          <w:noProof/>
        </w:rPr>
        <w:t xml:space="preserve"> 1143 (2002).</w:t>
      </w:r>
    </w:p>
    <w:p w:rsidR="0059393F" w:rsidRPr="0059393F" w:rsidRDefault="0059393F">
      <w:pPr>
        <w:pStyle w:val="NormalWeb"/>
        <w:ind w:left="640" w:hanging="640"/>
        <w:divId w:val="666127832"/>
        <w:rPr>
          <w:noProof/>
        </w:rPr>
      </w:pPr>
      <w:r w:rsidRPr="0059393F">
        <w:rPr>
          <w:noProof/>
        </w:rPr>
        <w:t>13.</w:t>
      </w:r>
      <w:r w:rsidRPr="0059393F">
        <w:rPr>
          <w:noProof/>
        </w:rPr>
        <w:tab/>
        <w:t xml:space="preserve">Ge, B. </w:t>
      </w:r>
      <w:r w:rsidRPr="0059393F">
        <w:rPr>
          <w:i/>
          <w:iCs/>
          <w:noProof/>
        </w:rPr>
        <w:t>et al.</w:t>
      </w:r>
      <w:r w:rsidRPr="0059393F">
        <w:rPr>
          <w:noProof/>
        </w:rPr>
        <w:t xml:space="preserve"> Global patterns of cis variation in human cells revealed by high-density allelic expression analysis. </w:t>
      </w:r>
      <w:r w:rsidRPr="0059393F">
        <w:rPr>
          <w:i/>
          <w:iCs/>
          <w:noProof/>
        </w:rPr>
        <w:t>Nat. Genet.</w:t>
      </w:r>
      <w:r w:rsidRPr="0059393F">
        <w:rPr>
          <w:noProof/>
        </w:rPr>
        <w:t xml:space="preserve"> </w:t>
      </w:r>
      <w:r w:rsidRPr="0059393F">
        <w:rPr>
          <w:b/>
          <w:bCs/>
          <w:noProof/>
        </w:rPr>
        <w:t>41,</w:t>
      </w:r>
      <w:r w:rsidRPr="0059393F">
        <w:rPr>
          <w:noProof/>
        </w:rPr>
        <w:t xml:space="preserve"> 1216–22 (2009).</w:t>
      </w:r>
    </w:p>
    <w:p w:rsidR="0059393F" w:rsidRPr="0059393F" w:rsidRDefault="0059393F">
      <w:pPr>
        <w:pStyle w:val="NormalWeb"/>
        <w:ind w:left="640" w:hanging="640"/>
        <w:divId w:val="666127832"/>
        <w:rPr>
          <w:noProof/>
        </w:rPr>
      </w:pPr>
      <w:r w:rsidRPr="0059393F">
        <w:rPr>
          <w:noProof/>
        </w:rPr>
        <w:t>14.</w:t>
      </w:r>
      <w:r w:rsidRPr="0059393F">
        <w:rPr>
          <w:noProof/>
        </w:rPr>
        <w:tab/>
        <w:t xml:space="preserve">Lo, H. S. </w:t>
      </w:r>
      <w:r w:rsidRPr="0059393F">
        <w:rPr>
          <w:i/>
          <w:iCs/>
          <w:noProof/>
        </w:rPr>
        <w:t>et al.</w:t>
      </w:r>
      <w:r w:rsidRPr="0059393F">
        <w:rPr>
          <w:noProof/>
        </w:rPr>
        <w:t xml:space="preserve"> Allelic variation in gene expression is common in the human genome. </w:t>
      </w:r>
      <w:r w:rsidRPr="0059393F">
        <w:rPr>
          <w:i/>
          <w:iCs/>
          <w:noProof/>
        </w:rPr>
        <w:t>Genome Res.</w:t>
      </w:r>
      <w:r w:rsidRPr="0059393F">
        <w:rPr>
          <w:noProof/>
        </w:rPr>
        <w:t xml:space="preserve"> </w:t>
      </w:r>
      <w:r w:rsidRPr="0059393F">
        <w:rPr>
          <w:b/>
          <w:bCs/>
          <w:noProof/>
        </w:rPr>
        <w:t>13,</w:t>
      </w:r>
      <w:r w:rsidRPr="0059393F">
        <w:rPr>
          <w:noProof/>
        </w:rPr>
        <w:t xml:space="preserve"> 1855–62 (2003).</w:t>
      </w:r>
    </w:p>
    <w:p w:rsidR="0059393F" w:rsidRPr="0059393F" w:rsidRDefault="0059393F">
      <w:pPr>
        <w:pStyle w:val="NormalWeb"/>
        <w:ind w:left="640" w:hanging="640"/>
        <w:divId w:val="666127832"/>
        <w:rPr>
          <w:noProof/>
        </w:rPr>
      </w:pPr>
      <w:r w:rsidRPr="0059393F">
        <w:rPr>
          <w:noProof/>
        </w:rPr>
        <w:t>15.</w:t>
      </w:r>
      <w:r w:rsidRPr="0059393F">
        <w:rPr>
          <w:noProof/>
        </w:rPr>
        <w:tab/>
        <w:t xml:space="preserve">Lappalainen, T. </w:t>
      </w:r>
      <w:r w:rsidRPr="0059393F">
        <w:rPr>
          <w:i/>
          <w:iCs/>
          <w:noProof/>
        </w:rPr>
        <w:t>et al.</w:t>
      </w:r>
      <w:r w:rsidRPr="0059393F">
        <w:rPr>
          <w:noProof/>
        </w:rPr>
        <w:t xml:space="preserve"> Transcriptome and genome sequencing uncovers functional variation in humans. </w:t>
      </w:r>
      <w:r w:rsidRPr="0059393F">
        <w:rPr>
          <w:i/>
          <w:iCs/>
          <w:noProof/>
        </w:rPr>
        <w:t>Nature</w:t>
      </w:r>
      <w:r w:rsidRPr="0059393F">
        <w:rPr>
          <w:noProof/>
        </w:rPr>
        <w:t xml:space="preserve"> </w:t>
      </w:r>
      <w:r w:rsidRPr="0059393F">
        <w:rPr>
          <w:b/>
          <w:bCs/>
          <w:noProof/>
        </w:rPr>
        <w:t>501,</w:t>
      </w:r>
      <w:r w:rsidRPr="0059393F">
        <w:rPr>
          <w:noProof/>
        </w:rPr>
        <w:t xml:space="preserve"> 506–11 (2013).</w:t>
      </w:r>
    </w:p>
    <w:p w:rsidR="0059393F" w:rsidRPr="0059393F" w:rsidRDefault="0059393F">
      <w:pPr>
        <w:pStyle w:val="NormalWeb"/>
        <w:ind w:left="640" w:hanging="640"/>
        <w:divId w:val="666127832"/>
        <w:rPr>
          <w:noProof/>
        </w:rPr>
      </w:pPr>
      <w:r w:rsidRPr="0059393F">
        <w:rPr>
          <w:noProof/>
        </w:rPr>
        <w:t>16.</w:t>
      </w:r>
      <w:r w:rsidRPr="0059393F">
        <w:rPr>
          <w:noProof/>
        </w:rPr>
        <w:tab/>
        <w:t xml:space="preserve">Rozowsky, J. </w:t>
      </w:r>
      <w:r w:rsidRPr="0059393F">
        <w:rPr>
          <w:i/>
          <w:iCs/>
          <w:noProof/>
        </w:rPr>
        <w:t>et al.</w:t>
      </w:r>
      <w:r w:rsidRPr="0059393F">
        <w:rPr>
          <w:noProof/>
        </w:rPr>
        <w:t xml:space="preserve"> AlleleSeq: analysis of allele-specific expression and binding in a network framework. </w:t>
      </w:r>
      <w:r w:rsidRPr="0059393F">
        <w:rPr>
          <w:i/>
          <w:iCs/>
          <w:noProof/>
        </w:rPr>
        <w:t>Mol. Syst. Biol.</w:t>
      </w:r>
      <w:r w:rsidRPr="0059393F">
        <w:rPr>
          <w:noProof/>
        </w:rPr>
        <w:t xml:space="preserve"> </w:t>
      </w:r>
      <w:r w:rsidRPr="0059393F">
        <w:rPr>
          <w:b/>
          <w:bCs/>
          <w:noProof/>
        </w:rPr>
        <w:t>7,</w:t>
      </w:r>
      <w:r w:rsidRPr="0059393F">
        <w:rPr>
          <w:noProof/>
        </w:rPr>
        <w:t xml:space="preserve"> 522 (2011).</w:t>
      </w:r>
    </w:p>
    <w:p w:rsidR="0059393F" w:rsidRPr="0059393F" w:rsidRDefault="0059393F">
      <w:pPr>
        <w:pStyle w:val="NormalWeb"/>
        <w:ind w:left="640" w:hanging="640"/>
        <w:divId w:val="666127832"/>
        <w:rPr>
          <w:noProof/>
        </w:rPr>
      </w:pPr>
      <w:r w:rsidRPr="0059393F">
        <w:rPr>
          <w:noProof/>
        </w:rPr>
        <w:t>17.</w:t>
      </w:r>
      <w:r w:rsidRPr="0059393F">
        <w:rPr>
          <w:noProof/>
        </w:rPr>
        <w:tab/>
        <w:t xml:space="preserve">Engström, P. G. </w:t>
      </w:r>
      <w:r w:rsidRPr="0059393F">
        <w:rPr>
          <w:i/>
          <w:iCs/>
          <w:noProof/>
        </w:rPr>
        <w:t>et al.</w:t>
      </w:r>
      <w:r w:rsidRPr="0059393F">
        <w:rPr>
          <w:noProof/>
        </w:rPr>
        <w:t xml:space="preserve"> Systematic evaluation of spliced alignment programs for RNA-seq data. </w:t>
      </w:r>
      <w:r w:rsidRPr="0059393F">
        <w:rPr>
          <w:i/>
          <w:iCs/>
          <w:noProof/>
        </w:rPr>
        <w:t>Nat. Methods</w:t>
      </w:r>
      <w:r w:rsidRPr="0059393F">
        <w:rPr>
          <w:noProof/>
        </w:rPr>
        <w:t xml:space="preserve"> </w:t>
      </w:r>
      <w:r w:rsidRPr="0059393F">
        <w:rPr>
          <w:b/>
          <w:bCs/>
          <w:noProof/>
        </w:rPr>
        <w:t>10,</w:t>
      </w:r>
      <w:r w:rsidRPr="0059393F">
        <w:rPr>
          <w:noProof/>
        </w:rPr>
        <w:t xml:space="preserve"> 1185–91 (2013).</w:t>
      </w:r>
    </w:p>
    <w:p w:rsidR="0059393F" w:rsidRPr="0059393F" w:rsidRDefault="0059393F">
      <w:pPr>
        <w:pStyle w:val="NormalWeb"/>
        <w:ind w:left="640" w:hanging="640"/>
        <w:divId w:val="666127832"/>
        <w:rPr>
          <w:noProof/>
        </w:rPr>
      </w:pPr>
      <w:r w:rsidRPr="0059393F">
        <w:rPr>
          <w:noProof/>
        </w:rPr>
        <w:t>18.</w:t>
      </w:r>
      <w:r w:rsidRPr="0059393F">
        <w:rPr>
          <w:noProof/>
        </w:rPr>
        <w:tab/>
        <w:t xml:space="preserve">Kilpinen, H. </w:t>
      </w:r>
      <w:r w:rsidRPr="0059393F">
        <w:rPr>
          <w:i/>
          <w:iCs/>
          <w:noProof/>
        </w:rPr>
        <w:t>et al.</w:t>
      </w:r>
      <w:r w:rsidRPr="0059393F">
        <w:rPr>
          <w:noProof/>
        </w:rPr>
        <w:t xml:space="preserve"> Coordinated effects of sequence variation on DNA binding, chromatin structure, and transcription. </w:t>
      </w:r>
      <w:r w:rsidRPr="0059393F">
        <w:rPr>
          <w:i/>
          <w:iCs/>
          <w:noProof/>
        </w:rPr>
        <w:t>Science</w:t>
      </w:r>
      <w:r w:rsidRPr="0059393F">
        <w:rPr>
          <w:noProof/>
        </w:rPr>
        <w:t xml:space="preserve"> </w:t>
      </w:r>
      <w:r w:rsidRPr="0059393F">
        <w:rPr>
          <w:b/>
          <w:bCs/>
          <w:noProof/>
        </w:rPr>
        <w:t>342,</w:t>
      </w:r>
      <w:r w:rsidRPr="0059393F">
        <w:rPr>
          <w:noProof/>
        </w:rPr>
        <w:t xml:space="preserve"> 744–7 (2013).</w:t>
      </w:r>
    </w:p>
    <w:p w:rsidR="0059393F" w:rsidRPr="0059393F" w:rsidRDefault="0059393F">
      <w:pPr>
        <w:pStyle w:val="NormalWeb"/>
        <w:ind w:left="640" w:hanging="640"/>
        <w:divId w:val="666127832"/>
        <w:rPr>
          <w:noProof/>
        </w:rPr>
      </w:pPr>
      <w:r w:rsidRPr="0059393F">
        <w:rPr>
          <w:noProof/>
        </w:rPr>
        <w:t>19.</w:t>
      </w:r>
      <w:r w:rsidRPr="0059393F">
        <w:rPr>
          <w:noProof/>
        </w:rPr>
        <w:tab/>
        <w:t xml:space="preserve">Kasowski, M. </w:t>
      </w:r>
      <w:r w:rsidRPr="0059393F">
        <w:rPr>
          <w:i/>
          <w:iCs/>
          <w:noProof/>
        </w:rPr>
        <w:t>et al.</w:t>
      </w:r>
      <w:r w:rsidRPr="0059393F">
        <w:rPr>
          <w:noProof/>
        </w:rPr>
        <w:t xml:space="preserve"> Extensive variation in chromatin states across humans. </w:t>
      </w:r>
      <w:r w:rsidRPr="0059393F">
        <w:rPr>
          <w:i/>
          <w:iCs/>
          <w:noProof/>
        </w:rPr>
        <w:t>Science</w:t>
      </w:r>
      <w:r w:rsidRPr="0059393F">
        <w:rPr>
          <w:noProof/>
        </w:rPr>
        <w:t xml:space="preserve"> </w:t>
      </w:r>
      <w:r w:rsidRPr="0059393F">
        <w:rPr>
          <w:b/>
          <w:bCs/>
          <w:noProof/>
        </w:rPr>
        <w:t>342,</w:t>
      </w:r>
      <w:r w:rsidRPr="0059393F">
        <w:rPr>
          <w:noProof/>
        </w:rPr>
        <w:t xml:space="preserve"> 750–2 (2013).</w:t>
      </w:r>
    </w:p>
    <w:p w:rsidR="0059393F" w:rsidRPr="0059393F" w:rsidRDefault="0059393F">
      <w:pPr>
        <w:pStyle w:val="NormalWeb"/>
        <w:ind w:left="640" w:hanging="640"/>
        <w:divId w:val="666127832"/>
        <w:rPr>
          <w:noProof/>
        </w:rPr>
      </w:pPr>
      <w:r w:rsidRPr="0059393F">
        <w:rPr>
          <w:noProof/>
        </w:rPr>
        <w:t>20.</w:t>
      </w:r>
      <w:r w:rsidRPr="0059393F">
        <w:rPr>
          <w:noProof/>
        </w:rPr>
        <w:tab/>
        <w:t xml:space="preserve">Harismendy, O. </w:t>
      </w:r>
      <w:r w:rsidRPr="0059393F">
        <w:rPr>
          <w:i/>
          <w:iCs/>
          <w:noProof/>
        </w:rPr>
        <w:t>et al.</w:t>
      </w:r>
      <w:r w:rsidRPr="0059393F">
        <w:rPr>
          <w:noProof/>
        </w:rPr>
        <w:t xml:space="preserve"> Evaluation of next generation sequencing platforms for population targeted sequencing studies. </w:t>
      </w:r>
      <w:r w:rsidRPr="0059393F">
        <w:rPr>
          <w:i/>
          <w:iCs/>
          <w:noProof/>
        </w:rPr>
        <w:t>Genome Biol.</w:t>
      </w:r>
      <w:r w:rsidRPr="0059393F">
        <w:rPr>
          <w:noProof/>
        </w:rPr>
        <w:t xml:space="preserve"> </w:t>
      </w:r>
      <w:r w:rsidRPr="0059393F">
        <w:rPr>
          <w:b/>
          <w:bCs/>
          <w:noProof/>
        </w:rPr>
        <w:t>10,</w:t>
      </w:r>
      <w:r w:rsidRPr="0059393F">
        <w:rPr>
          <w:noProof/>
        </w:rPr>
        <w:t xml:space="preserve"> R32 (2009).</w:t>
      </w:r>
    </w:p>
    <w:p w:rsidR="0059393F" w:rsidRPr="0059393F" w:rsidRDefault="0059393F">
      <w:pPr>
        <w:pStyle w:val="NormalWeb"/>
        <w:ind w:left="640" w:hanging="640"/>
        <w:divId w:val="666127832"/>
        <w:rPr>
          <w:noProof/>
        </w:rPr>
      </w:pPr>
      <w:r w:rsidRPr="0059393F">
        <w:rPr>
          <w:noProof/>
        </w:rPr>
        <w:t>21.</w:t>
      </w:r>
      <w:r w:rsidRPr="0059393F">
        <w:rPr>
          <w:noProof/>
        </w:rPr>
        <w:tab/>
        <w:t xml:space="preserve">Stevenson, K. R., Coolon, J. D. &amp; Wittkopp, P. J. Sources of bias in measures of allele-specific expression derived from RNA-sequence data aligned to a single reference genome. </w:t>
      </w:r>
      <w:r w:rsidRPr="0059393F">
        <w:rPr>
          <w:i/>
          <w:iCs/>
          <w:noProof/>
        </w:rPr>
        <w:t>BMC Genomics</w:t>
      </w:r>
      <w:r w:rsidRPr="0059393F">
        <w:rPr>
          <w:noProof/>
        </w:rPr>
        <w:t xml:space="preserve"> </w:t>
      </w:r>
      <w:r w:rsidRPr="0059393F">
        <w:rPr>
          <w:b/>
          <w:bCs/>
          <w:noProof/>
        </w:rPr>
        <w:t>14,</w:t>
      </w:r>
      <w:r w:rsidRPr="0059393F">
        <w:rPr>
          <w:noProof/>
        </w:rPr>
        <w:t xml:space="preserve"> 536 (2013).</w:t>
      </w:r>
    </w:p>
    <w:p w:rsidR="0059393F" w:rsidRPr="0059393F" w:rsidRDefault="0059393F">
      <w:pPr>
        <w:pStyle w:val="NormalWeb"/>
        <w:ind w:left="640" w:hanging="640"/>
        <w:divId w:val="666127832"/>
        <w:rPr>
          <w:noProof/>
        </w:rPr>
      </w:pPr>
      <w:r w:rsidRPr="0059393F">
        <w:rPr>
          <w:noProof/>
        </w:rPr>
        <w:t>22.</w:t>
      </w:r>
      <w:r w:rsidRPr="0059393F">
        <w:rPr>
          <w:noProof/>
        </w:rPr>
        <w:tab/>
        <w:t xml:space="preserve">Hansen, K. D., Brenner, S. E. &amp; Dudoit, S. Biases in Illumina transcriptome sequencing caused by random hexamer priming. </w:t>
      </w:r>
      <w:r w:rsidRPr="0059393F">
        <w:rPr>
          <w:i/>
          <w:iCs/>
          <w:noProof/>
        </w:rPr>
        <w:t>Nucleic Acids Res.</w:t>
      </w:r>
      <w:r w:rsidRPr="0059393F">
        <w:rPr>
          <w:noProof/>
        </w:rPr>
        <w:t xml:space="preserve"> </w:t>
      </w:r>
      <w:r w:rsidRPr="0059393F">
        <w:rPr>
          <w:b/>
          <w:bCs/>
          <w:noProof/>
        </w:rPr>
        <w:t>38,</w:t>
      </w:r>
      <w:r w:rsidRPr="0059393F">
        <w:rPr>
          <w:noProof/>
        </w:rPr>
        <w:t xml:space="preserve"> e131 (2010).</w:t>
      </w:r>
    </w:p>
    <w:p w:rsidR="0059393F" w:rsidRPr="0059393F" w:rsidRDefault="0059393F">
      <w:pPr>
        <w:pStyle w:val="NormalWeb"/>
        <w:ind w:left="640" w:hanging="640"/>
        <w:divId w:val="666127832"/>
        <w:rPr>
          <w:noProof/>
        </w:rPr>
      </w:pPr>
      <w:r w:rsidRPr="0059393F">
        <w:rPr>
          <w:noProof/>
        </w:rPr>
        <w:t>23.</w:t>
      </w:r>
      <w:r w:rsidRPr="0059393F">
        <w:rPr>
          <w:noProof/>
        </w:rPr>
        <w:tab/>
        <w:t xml:space="preserve">Degner, J. F. </w:t>
      </w:r>
      <w:r w:rsidRPr="0059393F">
        <w:rPr>
          <w:i/>
          <w:iCs/>
          <w:noProof/>
        </w:rPr>
        <w:t>et al.</w:t>
      </w:r>
      <w:r w:rsidRPr="0059393F">
        <w:rPr>
          <w:noProof/>
        </w:rPr>
        <w:t xml:space="preserve"> Effect of read-mapping biases on detecting allele-specific expression from RNA-sequencing data. </w:t>
      </w:r>
      <w:r w:rsidRPr="0059393F">
        <w:rPr>
          <w:i/>
          <w:iCs/>
          <w:noProof/>
        </w:rPr>
        <w:t>Bioinformatics</w:t>
      </w:r>
      <w:r w:rsidRPr="0059393F">
        <w:rPr>
          <w:noProof/>
        </w:rPr>
        <w:t xml:space="preserve"> </w:t>
      </w:r>
      <w:r w:rsidRPr="0059393F">
        <w:rPr>
          <w:b/>
          <w:bCs/>
          <w:noProof/>
        </w:rPr>
        <w:t>25,</w:t>
      </w:r>
      <w:r w:rsidRPr="0059393F">
        <w:rPr>
          <w:noProof/>
        </w:rPr>
        <w:t xml:space="preserve"> 3207–12 (2009).</w:t>
      </w:r>
    </w:p>
    <w:p w:rsidR="0059393F" w:rsidRPr="0059393F" w:rsidRDefault="0059393F">
      <w:pPr>
        <w:pStyle w:val="NormalWeb"/>
        <w:ind w:left="640" w:hanging="640"/>
        <w:divId w:val="666127832"/>
        <w:rPr>
          <w:noProof/>
        </w:rPr>
      </w:pPr>
      <w:r w:rsidRPr="0059393F">
        <w:rPr>
          <w:noProof/>
        </w:rPr>
        <w:lastRenderedPageBreak/>
        <w:t>24.</w:t>
      </w:r>
      <w:r w:rsidRPr="0059393F">
        <w:rPr>
          <w:noProof/>
        </w:rPr>
        <w:tab/>
        <w:t xml:space="preserve">Kent, W. J. </w:t>
      </w:r>
      <w:r w:rsidRPr="0059393F">
        <w:rPr>
          <w:i/>
          <w:iCs/>
          <w:noProof/>
        </w:rPr>
        <w:t>et al.</w:t>
      </w:r>
      <w:r w:rsidRPr="0059393F">
        <w:rPr>
          <w:noProof/>
        </w:rPr>
        <w:t xml:space="preserve"> The human genome browser at UCSC. </w:t>
      </w:r>
      <w:r w:rsidRPr="0059393F">
        <w:rPr>
          <w:i/>
          <w:iCs/>
          <w:noProof/>
        </w:rPr>
        <w:t>Genome Res.</w:t>
      </w:r>
      <w:r w:rsidRPr="0059393F">
        <w:rPr>
          <w:noProof/>
        </w:rPr>
        <w:t xml:space="preserve"> </w:t>
      </w:r>
      <w:r w:rsidRPr="0059393F">
        <w:rPr>
          <w:b/>
          <w:bCs/>
          <w:noProof/>
        </w:rPr>
        <w:t>12,</w:t>
      </w:r>
      <w:r w:rsidRPr="0059393F">
        <w:rPr>
          <w:noProof/>
        </w:rPr>
        <w:t xml:space="preserve"> 996–1006 (2002).</w:t>
      </w:r>
    </w:p>
    <w:p w:rsidR="0059393F" w:rsidRPr="0059393F" w:rsidRDefault="0059393F">
      <w:pPr>
        <w:pStyle w:val="NormalWeb"/>
        <w:ind w:left="640" w:hanging="640"/>
        <w:divId w:val="666127832"/>
        <w:rPr>
          <w:noProof/>
        </w:rPr>
      </w:pPr>
      <w:r w:rsidRPr="0059393F">
        <w:rPr>
          <w:noProof/>
        </w:rPr>
        <w:t>25.</w:t>
      </w:r>
      <w:r w:rsidRPr="0059393F">
        <w:rPr>
          <w:noProof/>
        </w:rPr>
        <w:tab/>
        <w:t xml:space="preserve">Bernstein, B. E. </w:t>
      </w:r>
      <w:r w:rsidRPr="0059393F">
        <w:rPr>
          <w:i/>
          <w:iCs/>
          <w:noProof/>
        </w:rPr>
        <w:t>et al.</w:t>
      </w:r>
      <w:r w:rsidRPr="0059393F">
        <w:rPr>
          <w:noProof/>
        </w:rPr>
        <w:t xml:space="preserve"> An integrated encyclopedia of DNA elements in the human genome. </w:t>
      </w:r>
      <w:r w:rsidRPr="0059393F">
        <w:rPr>
          <w:i/>
          <w:iCs/>
          <w:noProof/>
        </w:rPr>
        <w:t>Nature</w:t>
      </w:r>
      <w:r w:rsidRPr="0059393F">
        <w:rPr>
          <w:noProof/>
        </w:rPr>
        <w:t xml:space="preserve"> </w:t>
      </w:r>
      <w:r w:rsidRPr="0059393F">
        <w:rPr>
          <w:b/>
          <w:bCs/>
          <w:noProof/>
        </w:rPr>
        <w:t>489,</w:t>
      </w:r>
      <w:r w:rsidRPr="0059393F">
        <w:rPr>
          <w:noProof/>
        </w:rPr>
        <w:t xml:space="preserve"> 57–74 (2012).</w:t>
      </w:r>
    </w:p>
    <w:p w:rsidR="0059393F" w:rsidRPr="0059393F" w:rsidRDefault="0059393F">
      <w:pPr>
        <w:pStyle w:val="NormalWeb"/>
        <w:ind w:left="640" w:hanging="640"/>
        <w:divId w:val="666127832"/>
        <w:rPr>
          <w:noProof/>
        </w:rPr>
      </w:pPr>
      <w:r w:rsidRPr="0059393F">
        <w:rPr>
          <w:noProof/>
        </w:rPr>
        <w:t>26.</w:t>
      </w:r>
      <w:r w:rsidRPr="0059393F">
        <w:rPr>
          <w:noProof/>
        </w:rPr>
        <w:tab/>
        <w:t xml:space="preserve">Goldmit, M. &amp; Bergman, Y. Monoallelic gene expression: a repertoire of recurrent themes. </w:t>
      </w:r>
      <w:r w:rsidRPr="0059393F">
        <w:rPr>
          <w:i/>
          <w:iCs/>
          <w:noProof/>
        </w:rPr>
        <w:t>Immunol. Rev.</w:t>
      </w:r>
      <w:r w:rsidRPr="0059393F">
        <w:rPr>
          <w:noProof/>
        </w:rPr>
        <w:t xml:space="preserve"> </w:t>
      </w:r>
      <w:r w:rsidRPr="0059393F">
        <w:rPr>
          <w:b/>
          <w:bCs/>
          <w:noProof/>
        </w:rPr>
        <w:t>200,</w:t>
      </w:r>
      <w:r w:rsidRPr="0059393F">
        <w:rPr>
          <w:noProof/>
        </w:rPr>
        <w:t xml:space="preserve"> 197–214 (2004).</w:t>
      </w:r>
    </w:p>
    <w:p w:rsidR="0059393F" w:rsidRPr="0059393F" w:rsidRDefault="0059393F">
      <w:pPr>
        <w:pStyle w:val="NormalWeb"/>
        <w:ind w:left="640" w:hanging="640"/>
        <w:divId w:val="666127832"/>
        <w:rPr>
          <w:noProof/>
        </w:rPr>
      </w:pPr>
      <w:r w:rsidRPr="0059393F">
        <w:rPr>
          <w:noProof/>
        </w:rPr>
        <w:t>27.</w:t>
      </w:r>
      <w:r w:rsidRPr="0059393F">
        <w:rPr>
          <w:noProof/>
        </w:rPr>
        <w:tab/>
        <w:t xml:space="preserve">Zakharova, I. S., Shevchenko, A. I. &amp; Zakian, S. M. Monoallelic gene expression in mammals. </w:t>
      </w:r>
      <w:r w:rsidRPr="0059393F">
        <w:rPr>
          <w:i/>
          <w:iCs/>
          <w:noProof/>
        </w:rPr>
        <w:t>Chromosoma</w:t>
      </w:r>
      <w:r w:rsidRPr="0059393F">
        <w:rPr>
          <w:noProof/>
        </w:rPr>
        <w:t xml:space="preserve"> </w:t>
      </w:r>
      <w:r w:rsidRPr="0059393F">
        <w:rPr>
          <w:b/>
          <w:bCs/>
          <w:noProof/>
        </w:rPr>
        <w:t>118,</w:t>
      </w:r>
      <w:r w:rsidRPr="0059393F">
        <w:rPr>
          <w:noProof/>
        </w:rPr>
        <w:t xml:space="preserve"> 279–90 (2009).</w:t>
      </w:r>
    </w:p>
    <w:p w:rsidR="0059393F" w:rsidRPr="0059393F" w:rsidRDefault="0059393F">
      <w:pPr>
        <w:pStyle w:val="NormalWeb"/>
        <w:ind w:left="640" w:hanging="640"/>
        <w:divId w:val="666127832"/>
        <w:rPr>
          <w:noProof/>
        </w:rPr>
      </w:pPr>
      <w:r w:rsidRPr="0059393F">
        <w:rPr>
          <w:noProof/>
        </w:rPr>
        <w:t>28.</w:t>
      </w:r>
      <w:r w:rsidRPr="0059393F">
        <w:rPr>
          <w:noProof/>
        </w:rPr>
        <w:tab/>
        <w:t xml:space="preserve">Morison, I. M., Paton, C. J. &amp; Cleverley, S. D. The imprinted gene and parent-of-origin effect database. </w:t>
      </w:r>
      <w:r w:rsidRPr="0059393F">
        <w:rPr>
          <w:i/>
          <w:iCs/>
          <w:noProof/>
        </w:rPr>
        <w:t>Nucleic Acids Res.</w:t>
      </w:r>
      <w:r w:rsidRPr="0059393F">
        <w:rPr>
          <w:noProof/>
        </w:rPr>
        <w:t xml:space="preserve"> </w:t>
      </w:r>
      <w:r w:rsidRPr="0059393F">
        <w:rPr>
          <w:b/>
          <w:bCs/>
          <w:noProof/>
        </w:rPr>
        <w:t>29,</w:t>
      </w:r>
      <w:r w:rsidRPr="0059393F">
        <w:rPr>
          <w:noProof/>
        </w:rPr>
        <w:t xml:space="preserve"> 275–6 (2001).</w:t>
      </w:r>
    </w:p>
    <w:p w:rsidR="0059393F" w:rsidRPr="0059393F" w:rsidRDefault="0059393F">
      <w:pPr>
        <w:pStyle w:val="NormalWeb"/>
        <w:ind w:left="640" w:hanging="640"/>
        <w:divId w:val="666127832"/>
        <w:rPr>
          <w:noProof/>
        </w:rPr>
      </w:pPr>
      <w:r w:rsidRPr="0059393F">
        <w:rPr>
          <w:noProof/>
        </w:rPr>
        <w:t>29.</w:t>
      </w:r>
      <w:r w:rsidRPr="0059393F">
        <w:rPr>
          <w:noProof/>
        </w:rPr>
        <w:tab/>
        <w:t xml:space="preserve">Olender, T., Nativ, N. &amp; Lancet, D. HORDE: comprehensive resource for olfactory receptor genomics. </w:t>
      </w:r>
      <w:r w:rsidRPr="0059393F">
        <w:rPr>
          <w:i/>
          <w:iCs/>
          <w:noProof/>
        </w:rPr>
        <w:t>Methods Mol. Biol.</w:t>
      </w:r>
      <w:r w:rsidRPr="0059393F">
        <w:rPr>
          <w:noProof/>
        </w:rPr>
        <w:t xml:space="preserve"> </w:t>
      </w:r>
      <w:r w:rsidRPr="0059393F">
        <w:rPr>
          <w:b/>
          <w:bCs/>
          <w:noProof/>
        </w:rPr>
        <w:t>1003,</w:t>
      </w:r>
      <w:r w:rsidRPr="0059393F">
        <w:rPr>
          <w:noProof/>
        </w:rPr>
        <w:t xml:space="preserve"> 23–38 (2013).</w:t>
      </w:r>
    </w:p>
    <w:p w:rsidR="0059393F" w:rsidRPr="0059393F" w:rsidRDefault="0059393F">
      <w:pPr>
        <w:pStyle w:val="NormalWeb"/>
        <w:ind w:left="640" w:hanging="640"/>
        <w:divId w:val="666127832"/>
        <w:rPr>
          <w:noProof/>
        </w:rPr>
      </w:pPr>
      <w:r w:rsidRPr="0059393F">
        <w:rPr>
          <w:noProof/>
        </w:rPr>
        <w:t>30.</w:t>
      </w:r>
      <w:r w:rsidRPr="0059393F">
        <w:rPr>
          <w:noProof/>
        </w:rPr>
        <w:tab/>
        <w:t xml:space="preserve">Harrow, J. </w:t>
      </w:r>
      <w:r w:rsidRPr="0059393F">
        <w:rPr>
          <w:i/>
          <w:iCs/>
          <w:noProof/>
        </w:rPr>
        <w:t>et al.</w:t>
      </w:r>
      <w:r w:rsidRPr="0059393F">
        <w:rPr>
          <w:noProof/>
        </w:rPr>
        <w:t xml:space="preserve"> GENCODE: the reference human genome annotation for The ENCODE Project. </w:t>
      </w:r>
      <w:r w:rsidRPr="0059393F">
        <w:rPr>
          <w:i/>
          <w:iCs/>
          <w:noProof/>
        </w:rPr>
        <w:t>Genome Res.</w:t>
      </w:r>
      <w:r w:rsidRPr="0059393F">
        <w:rPr>
          <w:noProof/>
        </w:rPr>
        <w:t xml:space="preserve"> </w:t>
      </w:r>
      <w:r w:rsidRPr="0059393F">
        <w:rPr>
          <w:b/>
          <w:bCs/>
          <w:noProof/>
        </w:rPr>
        <w:t>22,</w:t>
      </w:r>
      <w:r w:rsidRPr="0059393F">
        <w:rPr>
          <w:noProof/>
        </w:rPr>
        <w:t xml:space="preserve"> 1760–74 (2012).</w:t>
      </w:r>
    </w:p>
    <w:p w:rsidR="0059393F" w:rsidRPr="0059393F" w:rsidRDefault="0059393F">
      <w:pPr>
        <w:pStyle w:val="NormalWeb"/>
        <w:ind w:left="640" w:hanging="640"/>
        <w:divId w:val="666127832"/>
        <w:rPr>
          <w:noProof/>
        </w:rPr>
      </w:pPr>
      <w:r w:rsidRPr="0059393F">
        <w:rPr>
          <w:noProof/>
        </w:rPr>
        <w:t>31.</w:t>
      </w:r>
      <w:r w:rsidRPr="0059393F">
        <w:rPr>
          <w:noProof/>
        </w:rPr>
        <w:tab/>
        <w:t xml:space="preserve">Horsthemke, B. &amp; Buiting, K. Imprinting defects on human chromosome 15. </w:t>
      </w:r>
      <w:r w:rsidRPr="0059393F">
        <w:rPr>
          <w:i/>
          <w:iCs/>
          <w:noProof/>
        </w:rPr>
        <w:t>Cytogenet. Genome Res.</w:t>
      </w:r>
      <w:r w:rsidRPr="0059393F">
        <w:rPr>
          <w:noProof/>
        </w:rPr>
        <w:t xml:space="preserve"> </w:t>
      </w:r>
      <w:r w:rsidRPr="0059393F">
        <w:rPr>
          <w:b/>
          <w:bCs/>
          <w:noProof/>
        </w:rPr>
        <w:t>113,</w:t>
      </w:r>
      <w:r w:rsidRPr="0059393F">
        <w:rPr>
          <w:noProof/>
        </w:rPr>
        <w:t xml:space="preserve"> 292–9 (2006).</w:t>
      </w:r>
    </w:p>
    <w:p w:rsidR="0059393F" w:rsidRPr="0059393F" w:rsidRDefault="0059393F">
      <w:pPr>
        <w:pStyle w:val="NormalWeb"/>
        <w:ind w:left="640" w:hanging="640"/>
        <w:divId w:val="666127832"/>
        <w:rPr>
          <w:noProof/>
        </w:rPr>
      </w:pPr>
      <w:r w:rsidRPr="0059393F">
        <w:rPr>
          <w:noProof/>
        </w:rPr>
        <w:t>32.</w:t>
      </w:r>
      <w:r w:rsidRPr="0059393F">
        <w:rPr>
          <w:noProof/>
        </w:rPr>
        <w:tab/>
        <w:t xml:space="preserve">Pollard, K. S. </w:t>
      </w:r>
      <w:r w:rsidRPr="0059393F">
        <w:rPr>
          <w:i/>
          <w:iCs/>
          <w:noProof/>
        </w:rPr>
        <w:t>et al.</w:t>
      </w:r>
      <w:r w:rsidRPr="0059393F">
        <w:rPr>
          <w:noProof/>
        </w:rPr>
        <w:t xml:space="preserve"> A genome-wide approach to identifying novel-imprinted genes. </w:t>
      </w:r>
      <w:r w:rsidRPr="0059393F">
        <w:rPr>
          <w:i/>
          <w:iCs/>
          <w:noProof/>
        </w:rPr>
        <w:t>Hum. Genet.</w:t>
      </w:r>
      <w:r w:rsidRPr="0059393F">
        <w:rPr>
          <w:noProof/>
        </w:rPr>
        <w:t xml:space="preserve"> </w:t>
      </w:r>
      <w:r w:rsidRPr="0059393F">
        <w:rPr>
          <w:b/>
          <w:bCs/>
          <w:noProof/>
        </w:rPr>
        <w:t>122,</w:t>
      </w:r>
      <w:r w:rsidRPr="0059393F">
        <w:rPr>
          <w:noProof/>
        </w:rPr>
        <w:t xml:space="preserve"> 625–634 (2008).</w:t>
      </w:r>
    </w:p>
    <w:p w:rsidR="0059393F" w:rsidRPr="0059393F" w:rsidRDefault="0059393F">
      <w:pPr>
        <w:pStyle w:val="NormalWeb"/>
        <w:ind w:left="640" w:hanging="640"/>
        <w:divId w:val="666127832"/>
        <w:rPr>
          <w:noProof/>
        </w:rPr>
      </w:pPr>
      <w:r w:rsidRPr="0059393F">
        <w:rPr>
          <w:noProof/>
        </w:rPr>
        <w:t>33.</w:t>
      </w:r>
      <w:r w:rsidRPr="0059393F">
        <w:rPr>
          <w:noProof/>
        </w:rPr>
        <w:tab/>
        <w:t xml:space="preserve">Khurana, E. </w:t>
      </w:r>
      <w:r w:rsidRPr="0059393F">
        <w:rPr>
          <w:i/>
          <w:iCs/>
          <w:noProof/>
        </w:rPr>
        <w:t>et al.</w:t>
      </w:r>
      <w:r w:rsidRPr="0059393F">
        <w:rPr>
          <w:noProof/>
        </w:rPr>
        <w:t xml:space="preserve"> Integrative annotation of variants from 1092 humans: application to cancer genomics. </w:t>
      </w:r>
      <w:r w:rsidRPr="0059393F">
        <w:rPr>
          <w:i/>
          <w:iCs/>
          <w:noProof/>
        </w:rPr>
        <w:t>Science</w:t>
      </w:r>
      <w:r w:rsidRPr="0059393F">
        <w:rPr>
          <w:noProof/>
        </w:rPr>
        <w:t xml:space="preserve"> </w:t>
      </w:r>
      <w:r w:rsidRPr="0059393F">
        <w:rPr>
          <w:b/>
          <w:bCs/>
          <w:noProof/>
        </w:rPr>
        <w:t>342,</w:t>
      </w:r>
      <w:r w:rsidRPr="0059393F">
        <w:rPr>
          <w:noProof/>
        </w:rPr>
        <w:t xml:space="preserve"> 1235587 (2013).</w:t>
      </w:r>
    </w:p>
    <w:p w:rsidR="0059393F" w:rsidRPr="0059393F" w:rsidRDefault="0059393F">
      <w:pPr>
        <w:pStyle w:val="NormalWeb"/>
        <w:ind w:left="640" w:hanging="640"/>
        <w:divId w:val="666127832"/>
        <w:rPr>
          <w:noProof/>
        </w:rPr>
      </w:pPr>
      <w:r w:rsidRPr="0059393F">
        <w:rPr>
          <w:noProof/>
        </w:rPr>
        <w:t>34.</w:t>
      </w:r>
      <w:r w:rsidRPr="0059393F">
        <w:rPr>
          <w:noProof/>
        </w:rPr>
        <w:tab/>
        <w:t xml:space="preserve">Anders, S. &amp; Huber, W. Differential expression analysis for sequence count data. </w:t>
      </w:r>
      <w:r w:rsidRPr="0059393F">
        <w:rPr>
          <w:i/>
          <w:iCs/>
          <w:noProof/>
        </w:rPr>
        <w:t>Genome Biol.</w:t>
      </w:r>
      <w:r w:rsidRPr="0059393F">
        <w:rPr>
          <w:noProof/>
        </w:rPr>
        <w:t xml:space="preserve"> </w:t>
      </w:r>
      <w:r w:rsidRPr="0059393F">
        <w:rPr>
          <w:b/>
          <w:bCs/>
          <w:noProof/>
        </w:rPr>
        <w:t>11,</w:t>
      </w:r>
      <w:r w:rsidRPr="0059393F">
        <w:rPr>
          <w:noProof/>
        </w:rPr>
        <w:t xml:space="preserve"> R106 (2010).</w:t>
      </w:r>
    </w:p>
    <w:p w:rsidR="0059393F" w:rsidRPr="0059393F" w:rsidRDefault="0059393F">
      <w:pPr>
        <w:pStyle w:val="NormalWeb"/>
        <w:ind w:left="640" w:hanging="640"/>
        <w:divId w:val="666127832"/>
        <w:rPr>
          <w:noProof/>
        </w:rPr>
      </w:pPr>
      <w:r w:rsidRPr="0059393F">
        <w:rPr>
          <w:noProof/>
        </w:rPr>
        <w:t>35.</w:t>
      </w:r>
      <w:r w:rsidRPr="0059393F">
        <w:rPr>
          <w:noProof/>
        </w:rPr>
        <w:tab/>
        <w:t xml:space="preserve">Skelly, D. A., Johansson, M., Madeoy, J., Wakefield, J. &amp; Akey, J. M. A powerful and flexible statistical framework for testing hypotheses of allele-specific gene expression from RNA-seq data. </w:t>
      </w:r>
      <w:r w:rsidRPr="0059393F">
        <w:rPr>
          <w:i/>
          <w:iCs/>
          <w:noProof/>
        </w:rPr>
        <w:t>Genome Res.</w:t>
      </w:r>
      <w:r w:rsidRPr="0059393F">
        <w:rPr>
          <w:noProof/>
        </w:rPr>
        <w:t xml:space="preserve"> </w:t>
      </w:r>
      <w:r w:rsidRPr="0059393F">
        <w:rPr>
          <w:b/>
          <w:bCs/>
          <w:noProof/>
        </w:rPr>
        <w:t>21,</w:t>
      </w:r>
      <w:r w:rsidRPr="0059393F">
        <w:rPr>
          <w:noProof/>
        </w:rPr>
        <w:t xml:space="preserve"> 1728–1737 (2011).</w:t>
      </w:r>
    </w:p>
    <w:p w:rsidR="0059393F" w:rsidRPr="0059393F" w:rsidRDefault="0059393F">
      <w:pPr>
        <w:pStyle w:val="NormalWeb"/>
        <w:ind w:left="640" w:hanging="640"/>
        <w:divId w:val="666127832"/>
        <w:rPr>
          <w:noProof/>
        </w:rPr>
      </w:pPr>
      <w:r w:rsidRPr="0059393F">
        <w:rPr>
          <w:noProof/>
        </w:rPr>
        <w:t>36.</w:t>
      </w:r>
      <w:r w:rsidRPr="0059393F">
        <w:rPr>
          <w:noProof/>
        </w:rPr>
        <w:tab/>
        <w:t xml:space="preserve">Zhang, S. </w:t>
      </w:r>
      <w:r w:rsidRPr="0059393F">
        <w:rPr>
          <w:i/>
          <w:iCs/>
          <w:noProof/>
        </w:rPr>
        <w:t>et al.</w:t>
      </w:r>
      <w:r w:rsidRPr="0059393F">
        <w:rPr>
          <w:noProof/>
        </w:rPr>
        <w:t xml:space="preserve"> Genome-wide identification of allele-specific effects on gene expression for single and multiple individuals. </w:t>
      </w:r>
      <w:r w:rsidRPr="0059393F">
        <w:rPr>
          <w:i/>
          <w:iCs/>
          <w:noProof/>
        </w:rPr>
        <w:t>Gene</w:t>
      </w:r>
      <w:r w:rsidRPr="0059393F">
        <w:rPr>
          <w:noProof/>
        </w:rPr>
        <w:t xml:space="preserve"> </w:t>
      </w:r>
      <w:r w:rsidRPr="0059393F">
        <w:rPr>
          <w:b/>
          <w:bCs/>
          <w:noProof/>
        </w:rPr>
        <w:t>533,</w:t>
      </w:r>
      <w:r w:rsidRPr="0059393F">
        <w:rPr>
          <w:noProof/>
        </w:rPr>
        <w:t xml:space="preserve"> 366–373 (2014).</w:t>
      </w:r>
    </w:p>
    <w:p w:rsidR="0059393F" w:rsidRPr="0059393F" w:rsidRDefault="0059393F">
      <w:pPr>
        <w:pStyle w:val="NormalWeb"/>
        <w:ind w:left="640" w:hanging="640"/>
        <w:divId w:val="666127832"/>
        <w:rPr>
          <w:noProof/>
        </w:rPr>
      </w:pPr>
      <w:r w:rsidRPr="0059393F">
        <w:rPr>
          <w:noProof/>
        </w:rPr>
        <w:t>37.</w:t>
      </w:r>
      <w:r w:rsidRPr="0059393F">
        <w:rPr>
          <w:noProof/>
        </w:rPr>
        <w:tab/>
        <w:t xml:space="preserve">Tao, H., Cox, D. R. &amp; Frazer, K. A. Allele-specific KRT1 expression is a complex trait. </w:t>
      </w:r>
      <w:r w:rsidRPr="0059393F">
        <w:rPr>
          <w:i/>
          <w:iCs/>
          <w:noProof/>
        </w:rPr>
        <w:t>PLoS Genet.</w:t>
      </w:r>
      <w:r w:rsidRPr="0059393F">
        <w:rPr>
          <w:noProof/>
        </w:rPr>
        <w:t xml:space="preserve"> </w:t>
      </w:r>
      <w:r w:rsidRPr="0059393F">
        <w:rPr>
          <w:b/>
          <w:bCs/>
          <w:noProof/>
        </w:rPr>
        <w:t>2,</w:t>
      </w:r>
      <w:r w:rsidRPr="0059393F">
        <w:rPr>
          <w:noProof/>
        </w:rPr>
        <w:t xml:space="preserve"> 0848–0858 (2006).</w:t>
      </w:r>
    </w:p>
    <w:p w:rsidR="0059393F" w:rsidRPr="0059393F" w:rsidRDefault="0059393F">
      <w:pPr>
        <w:pStyle w:val="NormalWeb"/>
        <w:ind w:left="640" w:hanging="640"/>
        <w:divId w:val="666127832"/>
        <w:rPr>
          <w:noProof/>
        </w:rPr>
      </w:pPr>
      <w:r w:rsidRPr="0059393F">
        <w:rPr>
          <w:noProof/>
        </w:rPr>
        <w:t>38.</w:t>
      </w:r>
      <w:r w:rsidRPr="0059393F">
        <w:rPr>
          <w:noProof/>
        </w:rPr>
        <w:tab/>
        <w:t xml:space="preserve">Cusanovich, D. A., Pavlovic, B., Pritchard, J. K. &amp; Gilad, Y. The Functional Consequences of Variation in Transcription Factor Binding. </w:t>
      </w:r>
      <w:r w:rsidRPr="0059393F">
        <w:rPr>
          <w:i/>
          <w:iCs/>
          <w:noProof/>
        </w:rPr>
        <w:t>PLoS Genet.</w:t>
      </w:r>
      <w:r w:rsidRPr="0059393F">
        <w:rPr>
          <w:noProof/>
        </w:rPr>
        <w:t xml:space="preserve"> </w:t>
      </w:r>
      <w:r w:rsidRPr="0059393F">
        <w:rPr>
          <w:b/>
          <w:bCs/>
          <w:noProof/>
        </w:rPr>
        <w:t>10,</w:t>
      </w:r>
      <w:r w:rsidRPr="0059393F">
        <w:rPr>
          <w:noProof/>
        </w:rPr>
        <w:t xml:space="preserve"> (2014).</w:t>
      </w:r>
    </w:p>
    <w:p w:rsidR="0059393F" w:rsidRPr="0059393F" w:rsidRDefault="0059393F">
      <w:pPr>
        <w:pStyle w:val="NormalWeb"/>
        <w:ind w:left="640" w:hanging="640"/>
        <w:divId w:val="666127832"/>
        <w:rPr>
          <w:noProof/>
        </w:rPr>
      </w:pPr>
      <w:r w:rsidRPr="0059393F">
        <w:rPr>
          <w:noProof/>
        </w:rPr>
        <w:lastRenderedPageBreak/>
        <w:t>39.</w:t>
      </w:r>
      <w:r w:rsidRPr="0059393F">
        <w:rPr>
          <w:noProof/>
        </w:rPr>
        <w:tab/>
        <w:t xml:space="preserve">Amin, A. S. </w:t>
      </w:r>
      <w:r w:rsidRPr="0059393F">
        <w:rPr>
          <w:i/>
          <w:iCs/>
          <w:noProof/>
        </w:rPr>
        <w:t>et al.</w:t>
      </w:r>
      <w:r w:rsidRPr="0059393F">
        <w:rPr>
          <w:noProof/>
        </w:rPr>
        <w:t xml:space="preserve"> Variants in the 3’ untranslated region of the KCNQ1-encoded Kv7.1 potassium channel modify disease severity in patients with type 1 long QT syndrome in an allele-specific manner. </w:t>
      </w:r>
      <w:r w:rsidRPr="0059393F">
        <w:rPr>
          <w:i/>
          <w:iCs/>
          <w:noProof/>
        </w:rPr>
        <w:t>Eur. Heart J.</w:t>
      </w:r>
      <w:r w:rsidRPr="0059393F">
        <w:rPr>
          <w:noProof/>
        </w:rPr>
        <w:t xml:space="preserve"> </w:t>
      </w:r>
      <w:r w:rsidRPr="0059393F">
        <w:rPr>
          <w:b/>
          <w:bCs/>
          <w:noProof/>
        </w:rPr>
        <w:t>33,</w:t>
      </w:r>
      <w:r w:rsidRPr="0059393F">
        <w:rPr>
          <w:noProof/>
        </w:rPr>
        <w:t xml:space="preserve"> 714–23 (2012).</w:t>
      </w:r>
    </w:p>
    <w:p w:rsidR="0059393F" w:rsidRPr="0059393F" w:rsidRDefault="0059393F">
      <w:pPr>
        <w:pStyle w:val="NormalWeb"/>
        <w:ind w:left="640" w:hanging="640"/>
        <w:divId w:val="666127832"/>
        <w:rPr>
          <w:noProof/>
        </w:rPr>
      </w:pPr>
      <w:r w:rsidRPr="0059393F">
        <w:rPr>
          <w:noProof/>
        </w:rPr>
        <w:t>40.</w:t>
      </w:r>
      <w:r w:rsidRPr="0059393F">
        <w:rPr>
          <w:noProof/>
        </w:rPr>
        <w:tab/>
        <w:t xml:space="preserve">Anjos, S. M., Shao, W., Marchand, L. &amp; Polychronakos, C. Allelic effects on gene regulation at the autoimmunity-predisposing CTLA4 locus: a re-evaluation of the 3’ +6230G&gt;A polymorphism. </w:t>
      </w:r>
      <w:r w:rsidRPr="0059393F">
        <w:rPr>
          <w:i/>
          <w:iCs/>
          <w:noProof/>
        </w:rPr>
        <w:t>Genes Immun.</w:t>
      </w:r>
      <w:r w:rsidRPr="0059393F">
        <w:rPr>
          <w:noProof/>
        </w:rPr>
        <w:t xml:space="preserve"> </w:t>
      </w:r>
      <w:r w:rsidRPr="0059393F">
        <w:rPr>
          <w:b/>
          <w:bCs/>
          <w:noProof/>
        </w:rPr>
        <w:t>6,</w:t>
      </w:r>
      <w:r w:rsidRPr="0059393F">
        <w:rPr>
          <w:noProof/>
        </w:rPr>
        <w:t xml:space="preserve"> 305–11 (2005).</w:t>
      </w:r>
    </w:p>
    <w:p w:rsidR="0059393F" w:rsidRPr="0059393F" w:rsidRDefault="0059393F">
      <w:pPr>
        <w:pStyle w:val="NormalWeb"/>
        <w:ind w:left="640" w:hanging="640"/>
        <w:divId w:val="666127832"/>
        <w:rPr>
          <w:noProof/>
        </w:rPr>
      </w:pPr>
      <w:r w:rsidRPr="0059393F">
        <w:rPr>
          <w:noProof/>
        </w:rPr>
        <w:t>41.</w:t>
      </w:r>
      <w:r w:rsidRPr="0059393F">
        <w:rPr>
          <w:noProof/>
        </w:rPr>
        <w:tab/>
        <w:t xml:space="preserve">Valle, L. </w:t>
      </w:r>
      <w:r w:rsidRPr="0059393F">
        <w:rPr>
          <w:i/>
          <w:iCs/>
          <w:noProof/>
        </w:rPr>
        <w:t>et al.</w:t>
      </w:r>
      <w:r w:rsidRPr="0059393F">
        <w:rPr>
          <w:noProof/>
        </w:rPr>
        <w:t xml:space="preserve"> Germline allele-specific expression of TGFBR1 confers an increased risk of colorectal cancer. </w:t>
      </w:r>
      <w:r w:rsidRPr="0059393F">
        <w:rPr>
          <w:i/>
          <w:iCs/>
          <w:noProof/>
        </w:rPr>
        <w:t>Science</w:t>
      </w:r>
      <w:r w:rsidRPr="0059393F">
        <w:rPr>
          <w:noProof/>
        </w:rPr>
        <w:t xml:space="preserve"> </w:t>
      </w:r>
      <w:r w:rsidRPr="0059393F">
        <w:rPr>
          <w:b/>
          <w:bCs/>
          <w:noProof/>
        </w:rPr>
        <w:t>321,</w:t>
      </w:r>
      <w:r w:rsidRPr="0059393F">
        <w:rPr>
          <w:noProof/>
        </w:rPr>
        <w:t xml:space="preserve"> 1361–5 (2008).</w:t>
      </w:r>
    </w:p>
    <w:p w:rsidR="0059393F" w:rsidRPr="0059393F" w:rsidRDefault="0059393F">
      <w:pPr>
        <w:pStyle w:val="NormalWeb"/>
        <w:ind w:left="640" w:hanging="640"/>
        <w:divId w:val="666127832"/>
        <w:rPr>
          <w:noProof/>
        </w:rPr>
      </w:pPr>
      <w:r w:rsidRPr="0059393F">
        <w:rPr>
          <w:noProof/>
        </w:rPr>
        <w:t>42.</w:t>
      </w:r>
      <w:r w:rsidRPr="0059393F">
        <w:rPr>
          <w:noProof/>
        </w:rPr>
        <w:tab/>
        <w:t xml:space="preserve">Price, A. L. </w:t>
      </w:r>
      <w:r w:rsidRPr="0059393F">
        <w:rPr>
          <w:i/>
          <w:iCs/>
          <w:noProof/>
        </w:rPr>
        <w:t>et al.</w:t>
      </w:r>
      <w:r w:rsidRPr="0059393F">
        <w:rPr>
          <w:noProof/>
        </w:rPr>
        <w:t xml:space="preserve"> Pooled Association Tests for Rare Variants in Exon-Resequencing Studies. </w:t>
      </w:r>
      <w:r w:rsidRPr="0059393F">
        <w:rPr>
          <w:i/>
          <w:iCs/>
          <w:noProof/>
        </w:rPr>
        <w:t>Am. J. Hum. Genet.</w:t>
      </w:r>
      <w:r w:rsidRPr="0059393F">
        <w:rPr>
          <w:noProof/>
        </w:rPr>
        <w:t xml:space="preserve"> </w:t>
      </w:r>
      <w:r w:rsidRPr="0059393F">
        <w:rPr>
          <w:b/>
          <w:bCs/>
          <w:noProof/>
        </w:rPr>
        <w:t>86,</w:t>
      </w:r>
      <w:r w:rsidRPr="0059393F">
        <w:rPr>
          <w:noProof/>
        </w:rPr>
        <w:t xml:space="preserve"> 832–838 (2010).</w:t>
      </w:r>
    </w:p>
    <w:p w:rsidR="0059393F" w:rsidRPr="0059393F" w:rsidRDefault="0059393F">
      <w:pPr>
        <w:pStyle w:val="NormalWeb"/>
        <w:ind w:left="640" w:hanging="640"/>
        <w:divId w:val="666127832"/>
        <w:rPr>
          <w:noProof/>
        </w:rPr>
      </w:pPr>
      <w:r w:rsidRPr="0059393F">
        <w:rPr>
          <w:noProof/>
        </w:rPr>
        <w:t>43.</w:t>
      </w:r>
      <w:r w:rsidRPr="0059393F">
        <w:rPr>
          <w:noProof/>
        </w:rPr>
        <w:tab/>
        <w:t xml:space="preserve">Han, F. &amp; Pan, W. A data-adaptive sum test for disease association with multiple common or rare variants. </w:t>
      </w:r>
      <w:r w:rsidRPr="0059393F">
        <w:rPr>
          <w:i/>
          <w:iCs/>
          <w:noProof/>
        </w:rPr>
        <w:t>Hum. Hered.</w:t>
      </w:r>
      <w:r w:rsidRPr="0059393F">
        <w:rPr>
          <w:noProof/>
        </w:rPr>
        <w:t xml:space="preserve"> </w:t>
      </w:r>
      <w:r w:rsidRPr="0059393F">
        <w:rPr>
          <w:b/>
          <w:bCs/>
          <w:noProof/>
        </w:rPr>
        <w:t>70,</w:t>
      </w:r>
      <w:r w:rsidRPr="0059393F">
        <w:rPr>
          <w:noProof/>
        </w:rPr>
        <w:t xml:space="preserve"> 42–54 (2010).</w:t>
      </w:r>
    </w:p>
    <w:p w:rsidR="0059393F" w:rsidRPr="0059393F" w:rsidRDefault="0059393F">
      <w:pPr>
        <w:pStyle w:val="NormalWeb"/>
        <w:ind w:left="640" w:hanging="640"/>
        <w:divId w:val="666127832"/>
        <w:rPr>
          <w:noProof/>
        </w:rPr>
      </w:pPr>
      <w:r w:rsidRPr="0059393F">
        <w:rPr>
          <w:noProof/>
        </w:rPr>
        <w:t>44.</w:t>
      </w:r>
      <w:r w:rsidRPr="0059393F">
        <w:rPr>
          <w:noProof/>
        </w:rPr>
        <w:tab/>
        <w:t xml:space="preserve">Fu, Y. </w:t>
      </w:r>
      <w:r w:rsidRPr="0059393F">
        <w:rPr>
          <w:i/>
          <w:iCs/>
          <w:noProof/>
        </w:rPr>
        <w:t>et al.</w:t>
      </w:r>
      <w:r w:rsidRPr="0059393F">
        <w:rPr>
          <w:noProof/>
        </w:rPr>
        <w:t xml:space="preserve"> FunSeq2 : a framework for prioritizing noncoding regulatory variants in cancer. (2014). doi:10.1186/s13059-014-0480-5</w:t>
      </w:r>
    </w:p>
    <w:p w:rsidR="0059393F" w:rsidRPr="0059393F" w:rsidRDefault="0059393F">
      <w:pPr>
        <w:pStyle w:val="NormalWeb"/>
        <w:ind w:left="640" w:hanging="640"/>
        <w:divId w:val="666127832"/>
        <w:rPr>
          <w:noProof/>
        </w:rPr>
      </w:pPr>
      <w:r w:rsidRPr="0059393F">
        <w:rPr>
          <w:noProof/>
        </w:rPr>
        <w:t>45.</w:t>
      </w:r>
      <w:r w:rsidRPr="0059393F">
        <w:rPr>
          <w:noProof/>
        </w:rPr>
        <w:tab/>
        <w:t xml:space="preserve">Boodhoo, A. </w:t>
      </w:r>
      <w:r w:rsidRPr="0059393F">
        <w:rPr>
          <w:i/>
          <w:iCs/>
          <w:noProof/>
        </w:rPr>
        <w:t>et al.</w:t>
      </w:r>
      <w:r w:rsidRPr="0059393F">
        <w:rPr>
          <w:noProof/>
        </w:rPr>
        <w:t xml:space="preserve"> A promoter polymorphism in the central MHC gene, IKBL, influences the binding of transcription factors USF1 and E47 on disease-associated haplotypes. </w:t>
      </w:r>
      <w:r w:rsidRPr="0059393F">
        <w:rPr>
          <w:i/>
          <w:iCs/>
          <w:noProof/>
        </w:rPr>
        <w:t>Gene Expr.</w:t>
      </w:r>
      <w:r w:rsidRPr="0059393F">
        <w:rPr>
          <w:noProof/>
        </w:rPr>
        <w:t xml:space="preserve"> </w:t>
      </w:r>
      <w:r w:rsidRPr="0059393F">
        <w:rPr>
          <w:b/>
          <w:bCs/>
          <w:noProof/>
        </w:rPr>
        <w:t>12,</w:t>
      </w:r>
      <w:r w:rsidRPr="0059393F">
        <w:rPr>
          <w:noProof/>
        </w:rPr>
        <w:t xml:space="preserve"> 1–11 (2004).</w:t>
      </w:r>
    </w:p>
    <w:p w:rsidR="0059393F" w:rsidRPr="0059393F" w:rsidRDefault="0059393F">
      <w:pPr>
        <w:pStyle w:val="NormalWeb"/>
        <w:ind w:left="640" w:hanging="640"/>
        <w:divId w:val="666127832"/>
        <w:rPr>
          <w:noProof/>
        </w:rPr>
      </w:pPr>
      <w:r w:rsidRPr="0059393F">
        <w:rPr>
          <w:noProof/>
        </w:rPr>
        <w:t>46.</w:t>
      </w:r>
      <w:r w:rsidRPr="0059393F">
        <w:rPr>
          <w:noProof/>
        </w:rPr>
        <w:tab/>
        <w:t xml:space="preserve">Kim, J. Do </w:t>
      </w:r>
      <w:r w:rsidRPr="0059393F">
        <w:rPr>
          <w:i/>
          <w:iCs/>
          <w:noProof/>
        </w:rPr>
        <w:t>et al.</w:t>
      </w:r>
      <w:r w:rsidRPr="0059393F">
        <w:rPr>
          <w:noProof/>
        </w:rPr>
        <w:t xml:space="preserve"> Identification of clustered YY1 binding sites in imprinting control regions. </w:t>
      </w:r>
      <w:r w:rsidRPr="0059393F">
        <w:rPr>
          <w:i/>
          <w:iCs/>
          <w:noProof/>
        </w:rPr>
        <w:t>Genome Res.</w:t>
      </w:r>
      <w:r w:rsidRPr="0059393F">
        <w:rPr>
          <w:noProof/>
        </w:rPr>
        <w:t xml:space="preserve"> </w:t>
      </w:r>
      <w:r w:rsidRPr="0059393F">
        <w:rPr>
          <w:b/>
          <w:bCs/>
          <w:noProof/>
        </w:rPr>
        <w:t>16,</w:t>
      </w:r>
      <w:r w:rsidRPr="0059393F">
        <w:rPr>
          <w:noProof/>
        </w:rPr>
        <w:t xml:space="preserve"> 901–911 (2006).</w:t>
      </w:r>
    </w:p>
    <w:p w:rsidR="0059393F" w:rsidRPr="0059393F" w:rsidRDefault="0059393F">
      <w:pPr>
        <w:pStyle w:val="NormalWeb"/>
        <w:ind w:left="640" w:hanging="640"/>
        <w:divId w:val="666127832"/>
        <w:rPr>
          <w:noProof/>
        </w:rPr>
      </w:pPr>
      <w:r w:rsidRPr="0059393F">
        <w:rPr>
          <w:noProof/>
        </w:rPr>
        <w:t>47.</w:t>
      </w:r>
      <w:r w:rsidRPr="0059393F">
        <w:rPr>
          <w:noProof/>
        </w:rPr>
        <w:tab/>
        <w:t xml:space="preserve">Chaumeil, J. &amp; Skok, J. A. The role of CTCF in regulating V(D)J recombination. </w:t>
      </w:r>
      <w:r w:rsidRPr="0059393F">
        <w:rPr>
          <w:i/>
          <w:iCs/>
          <w:noProof/>
        </w:rPr>
        <w:t>Current Opinion in Immunology</w:t>
      </w:r>
      <w:r w:rsidRPr="0059393F">
        <w:rPr>
          <w:noProof/>
        </w:rPr>
        <w:t xml:space="preserve"> </w:t>
      </w:r>
      <w:r w:rsidRPr="0059393F">
        <w:rPr>
          <w:b/>
          <w:bCs/>
          <w:noProof/>
        </w:rPr>
        <w:t>24,</w:t>
      </w:r>
      <w:r w:rsidRPr="0059393F">
        <w:rPr>
          <w:noProof/>
        </w:rPr>
        <w:t xml:space="preserve"> 153–159 (2012).</w:t>
      </w:r>
    </w:p>
    <w:p w:rsidR="0059393F" w:rsidRPr="0059393F" w:rsidRDefault="0059393F">
      <w:pPr>
        <w:pStyle w:val="NormalWeb"/>
        <w:ind w:left="640" w:hanging="640"/>
        <w:divId w:val="666127832"/>
        <w:rPr>
          <w:noProof/>
        </w:rPr>
      </w:pPr>
      <w:r w:rsidRPr="0059393F">
        <w:rPr>
          <w:noProof/>
        </w:rPr>
        <w:t>48.</w:t>
      </w:r>
      <w:r w:rsidRPr="0059393F">
        <w:rPr>
          <w:noProof/>
        </w:rPr>
        <w:tab/>
        <w:t xml:space="preserve">The Genotype-Tissue Expression (GTEx) project. </w:t>
      </w:r>
      <w:r w:rsidRPr="0059393F">
        <w:rPr>
          <w:i/>
          <w:iCs/>
          <w:noProof/>
        </w:rPr>
        <w:t>Nat. Genet.</w:t>
      </w:r>
      <w:r w:rsidRPr="0059393F">
        <w:rPr>
          <w:noProof/>
        </w:rPr>
        <w:t xml:space="preserve"> </w:t>
      </w:r>
      <w:r w:rsidRPr="0059393F">
        <w:rPr>
          <w:b/>
          <w:bCs/>
          <w:noProof/>
        </w:rPr>
        <w:t>45,</w:t>
      </w:r>
      <w:r w:rsidRPr="0059393F">
        <w:rPr>
          <w:noProof/>
        </w:rPr>
        <w:t xml:space="preserve"> 580–5 (2013).</w:t>
      </w:r>
    </w:p>
    <w:p w:rsidR="0059393F" w:rsidRPr="0059393F" w:rsidRDefault="0059393F">
      <w:pPr>
        <w:pStyle w:val="NormalWeb"/>
        <w:ind w:left="640" w:hanging="640"/>
        <w:divId w:val="666127832"/>
        <w:rPr>
          <w:noProof/>
        </w:rPr>
      </w:pPr>
      <w:r w:rsidRPr="0059393F">
        <w:rPr>
          <w:noProof/>
        </w:rPr>
        <w:t>49.</w:t>
      </w:r>
      <w:r w:rsidRPr="0059393F">
        <w:rPr>
          <w:noProof/>
        </w:rPr>
        <w:tab/>
        <w:t xml:space="preserve">GTEx Consortium </w:t>
      </w:r>
      <w:r w:rsidRPr="0059393F">
        <w:rPr>
          <w:i/>
          <w:iCs/>
          <w:noProof/>
        </w:rPr>
        <w:t>et al.</w:t>
      </w:r>
      <w:r w:rsidRPr="0059393F">
        <w:rPr>
          <w:noProof/>
        </w:rPr>
        <w:t xml:space="preserve"> The Genotype-Tissue Expression (GTEx) pilot analysis: Multitissue gene regulation in humans. </w:t>
      </w:r>
      <w:r w:rsidRPr="0059393F">
        <w:rPr>
          <w:i/>
          <w:iCs/>
          <w:noProof/>
        </w:rPr>
        <w:t>Science (80-. ).</w:t>
      </w:r>
      <w:r w:rsidRPr="0059393F">
        <w:rPr>
          <w:noProof/>
        </w:rPr>
        <w:t xml:space="preserve"> </w:t>
      </w:r>
      <w:r w:rsidRPr="0059393F">
        <w:rPr>
          <w:b/>
          <w:bCs/>
          <w:noProof/>
        </w:rPr>
        <w:t>348,</w:t>
      </w:r>
      <w:r w:rsidRPr="0059393F">
        <w:rPr>
          <w:noProof/>
        </w:rPr>
        <w:t xml:space="preserve"> 648–660 (2015).</w:t>
      </w:r>
    </w:p>
    <w:p w:rsidR="0059393F" w:rsidRPr="0059393F" w:rsidRDefault="0059393F">
      <w:pPr>
        <w:pStyle w:val="NormalWeb"/>
        <w:ind w:left="640" w:hanging="640"/>
        <w:divId w:val="666127832"/>
        <w:rPr>
          <w:noProof/>
        </w:rPr>
      </w:pPr>
      <w:r w:rsidRPr="0059393F">
        <w:rPr>
          <w:noProof/>
        </w:rPr>
        <w:t>50.</w:t>
      </w:r>
      <w:r w:rsidRPr="0059393F">
        <w:rPr>
          <w:noProof/>
        </w:rPr>
        <w:tab/>
        <w:t xml:space="preserve">Bustamante, C. D., Burchard, E. G. &amp; De la Vega, F. M. Genomics for the world. </w:t>
      </w:r>
      <w:r w:rsidRPr="0059393F">
        <w:rPr>
          <w:i/>
          <w:iCs/>
          <w:noProof/>
        </w:rPr>
        <w:t>Nature</w:t>
      </w:r>
      <w:r w:rsidRPr="0059393F">
        <w:rPr>
          <w:noProof/>
        </w:rPr>
        <w:t xml:space="preserve"> </w:t>
      </w:r>
      <w:r w:rsidRPr="0059393F">
        <w:rPr>
          <w:b/>
          <w:bCs/>
          <w:noProof/>
        </w:rPr>
        <w:t>475,</w:t>
      </w:r>
      <w:r w:rsidRPr="0059393F">
        <w:rPr>
          <w:noProof/>
        </w:rPr>
        <w:t xml:space="preserve"> 163–5 (2011).</w:t>
      </w:r>
    </w:p>
    <w:p w:rsidR="0059393F" w:rsidRPr="0059393F" w:rsidRDefault="0059393F">
      <w:pPr>
        <w:pStyle w:val="NormalWeb"/>
        <w:ind w:left="640" w:hanging="640"/>
        <w:divId w:val="666127832"/>
        <w:rPr>
          <w:noProof/>
        </w:rPr>
      </w:pPr>
      <w:r w:rsidRPr="0059393F">
        <w:rPr>
          <w:noProof/>
        </w:rPr>
        <w:t>51.</w:t>
      </w:r>
      <w:r w:rsidRPr="0059393F">
        <w:rPr>
          <w:noProof/>
        </w:rPr>
        <w:tab/>
        <w:t xml:space="preserve">Kitzman, J. O. </w:t>
      </w:r>
      <w:r w:rsidRPr="0059393F">
        <w:rPr>
          <w:i/>
          <w:iCs/>
          <w:noProof/>
        </w:rPr>
        <w:t>et al.</w:t>
      </w:r>
      <w:r w:rsidRPr="0059393F">
        <w:rPr>
          <w:noProof/>
        </w:rPr>
        <w:t xml:space="preserve"> Haplotype-resolved genome sequencing of a Gujarati Indian individual. </w:t>
      </w:r>
      <w:r w:rsidRPr="0059393F">
        <w:rPr>
          <w:i/>
          <w:iCs/>
          <w:noProof/>
        </w:rPr>
        <w:t>Nat. Biotechnol.</w:t>
      </w:r>
      <w:r w:rsidRPr="0059393F">
        <w:rPr>
          <w:noProof/>
        </w:rPr>
        <w:t xml:space="preserve"> </w:t>
      </w:r>
      <w:r w:rsidRPr="0059393F">
        <w:rPr>
          <w:b/>
          <w:bCs/>
          <w:noProof/>
        </w:rPr>
        <w:t>29,</w:t>
      </w:r>
      <w:r w:rsidRPr="0059393F">
        <w:rPr>
          <w:noProof/>
        </w:rPr>
        <w:t xml:space="preserve"> 59–63 (2011).</w:t>
      </w:r>
    </w:p>
    <w:p w:rsidR="0059393F" w:rsidRPr="0059393F" w:rsidRDefault="0059393F">
      <w:pPr>
        <w:pStyle w:val="NormalWeb"/>
        <w:ind w:left="640" w:hanging="640"/>
        <w:divId w:val="666127832"/>
        <w:rPr>
          <w:noProof/>
        </w:rPr>
      </w:pPr>
      <w:r w:rsidRPr="0059393F">
        <w:rPr>
          <w:noProof/>
        </w:rPr>
        <w:t>52.</w:t>
      </w:r>
      <w:r w:rsidRPr="0059393F">
        <w:rPr>
          <w:noProof/>
        </w:rPr>
        <w:tab/>
        <w:t xml:space="preserve">Peters, B. A. </w:t>
      </w:r>
      <w:r w:rsidRPr="0059393F">
        <w:rPr>
          <w:i/>
          <w:iCs/>
          <w:noProof/>
        </w:rPr>
        <w:t>et al.</w:t>
      </w:r>
      <w:r w:rsidRPr="0059393F">
        <w:rPr>
          <w:noProof/>
        </w:rPr>
        <w:t xml:space="preserve"> Accurate whole-genome sequencing and haplotyping from 10 to 20 human cells. </w:t>
      </w:r>
      <w:r w:rsidRPr="0059393F">
        <w:rPr>
          <w:i/>
          <w:iCs/>
          <w:noProof/>
        </w:rPr>
        <w:t>Nature</w:t>
      </w:r>
      <w:r w:rsidRPr="0059393F">
        <w:rPr>
          <w:noProof/>
        </w:rPr>
        <w:t xml:space="preserve"> </w:t>
      </w:r>
      <w:r w:rsidRPr="0059393F">
        <w:rPr>
          <w:b/>
          <w:bCs/>
          <w:noProof/>
        </w:rPr>
        <w:t>487,</w:t>
      </w:r>
      <w:r w:rsidRPr="0059393F">
        <w:rPr>
          <w:noProof/>
        </w:rPr>
        <w:t xml:space="preserve"> 190–5 (2012).</w:t>
      </w:r>
    </w:p>
    <w:p w:rsidR="0059393F" w:rsidRPr="0059393F" w:rsidRDefault="0059393F">
      <w:pPr>
        <w:pStyle w:val="NormalWeb"/>
        <w:ind w:left="640" w:hanging="640"/>
        <w:divId w:val="666127832"/>
        <w:rPr>
          <w:noProof/>
        </w:rPr>
      </w:pPr>
      <w:r w:rsidRPr="0059393F">
        <w:rPr>
          <w:noProof/>
        </w:rPr>
        <w:t>53.</w:t>
      </w:r>
      <w:r w:rsidRPr="0059393F">
        <w:rPr>
          <w:noProof/>
        </w:rPr>
        <w:tab/>
        <w:t xml:space="preserve">Fan, H. C., Wang, J., Potanina, A. &amp; Quake, S. R. Whole-genome molecular haplotyping of single cells. </w:t>
      </w:r>
      <w:r w:rsidRPr="0059393F">
        <w:rPr>
          <w:i/>
          <w:iCs/>
          <w:noProof/>
        </w:rPr>
        <w:t>Nat. Biotechnol.</w:t>
      </w:r>
      <w:r w:rsidRPr="0059393F">
        <w:rPr>
          <w:noProof/>
        </w:rPr>
        <w:t xml:space="preserve"> </w:t>
      </w:r>
      <w:r w:rsidRPr="0059393F">
        <w:rPr>
          <w:b/>
          <w:bCs/>
          <w:noProof/>
        </w:rPr>
        <w:t>29,</w:t>
      </w:r>
      <w:r w:rsidRPr="0059393F">
        <w:rPr>
          <w:noProof/>
        </w:rPr>
        <w:t xml:space="preserve"> 51–7 (2011).</w:t>
      </w:r>
    </w:p>
    <w:p w:rsidR="0059393F" w:rsidRPr="0059393F" w:rsidRDefault="0059393F">
      <w:pPr>
        <w:pStyle w:val="NormalWeb"/>
        <w:ind w:left="640" w:hanging="640"/>
        <w:divId w:val="666127832"/>
        <w:rPr>
          <w:noProof/>
        </w:rPr>
      </w:pPr>
      <w:r w:rsidRPr="0059393F">
        <w:rPr>
          <w:noProof/>
        </w:rPr>
        <w:lastRenderedPageBreak/>
        <w:t>54.</w:t>
      </w:r>
      <w:r w:rsidRPr="0059393F">
        <w:rPr>
          <w:noProof/>
        </w:rPr>
        <w:tab/>
        <w:t xml:space="preserve">Abyzov, A., Urban, A. E., Snyder, M. &amp; Gerstein, M. CNVnator: an approach to discover, genotype, and characterize typical and atypical CNVs from family and population genome sequencing. </w:t>
      </w:r>
      <w:r w:rsidRPr="0059393F">
        <w:rPr>
          <w:i/>
          <w:iCs/>
          <w:noProof/>
        </w:rPr>
        <w:t>Genome Res.</w:t>
      </w:r>
      <w:r w:rsidRPr="0059393F">
        <w:rPr>
          <w:noProof/>
        </w:rPr>
        <w:t xml:space="preserve"> </w:t>
      </w:r>
      <w:r w:rsidRPr="0059393F">
        <w:rPr>
          <w:b/>
          <w:bCs/>
          <w:noProof/>
        </w:rPr>
        <w:t>21,</w:t>
      </w:r>
      <w:r w:rsidRPr="0059393F">
        <w:rPr>
          <w:noProof/>
        </w:rPr>
        <w:t xml:space="preserve"> 974–84 (2011).</w:t>
      </w:r>
    </w:p>
    <w:p w:rsidR="0059393F" w:rsidRPr="0059393F" w:rsidRDefault="0059393F">
      <w:pPr>
        <w:pStyle w:val="NormalWeb"/>
        <w:ind w:left="640" w:hanging="640"/>
        <w:divId w:val="666127832"/>
        <w:rPr>
          <w:noProof/>
        </w:rPr>
      </w:pPr>
      <w:r w:rsidRPr="0059393F">
        <w:rPr>
          <w:noProof/>
        </w:rPr>
        <w:t>55.</w:t>
      </w:r>
      <w:r w:rsidRPr="0059393F">
        <w:rPr>
          <w:noProof/>
        </w:rPr>
        <w:tab/>
        <w:t xml:space="preserve">Lalonde, E. </w:t>
      </w:r>
      <w:r w:rsidRPr="0059393F">
        <w:rPr>
          <w:i/>
          <w:iCs/>
          <w:noProof/>
        </w:rPr>
        <w:t>et al.</w:t>
      </w:r>
      <w:r w:rsidRPr="0059393F">
        <w:rPr>
          <w:noProof/>
        </w:rPr>
        <w:t xml:space="preserve"> RNA sequencing reveals the role of splicing polymorphisms in regulating human gene expression. </w:t>
      </w:r>
      <w:r w:rsidRPr="0059393F">
        <w:rPr>
          <w:i/>
          <w:iCs/>
          <w:noProof/>
        </w:rPr>
        <w:t>Genome Res.</w:t>
      </w:r>
      <w:r w:rsidRPr="0059393F">
        <w:rPr>
          <w:noProof/>
        </w:rPr>
        <w:t xml:space="preserve"> </w:t>
      </w:r>
      <w:r w:rsidRPr="0059393F">
        <w:rPr>
          <w:b/>
          <w:bCs/>
          <w:noProof/>
        </w:rPr>
        <w:t>21,</w:t>
      </w:r>
      <w:r w:rsidRPr="0059393F">
        <w:rPr>
          <w:noProof/>
        </w:rPr>
        <w:t xml:space="preserve"> 545–54 (2011).</w:t>
      </w:r>
    </w:p>
    <w:p w:rsidR="0059393F" w:rsidRPr="0059393F" w:rsidRDefault="0059393F">
      <w:pPr>
        <w:pStyle w:val="NormalWeb"/>
        <w:ind w:left="640" w:hanging="640"/>
        <w:divId w:val="666127832"/>
        <w:rPr>
          <w:noProof/>
        </w:rPr>
      </w:pPr>
      <w:r w:rsidRPr="0059393F">
        <w:rPr>
          <w:noProof/>
        </w:rPr>
        <w:t>56.</w:t>
      </w:r>
      <w:r w:rsidRPr="0059393F">
        <w:rPr>
          <w:noProof/>
        </w:rPr>
        <w:tab/>
        <w:t xml:space="preserve">Montgomery, S. B. </w:t>
      </w:r>
      <w:r w:rsidRPr="0059393F">
        <w:rPr>
          <w:i/>
          <w:iCs/>
          <w:noProof/>
        </w:rPr>
        <w:t>et al.</w:t>
      </w:r>
      <w:r w:rsidRPr="0059393F">
        <w:rPr>
          <w:noProof/>
        </w:rPr>
        <w:t xml:space="preserve"> Transcriptome genetics using second generation sequencing in a Caucasian population. </w:t>
      </w:r>
      <w:r w:rsidRPr="0059393F">
        <w:rPr>
          <w:i/>
          <w:iCs/>
          <w:noProof/>
        </w:rPr>
        <w:t>Nature</w:t>
      </w:r>
      <w:r w:rsidRPr="0059393F">
        <w:rPr>
          <w:noProof/>
        </w:rPr>
        <w:t xml:space="preserve"> </w:t>
      </w:r>
      <w:r w:rsidRPr="0059393F">
        <w:rPr>
          <w:b/>
          <w:bCs/>
          <w:noProof/>
        </w:rPr>
        <w:t>464,</w:t>
      </w:r>
      <w:r w:rsidRPr="0059393F">
        <w:rPr>
          <w:noProof/>
        </w:rPr>
        <w:t xml:space="preserve"> 773–7 (2010).</w:t>
      </w:r>
    </w:p>
    <w:p w:rsidR="0059393F" w:rsidRPr="0059393F" w:rsidRDefault="0059393F">
      <w:pPr>
        <w:pStyle w:val="NormalWeb"/>
        <w:ind w:left="640" w:hanging="640"/>
        <w:divId w:val="666127832"/>
        <w:rPr>
          <w:noProof/>
        </w:rPr>
      </w:pPr>
      <w:r w:rsidRPr="0059393F">
        <w:rPr>
          <w:noProof/>
        </w:rPr>
        <w:t>57.</w:t>
      </w:r>
      <w:r w:rsidRPr="0059393F">
        <w:rPr>
          <w:noProof/>
        </w:rPr>
        <w:tab/>
        <w:t xml:space="preserve">McVicker, G. </w:t>
      </w:r>
      <w:r w:rsidRPr="0059393F">
        <w:rPr>
          <w:i/>
          <w:iCs/>
          <w:noProof/>
        </w:rPr>
        <w:t>et al.</w:t>
      </w:r>
      <w:r w:rsidRPr="0059393F">
        <w:rPr>
          <w:noProof/>
        </w:rPr>
        <w:t xml:space="preserve"> Identification of genetic variants that affect histone modifications in human cells. </w:t>
      </w:r>
      <w:r w:rsidRPr="0059393F">
        <w:rPr>
          <w:i/>
          <w:iCs/>
          <w:noProof/>
        </w:rPr>
        <w:t>Science</w:t>
      </w:r>
      <w:r w:rsidRPr="0059393F">
        <w:rPr>
          <w:noProof/>
        </w:rPr>
        <w:t xml:space="preserve"> </w:t>
      </w:r>
      <w:r w:rsidRPr="0059393F">
        <w:rPr>
          <w:b/>
          <w:bCs/>
          <w:noProof/>
        </w:rPr>
        <w:t>342,</w:t>
      </w:r>
      <w:r w:rsidRPr="0059393F">
        <w:rPr>
          <w:noProof/>
        </w:rPr>
        <w:t xml:space="preserve"> 747–9 (2013).</w:t>
      </w:r>
    </w:p>
    <w:p w:rsidR="0059393F" w:rsidRPr="0059393F" w:rsidRDefault="0059393F">
      <w:pPr>
        <w:pStyle w:val="NormalWeb"/>
        <w:ind w:left="640" w:hanging="640"/>
        <w:divId w:val="666127832"/>
        <w:rPr>
          <w:noProof/>
        </w:rPr>
      </w:pPr>
      <w:r w:rsidRPr="0059393F">
        <w:rPr>
          <w:noProof/>
        </w:rPr>
        <w:t>58.</w:t>
      </w:r>
      <w:r w:rsidRPr="0059393F">
        <w:rPr>
          <w:noProof/>
        </w:rPr>
        <w:tab/>
        <w:t xml:space="preserve">Langmead, B., Trapnell, C., Pop, M. &amp; Salzberg, S. L. Ultrafast and memory-efficient alignment of short DNA sequences to the human genome. </w:t>
      </w:r>
      <w:r w:rsidRPr="0059393F">
        <w:rPr>
          <w:i/>
          <w:iCs/>
          <w:noProof/>
        </w:rPr>
        <w:t>Genome Biol.</w:t>
      </w:r>
      <w:r w:rsidRPr="0059393F">
        <w:rPr>
          <w:noProof/>
        </w:rPr>
        <w:t xml:space="preserve"> </w:t>
      </w:r>
      <w:r w:rsidRPr="0059393F">
        <w:rPr>
          <w:b/>
          <w:bCs/>
          <w:noProof/>
        </w:rPr>
        <w:t>10,</w:t>
      </w:r>
      <w:r w:rsidRPr="0059393F">
        <w:rPr>
          <w:noProof/>
        </w:rPr>
        <w:t xml:space="preserve"> R25 (2009).</w:t>
      </w:r>
    </w:p>
    <w:p w:rsidR="0059393F" w:rsidRPr="0059393F" w:rsidRDefault="0059393F">
      <w:pPr>
        <w:pStyle w:val="NormalWeb"/>
        <w:ind w:left="640" w:hanging="640"/>
        <w:divId w:val="666127832"/>
        <w:rPr>
          <w:noProof/>
        </w:rPr>
      </w:pPr>
      <w:r w:rsidRPr="0059393F">
        <w:rPr>
          <w:noProof/>
        </w:rPr>
        <w:t>59.</w:t>
      </w:r>
      <w:r w:rsidRPr="0059393F">
        <w:rPr>
          <w:noProof/>
        </w:rPr>
        <w:tab/>
        <w:t>Yee, T. VGAM: Vector Generalized Linear and Additive Models. (2014). at &lt;http://cran.r-project.org/package=VGAM&gt;</w:t>
      </w:r>
    </w:p>
    <w:p w:rsidR="0059393F" w:rsidRPr="0059393F" w:rsidRDefault="0059393F">
      <w:pPr>
        <w:pStyle w:val="NormalWeb"/>
        <w:ind w:left="640" w:hanging="640"/>
        <w:divId w:val="666127832"/>
        <w:rPr>
          <w:noProof/>
        </w:rPr>
      </w:pPr>
      <w:r w:rsidRPr="0059393F">
        <w:rPr>
          <w:noProof/>
        </w:rPr>
        <w:t>60.</w:t>
      </w:r>
      <w:r w:rsidRPr="0059393F">
        <w:rPr>
          <w:noProof/>
        </w:rPr>
        <w:tab/>
        <w:t xml:space="preserve">Rozowsky, J. </w:t>
      </w:r>
      <w:r w:rsidRPr="0059393F">
        <w:rPr>
          <w:i/>
          <w:iCs/>
          <w:noProof/>
        </w:rPr>
        <w:t>et al.</w:t>
      </w:r>
      <w:r w:rsidRPr="0059393F">
        <w:rPr>
          <w:noProof/>
        </w:rPr>
        <w:t xml:space="preserve"> PeakSeq enables systematic scoring of ChIP-seq experiments relative to controls. </w:t>
      </w:r>
      <w:r w:rsidRPr="0059393F">
        <w:rPr>
          <w:i/>
          <w:iCs/>
          <w:noProof/>
        </w:rPr>
        <w:t>Nat. Biotechnol.</w:t>
      </w:r>
      <w:r w:rsidRPr="0059393F">
        <w:rPr>
          <w:noProof/>
        </w:rPr>
        <w:t xml:space="preserve"> </w:t>
      </w:r>
      <w:r w:rsidRPr="0059393F">
        <w:rPr>
          <w:b/>
          <w:bCs/>
          <w:noProof/>
        </w:rPr>
        <w:t>27,</w:t>
      </w:r>
      <w:r w:rsidRPr="0059393F">
        <w:rPr>
          <w:noProof/>
        </w:rPr>
        <w:t xml:space="preserve"> 66–75 (2009).</w:t>
      </w:r>
    </w:p>
    <w:p w:rsidR="0059393F" w:rsidRPr="0059393F" w:rsidRDefault="0059393F">
      <w:pPr>
        <w:pStyle w:val="NormalWeb"/>
        <w:ind w:left="640" w:hanging="640"/>
        <w:divId w:val="666127832"/>
        <w:rPr>
          <w:noProof/>
        </w:rPr>
      </w:pPr>
      <w:r w:rsidRPr="0059393F">
        <w:rPr>
          <w:noProof/>
        </w:rPr>
        <w:t>61.</w:t>
      </w:r>
      <w:r w:rsidRPr="0059393F">
        <w:rPr>
          <w:noProof/>
        </w:rPr>
        <w:tab/>
        <w:t xml:space="preserve">Robinson, J. T. </w:t>
      </w:r>
      <w:r w:rsidRPr="0059393F">
        <w:rPr>
          <w:i/>
          <w:iCs/>
          <w:noProof/>
        </w:rPr>
        <w:t>et al.</w:t>
      </w:r>
      <w:r w:rsidRPr="0059393F">
        <w:rPr>
          <w:noProof/>
        </w:rPr>
        <w:t xml:space="preserve"> Integrative genomics viewer. </w:t>
      </w:r>
      <w:r w:rsidRPr="0059393F">
        <w:rPr>
          <w:i/>
          <w:iCs/>
          <w:noProof/>
        </w:rPr>
        <w:t>Nat. Biotechnol.</w:t>
      </w:r>
      <w:r w:rsidRPr="0059393F">
        <w:rPr>
          <w:noProof/>
        </w:rPr>
        <w:t xml:space="preserve"> </w:t>
      </w:r>
      <w:r w:rsidRPr="0059393F">
        <w:rPr>
          <w:b/>
          <w:bCs/>
          <w:noProof/>
        </w:rPr>
        <w:t>29,</w:t>
      </w:r>
      <w:r w:rsidRPr="0059393F">
        <w:rPr>
          <w:noProof/>
        </w:rPr>
        <w:t xml:space="preserve"> 24–6 (2011).</w:t>
      </w:r>
    </w:p>
    <w:p w:rsidR="0059393F" w:rsidRPr="0059393F" w:rsidRDefault="0059393F">
      <w:pPr>
        <w:pStyle w:val="NormalWeb"/>
        <w:ind w:left="640" w:hanging="640"/>
        <w:divId w:val="666127832"/>
        <w:rPr>
          <w:noProof/>
        </w:rPr>
      </w:pPr>
      <w:r w:rsidRPr="0059393F">
        <w:rPr>
          <w:noProof/>
        </w:rPr>
        <w:t>62.</w:t>
      </w:r>
      <w:r w:rsidRPr="0059393F">
        <w:rPr>
          <w:noProof/>
        </w:rPr>
        <w:tab/>
        <w:t xml:space="preserve">Visscher, P. M., Hill, W. G. &amp; Wray, N. R. Heritability in the genomics era--concepts and misconceptions. </w:t>
      </w:r>
      <w:r w:rsidRPr="0059393F">
        <w:rPr>
          <w:i/>
          <w:iCs/>
          <w:noProof/>
        </w:rPr>
        <w:t>Nat. Rev. Genet.</w:t>
      </w:r>
      <w:r w:rsidRPr="0059393F">
        <w:rPr>
          <w:noProof/>
        </w:rPr>
        <w:t xml:space="preserve"> </w:t>
      </w:r>
      <w:r w:rsidRPr="0059393F">
        <w:rPr>
          <w:b/>
          <w:bCs/>
          <w:noProof/>
        </w:rPr>
        <w:t>9,</w:t>
      </w:r>
      <w:r w:rsidRPr="0059393F">
        <w:rPr>
          <w:noProof/>
        </w:rPr>
        <w:t xml:space="preserve"> 255–66 (2008).</w:t>
      </w:r>
    </w:p>
    <w:p w:rsidR="0059393F" w:rsidRPr="0059393F" w:rsidRDefault="0059393F">
      <w:pPr>
        <w:pStyle w:val="NormalWeb"/>
        <w:ind w:left="640" w:hanging="640"/>
        <w:divId w:val="666127832"/>
        <w:rPr>
          <w:noProof/>
        </w:rPr>
      </w:pPr>
      <w:r w:rsidRPr="0059393F">
        <w:rPr>
          <w:noProof/>
        </w:rPr>
        <w:t>63.</w:t>
      </w:r>
      <w:r w:rsidRPr="0059393F">
        <w:rPr>
          <w:noProof/>
        </w:rPr>
        <w:tab/>
        <w:t xml:space="preserve">Vaquerizas, J. M., Kummerfeld, S. K., Teichmann, S. A. &amp; Luscombe, N. M. A census of human transcription factors: function, expression and evolution. </w:t>
      </w:r>
      <w:r w:rsidRPr="0059393F">
        <w:rPr>
          <w:i/>
          <w:iCs/>
          <w:noProof/>
        </w:rPr>
        <w:t>Nat. Rev. Genet.</w:t>
      </w:r>
      <w:r w:rsidRPr="0059393F">
        <w:rPr>
          <w:noProof/>
        </w:rPr>
        <w:t xml:space="preserve"> </w:t>
      </w:r>
      <w:r w:rsidRPr="0059393F">
        <w:rPr>
          <w:b/>
          <w:bCs/>
          <w:noProof/>
        </w:rPr>
        <w:t>10,</w:t>
      </w:r>
      <w:r w:rsidRPr="0059393F">
        <w:rPr>
          <w:noProof/>
        </w:rPr>
        <w:t xml:space="preserve"> 252–263 (2009).</w:t>
      </w:r>
    </w:p>
    <w:p w:rsidR="0059393F" w:rsidRPr="0059393F" w:rsidRDefault="0059393F">
      <w:pPr>
        <w:pStyle w:val="NormalWeb"/>
        <w:ind w:left="640" w:hanging="640"/>
        <w:divId w:val="666127832"/>
        <w:rPr>
          <w:noProof/>
        </w:rPr>
      </w:pPr>
      <w:r w:rsidRPr="0059393F">
        <w:rPr>
          <w:noProof/>
        </w:rPr>
        <w:t>64.</w:t>
      </w:r>
      <w:r w:rsidRPr="0059393F">
        <w:rPr>
          <w:noProof/>
        </w:rPr>
        <w:tab/>
        <w:t xml:space="preserve">Gerstein, M. B. </w:t>
      </w:r>
      <w:r w:rsidRPr="0059393F">
        <w:rPr>
          <w:i/>
          <w:iCs/>
          <w:noProof/>
        </w:rPr>
        <w:t>et al.</w:t>
      </w:r>
      <w:r w:rsidRPr="0059393F">
        <w:rPr>
          <w:noProof/>
        </w:rPr>
        <w:t xml:space="preserve"> Architecture of the human regulatory network derived from ENCODE data. </w:t>
      </w:r>
      <w:r w:rsidRPr="0059393F">
        <w:rPr>
          <w:i/>
          <w:iCs/>
          <w:noProof/>
        </w:rPr>
        <w:t>Nature</w:t>
      </w:r>
      <w:r w:rsidRPr="0059393F">
        <w:rPr>
          <w:noProof/>
        </w:rPr>
        <w:t xml:space="preserve"> </w:t>
      </w:r>
      <w:r w:rsidRPr="0059393F">
        <w:rPr>
          <w:b/>
          <w:bCs/>
          <w:noProof/>
        </w:rPr>
        <w:t>489,</w:t>
      </w:r>
      <w:r w:rsidRPr="0059393F">
        <w:rPr>
          <w:noProof/>
        </w:rPr>
        <w:t xml:space="preserve"> 91–100 (2012).</w:t>
      </w:r>
    </w:p>
    <w:p w:rsidR="0059393F" w:rsidRPr="0059393F" w:rsidRDefault="0059393F">
      <w:pPr>
        <w:pStyle w:val="NormalWeb"/>
        <w:ind w:left="640" w:hanging="640"/>
        <w:divId w:val="666127832"/>
        <w:rPr>
          <w:noProof/>
        </w:rPr>
      </w:pPr>
      <w:r w:rsidRPr="0059393F">
        <w:rPr>
          <w:noProof/>
        </w:rPr>
        <w:t>65.</w:t>
      </w:r>
      <w:r w:rsidRPr="0059393F">
        <w:rPr>
          <w:noProof/>
        </w:rPr>
        <w:tab/>
        <w:t xml:space="preserve">Lefranc, M.-P. </w:t>
      </w:r>
      <w:r w:rsidRPr="0059393F">
        <w:rPr>
          <w:i/>
          <w:iCs/>
          <w:noProof/>
        </w:rPr>
        <w:t>et al.</w:t>
      </w:r>
      <w:r w:rsidRPr="0059393F">
        <w:rPr>
          <w:noProof/>
        </w:rPr>
        <w:t xml:space="preserve"> IMGT-Choreography for immunogenetics and immunoinformatics. </w:t>
      </w:r>
      <w:r w:rsidRPr="0059393F">
        <w:rPr>
          <w:i/>
          <w:iCs/>
          <w:noProof/>
        </w:rPr>
        <w:t>In Silico Biol.</w:t>
      </w:r>
      <w:r w:rsidRPr="0059393F">
        <w:rPr>
          <w:noProof/>
        </w:rPr>
        <w:t xml:space="preserve"> </w:t>
      </w:r>
      <w:r w:rsidRPr="0059393F">
        <w:rPr>
          <w:b/>
          <w:bCs/>
          <w:noProof/>
        </w:rPr>
        <w:t>5,</w:t>
      </w:r>
      <w:r w:rsidRPr="0059393F">
        <w:rPr>
          <w:noProof/>
        </w:rPr>
        <w:t xml:space="preserve"> 45–60 (2005).</w:t>
      </w:r>
    </w:p>
    <w:p w:rsidR="0059393F" w:rsidRPr="0059393F" w:rsidRDefault="0059393F">
      <w:pPr>
        <w:pStyle w:val="NormalWeb"/>
        <w:ind w:left="640" w:hanging="640"/>
        <w:divId w:val="666127832"/>
        <w:rPr>
          <w:noProof/>
        </w:rPr>
      </w:pPr>
      <w:r w:rsidRPr="0059393F">
        <w:rPr>
          <w:noProof/>
        </w:rPr>
        <w:t>66.</w:t>
      </w:r>
      <w:r w:rsidRPr="0059393F">
        <w:rPr>
          <w:noProof/>
        </w:rPr>
        <w:tab/>
        <w:t xml:space="preserve">Morison, I. M., Ramsay, J. P. &amp; Spencer, H. G. A census of mammalian imprinting. </w:t>
      </w:r>
      <w:r w:rsidRPr="0059393F">
        <w:rPr>
          <w:i/>
          <w:iCs/>
          <w:noProof/>
        </w:rPr>
        <w:t>Trends Genet.</w:t>
      </w:r>
      <w:r w:rsidRPr="0059393F">
        <w:rPr>
          <w:noProof/>
        </w:rPr>
        <w:t xml:space="preserve"> </w:t>
      </w:r>
      <w:r w:rsidRPr="0059393F">
        <w:rPr>
          <w:b/>
          <w:bCs/>
          <w:noProof/>
        </w:rPr>
        <w:t>21,</w:t>
      </w:r>
      <w:r w:rsidRPr="0059393F">
        <w:rPr>
          <w:noProof/>
        </w:rPr>
        <w:t xml:space="preserve"> 457–65 (2005).</w:t>
      </w:r>
    </w:p>
    <w:p w:rsidR="0059393F" w:rsidRPr="0059393F" w:rsidRDefault="0059393F">
      <w:pPr>
        <w:pStyle w:val="NormalWeb"/>
        <w:ind w:left="640" w:hanging="640"/>
        <w:divId w:val="666127832"/>
        <w:rPr>
          <w:noProof/>
        </w:rPr>
      </w:pPr>
      <w:r w:rsidRPr="0059393F">
        <w:rPr>
          <w:noProof/>
        </w:rPr>
        <w:t>67.</w:t>
      </w:r>
      <w:r w:rsidRPr="0059393F">
        <w:rPr>
          <w:noProof/>
        </w:rPr>
        <w:tab/>
        <w:t>GeneImprint. at &lt;http://www.geneimprint.com/&gt;</w:t>
      </w:r>
    </w:p>
    <w:p w:rsidR="0059393F" w:rsidRPr="0059393F" w:rsidRDefault="0059393F">
      <w:pPr>
        <w:pStyle w:val="NormalWeb"/>
        <w:ind w:left="640" w:hanging="640"/>
        <w:divId w:val="666127832"/>
        <w:rPr>
          <w:noProof/>
        </w:rPr>
      </w:pPr>
      <w:r w:rsidRPr="0059393F">
        <w:rPr>
          <w:noProof/>
        </w:rPr>
        <w:t>68.</w:t>
      </w:r>
      <w:r w:rsidRPr="0059393F">
        <w:rPr>
          <w:noProof/>
        </w:rPr>
        <w:tab/>
        <w:t xml:space="preserve">Lo, H. S. </w:t>
      </w:r>
      <w:r w:rsidRPr="0059393F">
        <w:rPr>
          <w:i/>
          <w:iCs/>
          <w:noProof/>
        </w:rPr>
        <w:t>et al.</w:t>
      </w:r>
      <w:r w:rsidRPr="0059393F">
        <w:rPr>
          <w:noProof/>
        </w:rPr>
        <w:t xml:space="preserve"> Allelic variation in gene expression is common in the human genome. </w:t>
      </w:r>
      <w:r w:rsidRPr="0059393F">
        <w:rPr>
          <w:i/>
          <w:iCs/>
          <w:noProof/>
        </w:rPr>
        <w:t>Genome Res.</w:t>
      </w:r>
      <w:r w:rsidRPr="0059393F">
        <w:rPr>
          <w:noProof/>
        </w:rPr>
        <w:t xml:space="preserve"> </w:t>
      </w:r>
      <w:r w:rsidRPr="0059393F">
        <w:rPr>
          <w:b/>
          <w:bCs/>
          <w:noProof/>
        </w:rPr>
        <w:t>13,</w:t>
      </w:r>
      <w:r w:rsidRPr="0059393F">
        <w:rPr>
          <w:noProof/>
        </w:rPr>
        <w:t xml:space="preserve"> 1855–1862 (2003).</w:t>
      </w:r>
    </w:p>
    <w:p w:rsidR="0059393F" w:rsidRPr="0059393F" w:rsidRDefault="0059393F">
      <w:pPr>
        <w:pStyle w:val="NormalWeb"/>
        <w:ind w:left="640" w:hanging="640"/>
        <w:divId w:val="666127832"/>
        <w:rPr>
          <w:noProof/>
        </w:rPr>
      </w:pPr>
      <w:r w:rsidRPr="0059393F">
        <w:rPr>
          <w:noProof/>
        </w:rPr>
        <w:lastRenderedPageBreak/>
        <w:t>69.</w:t>
      </w:r>
      <w:r w:rsidRPr="0059393F">
        <w:rPr>
          <w:noProof/>
        </w:rPr>
        <w:tab/>
        <w:t xml:space="preserve">Ernst, J. &amp; Kellis, M. ChromHMM: automating chromatin-state discovery and characterization. </w:t>
      </w:r>
      <w:r w:rsidRPr="0059393F">
        <w:rPr>
          <w:i/>
          <w:iCs/>
          <w:noProof/>
        </w:rPr>
        <w:t>Nat. Methods</w:t>
      </w:r>
      <w:r w:rsidRPr="0059393F">
        <w:rPr>
          <w:noProof/>
        </w:rPr>
        <w:t xml:space="preserve"> </w:t>
      </w:r>
      <w:r w:rsidRPr="0059393F">
        <w:rPr>
          <w:b/>
          <w:bCs/>
          <w:noProof/>
        </w:rPr>
        <w:t>9,</w:t>
      </w:r>
      <w:r w:rsidRPr="0059393F">
        <w:rPr>
          <w:noProof/>
        </w:rPr>
        <w:t xml:space="preserve"> 215–6 (2012).</w:t>
      </w:r>
    </w:p>
    <w:p w:rsidR="0059393F" w:rsidRPr="0059393F" w:rsidRDefault="0059393F">
      <w:pPr>
        <w:pStyle w:val="NormalWeb"/>
        <w:ind w:left="640" w:hanging="640"/>
        <w:divId w:val="666127832"/>
        <w:rPr>
          <w:noProof/>
        </w:rPr>
      </w:pPr>
      <w:r w:rsidRPr="0059393F">
        <w:rPr>
          <w:noProof/>
        </w:rPr>
        <w:t>70.</w:t>
      </w:r>
      <w:r w:rsidRPr="0059393F">
        <w:rPr>
          <w:noProof/>
        </w:rPr>
        <w:tab/>
        <w:t xml:space="preserve">Hoffman, M. M. </w:t>
      </w:r>
      <w:r w:rsidRPr="0059393F">
        <w:rPr>
          <w:i/>
          <w:iCs/>
          <w:noProof/>
        </w:rPr>
        <w:t>et al.</w:t>
      </w:r>
      <w:r w:rsidRPr="0059393F">
        <w:rPr>
          <w:noProof/>
        </w:rPr>
        <w:t xml:space="preserve"> Integrative annotation of chromatin elements from ENCODE data. </w:t>
      </w:r>
      <w:r w:rsidRPr="0059393F">
        <w:rPr>
          <w:i/>
          <w:iCs/>
          <w:noProof/>
        </w:rPr>
        <w:t>Nucleic Acids Res.</w:t>
      </w:r>
      <w:r w:rsidRPr="0059393F">
        <w:rPr>
          <w:noProof/>
        </w:rPr>
        <w:t xml:space="preserve"> </w:t>
      </w:r>
      <w:r w:rsidRPr="0059393F">
        <w:rPr>
          <w:b/>
          <w:bCs/>
          <w:noProof/>
        </w:rPr>
        <w:t>41,</w:t>
      </w:r>
      <w:r w:rsidRPr="0059393F">
        <w:rPr>
          <w:noProof/>
        </w:rPr>
        <w:t xml:space="preserve"> 827–41 (2013).</w:t>
      </w:r>
    </w:p>
    <w:p w:rsidR="0059393F" w:rsidRPr="0059393F" w:rsidRDefault="0059393F">
      <w:pPr>
        <w:pStyle w:val="NormalWeb"/>
        <w:ind w:left="640" w:hanging="640"/>
        <w:divId w:val="666127832"/>
        <w:rPr>
          <w:noProof/>
        </w:rPr>
      </w:pPr>
      <w:r w:rsidRPr="0059393F">
        <w:rPr>
          <w:noProof/>
        </w:rPr>
        <w:t>71.</w:t>
      </w:r>
      <w:r w:rsidRPr="0059393F">
        <w:rPr>
          <w:noProof/>
        </w:rPr>
        <w:tab/>
        <w:t xml:space="preserve">Yip, K. Y. </w:t>
      </w:r>
      <w:r w:rsidRPr="0059393F">
        <w:rPr>
          <w:i/>
          <w:iCs/>
          <w:noProof/>
        </w:rPr>
        <w:t>et al.</w:t>
      </w:r>
      <w:r w:rsidRPr="0059393F">
        <w:rPr>
          <w:noProof/>
        </w:rPr>
        <w:t xml:space="preserve"> Classification of human genomic regions based on experimentally determined binding sites of more than 100 transcription-related factors. </w:t>
      </w:r>
      <w:r w:rsidRPr="0059393F">
        <w:rPr>
          <w:i/>
          <w:iCs/>
          <w:noProof/>
        </w:rPr>
        <w:t>Genome Biol.</w:t>
      </w:r>
      <w:r w:rsidRPr="0059393F">
        <w:rPr>
          <w:noProof/>
        </w:rPr>
        <w:t xml:space="preserve"> </w:t>
      </w:r>
      <w:r w:rsidRPr="0059393F">
        <w:rPr>
          <w:b/>
          <w:bCs/>
          <w:noProof/>
        </w:rPr>
        <w:t>13,</w:t>
      </w:r>
      <w:r w:rsidRPr="0059393F">
        <w:rPr>
          <w:noProof/>
        </w:rPr>
        <w:t xml:space="preserve"> R48 (2012).</w:t>
      </w:r>
    </w:p>
    <w:p w:rsidR="0059393F" w:rsidRPr="0059393F" w:rsidRDefault="0059393F">
      <w:pPr>
        <w:pStyle w:val="NormalWeb"/>
        <w:ind w:left="640" w:hanging="640"/>
        <w:divId w:val="666127832"/>
        <w:rPr>
          <w:noProof/>
        </w:rPr>
      </w:pPr>
      <w:r w:rsidRPr="0059393F">
        <w:rPr>
          <w:noProof/>
        </w:rPr>
        <w:t>72.</w:t>
      </w:r>
      <w:r w:rsidRPr="0059393F">
        <w:rPr>
          <w:noProof/>
        </w:rPr>
        <w:tab/>
        <w:t xml:space="preserve">Visel, A., Minovitsky, S., Dubchak, I. &amp; Pennacchio, L. A. VISTA Enhancer Browser--a database of tissue-specific human enhancers. </w:t>
      </w:r>
      <w:r w:rsidRPr="0059393F">
        <w:rPr>
          <w:i/>
          <w:iCs/>
          <w:noProof/>
        </w:rPr>
        <w:t>Nucleic Acids Res.</w:t>
      </w:r>
      <w:r w:rsidRPr="0059393F">
        <w:rPr>
          <w:noProof/>
        </w:rPr>
        <w:t xml:space="preserve"> </w:t>
      </w:r>
      <w:r w:rsidRPr="0059393F">
        <w:rPr>
          <w:b/>
          <w:bCs/>
          <w:noProof/>
        </w:rPr>
        <w:t>35,</w:t>
      </w:r>
      <w:r w:rsidRPr="0059393F">
        <w:rPr>
          <w:noProof/>
        </w:rPr>
        <w:t xml:space="preserve"> D88–92 (2007).</w:t>
      </w:r>
    </w:p>
    <w:p w:rsidR="0059393F" w:rsidRPr="0059393F" w:rsidRDefault="0059393F">
      <w:pPr>
        <w:pStyle w:val="NormalWeb"/>
        <w:ind w:left="640" w:hanging="640"/>
        <w:divId w:val="666127832"/>
        <w:rPr>
          <w:noProof/>
        </w:rPr>
      </w:pPr>
      <w:r w:rsidRPr="0059393F">
        <w:rPr>
          <w:noProof/>
        </w:rPr>
        <w:t>73.</w:t>
      </w:r>
      <w:r w:rsidRPr="0059393F">
        <w:rPr>
          <w:noProof/>
        </w:rPr>
        <w:tab/>
        <w:t xml:space="preserve">Eisenberg, E. &amp; Levanon, E. Y. Human housekeeping genes, revisited. </w:t>
      </w:r>
      <w:r w:rsidRPr="0059393F">
        <w:rPr>
          <w:i/>
          <w:iCs/>
          <w:noProof/>
        </w:rPr>
        <w:t>Trends Genet.</w:t>
      </w:r>
      <w:r w:rsidRPr="0059393F">
        <w:rPr>
          <w:noProof/>
        </w:rPr>
        <w:t xml:space="preserve"> </w:t>
      </w:r>
      <w:r w:rsidRPr="0059393F">
        <w:rPr>
          <w:b/>
          <w:bCs/>
          <w:noProof/>
        </w:rPr>
        <w:t>29,</w:t>
      </w:r>
      <w:r w:rsidRPr="0059393F">
        <w:rPr>
          <w:noProof/>
        </w:rPr>
        <w:t xml:space="preserve"> 569–74 (2013).</w:t>
      </w:r>
    </w:p>
    <w:p w:rsidR="0059393F" w:rsidRPr="0059393F" w:rsidRDefault="0059393F">
      <w:pPr>
        <w:pStyle w:val="NormalWeb"/>
        <w:ind w:left="640" w:hanging="640"/>
        <w:divId w:val="666127832"/>
        <w:rPr>
          <w:noProof/>
        </w:rPr>
      </w:pPr>
      <w:r w:rsidRPr="0059393F">
        <w:rPr>
          <w:noProof/>
        </w:rPr>
        <w:t>74.</w:t>
      </w:r>
      <w:r w:rsidRPr="0059393F">
        <w:rPr>
          <w:noProof/>
        </w:rPr>
        <w:tab/>
        <w:t xml:space="preserve">Kheradpour, P. &amp; Kellis, M. Systematic discovery and characterization of regulatory motifs in ENCODE TF binding experiments. </w:t>
      </w:r>
      <w:r w:rsidRPr="0059393F">
        <w:rPr>
          <w:i/>
          <w:iCs/>
          <w:noProof/>
        </w:rPr>
        <w:t>Nucleic Acids Res.</w:t>
      </w:r>
      <w:r w:rsidRPr="0059393F">
        <w:rPr>
          <w:noProof/>
        </w:rPr>
        <w:t xml:space="preserve"> </w:t>
      </w:r>
      <w:r w:rsidRPr="0059393F">
        <w:rPr>
          <w:b/>
          <w:bCs/>
          <w:noProof/>
        </w:rPr>
        <w:t>42,</w:t>
      </w:r>
      <w:r w:rsidRPr="0059393F">
        <w:rPr>
          <w:noProof/>
        </w:rPr>
        <w:t xml:space="preserve"> 2976–87 (2014).</w:t>
      </w:r>
    </w:p>
    <w:p w:rsidR="0059393F" w:rsidRPr="0059393F" w:rsidRDefault="0059393F">
      <w:pPr>
        <w:pStyle w:val="NormalWeb"/>
        <w:ind w:left="640" w:hanging="640"/>
        <w:divId w:val="666127832"/>
        <w:rPr>
          <w:noProof/>
        </w:rPr>
      </w:pPr>
      <w:r w:rsidRPr="0059393F">
        <w:rPr>
          <w:noProof/>
        </w:rPr>
        <w:t>75.</w:t>
      </w:r>
      <w:r w:rsidRPr="0059393F">
        <w:rPr>
          <w:noProof/>
        </w:rPr>
        <w:tab/>
        <w:t xml:space="preserve">Touzet, H. &amp; Varré, J.-S. Efficient and accurate P-value computation for Position Weight Matrices. </w:t>
      </w:r>
      <w:r w:rsidRPr="0059393F">
        <w:rPr>
          <w:i/>
          <w:iCs/>
          <w:noProof/>
        </w:rPr>
        <w:t>Algorithms Mol. Biol.</w:t>
      </w:r>
      <w:r w:rsidRPr="0059393F">
        <w:rPr>
          <w:noProof/>
        </w:rPr>
        <w:t xml:space="preserve"> </w:t>
      </w:r>
      <w:r w:rsidRPr="0059393F">
        <w:rPr>
          <w:b/>
          <w:bCs/>
          <w:noProof/>
        </w:rPr>
        <w:t>2,</w:t>
      </w:r>
      <w:r w:rsidRPr="0059393F">
        <w:rPr>
          <w:noProof/>
        </w:rPr>
        <w:t xml:space="preserve"> 15 (2007). </w:t>
      </w:r>
    </w:p>
    <w:p w:rsidR="0023377A" w:rsidRDefault="0023377A" w:rsidP="0023377A">
      <w:pPr>
        <w:pStyle w:val="NormalWeb"/>
        <w:ind w:left="480" w:hanging="480"/>
        <w:rPr>
          <w:b/>
          <w:u w:val="single"/>
        </w:rPr>
      </w:pPr>
      <w:r>
        <w:rPr>
          <w:b/>
          <w:u w:val="single"/>
        </w:rPr>
        <w:fldChar w:fldCharType="end"/>
      </w:r>
    </w:p>
    <w:p w:rsidR="0092798C" w:rsidRDefault="0092798C" w:rsidP="0023377A">
      <w:pPr>
        <w:pStyle w:val="NormalWeb"/>
        <w:ind w:left="480" w:hanging="480"/>
        <w:rPr>
          <w:b/>
          <w:u w:val="single"/>
        </w:rPr>
      </w:pPr>
      <w:r>
        <w:rPr>
          <w:b/>
          <w:u w:val="single"/>
        </w:rPr>
        <w:t>TABLE LEGEND</w:t>
      </w:r>
    </w:p>
    <w:p w:rsidR="0092798C" w:rsidRPr="00F32397" w:rsidRDefault="0092798C" w:rsidP="0092798C">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rsidR="0092798C" w:rsidRDefault="0092798C" w:rsidP="00C974CA">
      <w:pPr>
        <w:spacing w:after="0" w:line="240" w:lineRule="auto"/>
        <w:rPr>
          <w:rFonts w:ascii="Times New Roman" w:hAnsi="Times New Roman" w:cs="Times New Roman"/>
          <w:b/>
          <w:sz w:val="24"/>
          <w:szCs w:val="24"/>
          <w:u w:val="single"/>
        </w:rPr>
      </w:pP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 (2b) </w:t>
      </w:r>
      <w:proofErr w:type="gramStart"/>
      <w:r w:rsidRPr="00F32397">
        <w:rPr>
          <w:rFonts w:ascii="Times New Roman" w:hAnsi="Times New Roman" w:cs="Times New Roman"/>
          <w:sz w:val="24"/>
          <w:szCs w:val="24"/>
        </w:rPr>
        <w:t>The</w:t>
      </w:r>
      <w:proofErr w:type="gramEnd"/>
      <w:r w:rsidRPr="00F32397">
        <w:rPr>
          <w:rFonts w:ascii="Times New Roman" w:hAnsi="Times New Roman" w:cs="Times New Roman"/>
          <w:sz w:val="24"/>
          <w:szCs w:val="24"/>
        </w:rPr>
        <w:t xml:space="preserve"> resultant datasets are pooled and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is estimated based on the pooled datasets. To determine if a heterozygous SNV is allele-specific (allele-specific), the numbers of reads that map to either allele is being compared. A statistical significance is computed (after multiple hypothesis test correction) based on the beta-binomial </w:t>
      </w:r>
      <w:r w:rsidRPr="00F32397">
        <w:rPr>
          <w:rFonts w:ascii="Times New Roman" w:hAnsi="Times New Roman" w:cs="Times New Roman"/>
          <w:sz w:val="24"/>
          <w:szCs w:val="24"/>
        </w:rPr>
        <w:lastRenderedPageBreak/>
        <w:t xml:space="preserve">test using the ‘pooled’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in Step 2b 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w:t>
      </w:r>
      <w:r w:rsidRPr="00F32397">
        <w:rPr>
          <w:rFonts w:ascii="Times New Roman" w:hAnsi="Times New Roman" w:cs="Times New Roman"/>
          <w:sz w:val="24"/>
          <w:szCs w:val="24"/>
        </w:rPr>
        <w:lastRenderedPageBreak/>
        <w:t xml:space="preserve">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non-ASE SNVs (blue open circle) are plotted at a bin size of 100. The peaks are in the bin for MAF ≤ 0.5%. The inset zooms in on the histogram at MAF ≤ 2.5%. The proportion of rare variants in descending order: ASE- &gt; ASE+ &gt; ASB+ &gt; ASB-. Comparing ASE+ to ASE- gives an odds ratio of 0.2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xml:space="preserve">, there is a consistent depletion in ASE SNVs for </w:t>
      </w:r>
      <w:r w:rsidRPr="00F32397">
        <w:rPr>
          <w:rFonts w:ascii="Times New Roman" w:hAnsi="Times New Roman" w:cs="Times New Roman"/>
          <w:sz w:val="24"/>
          <w:szCs w:val="24"/>
        </w:rPr>
        <w:lastRenderedPageBreak/>
        <w:t>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(Figure 5).</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Excel file contains the ASB ‘collapsed’ and ‘expanded’ enrichment analyses in promoter regions for 44 TFs used in our database, including the Fisher’s exact test odds ratios, p-values (original,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Word file contains the R pseudocode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sets of more confident ASB and ASE SNVs. For the more confident 2,394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183 ASB SNVs are defined by having ≥ 3 individuals possessing that ASB SNV, regardless of the 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"&lt;sup&gt;68&lt;/sup&gt;"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7C" w:rsidRDefault="00541E7C">
      <w:pPr>
        <w:spacing w:after="0" w:line="240" w:lineRule="auto"/>
      </w:pPr>
      <w:r>
        <w:separator/>
      </w:r>
    </w:p>
  </w:endnote>
  <w:endnote w:type="continuationSeparator" w:id="0">
    <w:p w:rsidR="00541E7C" w:rsidRDefault="0054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2917EE" w:rsidRDefault="002917EE">
        <w:pPr>
          <w:pStyle w:val="Footer"/>
          <w:jc w:val="right"/>
        </w:pPr>
        <w:r>
          <w:fldChar w:fldCharType="begin"/>
        </w:r>
        <w:r>
          <w:instrText xml:space="preserve"> PAGE   \* MERGEFORMAT </w:instrText>
        </w:r>
        <w:r>
          <w:fldChar w:fldCharType="separate"/>
        </w:r>
        <w:r w:rsidR="004B6DB6">
          <w:rPr>
            <w:noProof/>
          </w:rPr>
          <w:t>20</w:t>
        </w:r>
        <w:r>
          <w:rPr>
            <w:noProof/>
          </w:rPr>
          <w:fldChar w:fldCharType="end"/>
        </w:r>
      </w:p>
    </w:sdtContent>
  </w:sdt>
  <w:p w:rsidR="002917EE" w:rsidRDefault="00291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7C" w:rsidRDefault="00541E7C">
      <w:pPr>
        <w:spacing w:after="0" w:line="240" w:lineRule="auto"/>
      </w:pPr>
      <w:r>
        <w:separator/>
      </w:r>
    </w:p>
  </w:footnote>
  <w:footnote w:type="continuationSeparator" w:id="0">
    <w:p w:rsidR="00541E7C" w:rsidRDefault="00541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0AB"/>
    <w:rsid w:val="0003768F"/>
    <w:rsid w:val="00037A16"/>
    <w:rsid w:val="0004145F"/>
    <w:rsid w:val="00043AE6"/>
    <w:rsid w:val="0004425C"/>
    <w:rsid w:val="000445E7"/>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8DB"/>
    <w:rsid w:val="000A4F30"/>
    <w:rsid w:val="000B279F"/>
    <w:rsid w:val="000B2FE9"/>
    <w:rsid w:val="000B72B1"/>
    <w:rsid w:val="000B764C"/>
    <w:rsid w:val="000C02A7"/>
    <w:rsid w:val="000C05BF"/>
    <w:rsid w:val="000C19CC"/>
    <w:rsid w:val="000C3D88"/>
    <w:rsid w:val="000C579E"/>
    <w:rsid w:val="000C58CB"/>
    <w:rsid w:val="000C7E00"/>
    <w:rsid w:val="000D0A09"/>
    <w:rsid w:val="000D23E0"/>
    <w:rsid w:val="000D300A"/>
    <w:rsid w:val="000D3EA7"/>
    <w:rsid w:val="000D597E"/>
    <w:rsid w:val="000D7161"/>
    <w:rsid w:val="000D750A"/>
    <w:rsid w:val="000E1E9C"/>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646BD"/>
    <w:rsid w:val="00164CE8"/>
    <w:rsid w:val="00165BDC"/>
    <w:rsid w:val="0016707A"/>
    <w:rsid w:val="00171275"/>
    <w:rsid w:val="0017204F"/>
    <w:rsid w:val="0017298A"/>
    <w:rsid w:val="00173ACE"/>
    <w:rsid w:val="00183CE0"/>
    <w:rsid w:val="00185B0E"/>
    <w:rsid w:val="00185C80"/>
    <w:rsid w:val="001861CC"/>
    <w:rsid w:val="00194446"/>
    <w:rsid w:val="00194545"/>
    <w:rsid w:val="00197576"/>
    <w:rsid w:val="001A54C6"/>
    <w:rsid w:val="001A5EB3"/>
    <w:rsid w:val="001A7BE8"/>
    <w:rsid w:val="001B0713"/>
    <w:rsid w:val="001B0A3C"/>
    <w:rsid w:val="001B1930"/>
    <w:rsid w:val="001B4A66"/>
    <w:rsid w:val="001B6446"/>
    <w:rsid w:val="001B67ED"/>
    <w:rsid w:val="001B7DAA"/>
    <w:rsid w:val="001C061D"/>
    <w:rsid w:val="001C1DE5"/>
    <w:rsid w:val="001C3CA8"/>
    <w:rsid w:val="001D0702"/>
    <w:rsid w:val="001D273D"/>
    <w:rsid w:val="001D6208"/>
    <w:rsid w:val="001D73E9"/>
    <w:rsid w:val="001E1213"/>
    <w:rsid w:val="001E338A"/>
    <w:rsid w:val="001F1569"/>
    <w:rsid w:val="001F3B8D"/>
    <w:rsid w:val="001F6FE2"/>
    <w:rsid w:val="00201C13"/>
    <w:rsid w:val="00204095"/>
    <w:rsid w:val="0020742D"/>
    <w:rsid w:val="00207DC6"/>
    <w:rsid w:val="00211D2C"/>
    <w:rsid w:val="00217A80"/>
    <w:rsid w:val="0022179E"/>
    <w:rsid w:val="0022302C"/>
    <w:rsid w:val="00227674"/>
    <w:rsid w:val="00227CFF"/>
    <w:rsid w:val="00230E4B"/>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A1A4A"/>
    <w:rsid w:val="002A2C23"/>
    <w:rsid w:val="002A3489"/>
    <w:rsid w:val="002A5AA4"/>
    <w:rsid w:val="002A6AA9"/>
    <w:rsid w:val="002A7DE3"/>
    <w:rsid w:val="002C08F0"/>
    <w:rsid w:val="002C0948"/>
    <w:rsid w:val="002C23C2"/>
    <w:rsid w:val="002C4BC9"/>
    <w:rsid w:val="002C4C1A"/>
    <w:rsid w:val="002C5D85"/>
    <w:rsid w:val="002C5FFF"/>
    <w:rsid w:val="002C60C1"/>
    <w:rsid w:val="002D1102"/>
    <w:rsid w:val="002D3EA0"/>
    <w:rsid w:val="002D70FB"/>
    <w:rsid w:val="002E4159"/>
    <w:rsid w:val="002E71F8"/>
    <w:rsid w:val="002F08EC"/>
    <w:rsid w:val="002F0C93"/>
    <w:rsid w:val="002F1581"/>
    <w:rsid w:val="002F42DB"/>
    <w:rsid w:val="002F53AF"/>
    <w:rsid w:val="002F5EEB"/>
    <w:rsid w:val="002F7530"/>
    <w:rsid w:val="002F7944"/>
    <w:rsid w:val="002F7CED"/>
    <w:rsid w:val="00300809"/>
    <w:rsid w:val="00300C73"/>
    <w:rsid w:val="00307176"/>
    <w:rsid w:val="00307D80"/>
    <w:rsid w:val="003131A0"/>
    <w:rsid w:val="00313AAD"/>
    <w:rsid w:val="003212C9"/>
    <w:rsid w:val="00322A8C"/>
    <w:rsid w:val="003236E7"/>
    <w:rsid w:val="003278F7"/>
    <w:rsid w:val="003322F2"/>
    <w:rsid w:val="003420DC"/>
    <w:rsid w:val="00343445"/>
    <w:rsid w:val="003515D6"/>
    <w:rsid w:val="003522DE"/>
    <w:rsid w:val="00357C15"/>
    <w:rsid w:val="00360ABA"/>
    <w:rsid w:val="00360FE5"/>
    <w:rsid w:val="00361DD4"/>
    <w:rsid w:val="003634B4"/>
    <w:rsid w:val="00363CDF"/>
    <w:rsid w:val="0036638E"/>
    <w:rsid w:val="00366406"/>
    <w:rsid w:val="00371C13"/>
    <w:rsid w:val="0037408D"/>
    <w:rsid w:val="00380F2E"/>
    <w:rsid w:val="003810A2"/>
    <w:rsid w:val="003873E9"/>
    <w:rsid w:val="00394537"/>
    <w:rsid w:val="0039542B"/>
    <w:rsid w:val="00395A95"/>
    <w:rsid w:val="003A27E1"/>
    <w:rsid w:val="003A2DD4"/>
    <w:rsid w:val="003A79E9"/>
    <w:rsid w:val="003B0B96"/>
    <w:rsid w:val="003B4C75"/>
    <w:rsid w:val="003B4DFF"/>
    <w:rsid w:val="003B58E6"/>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40DB"/>
    <w:rsid w:val="004949CF"/>
    <w:rsid w:val="00494C81"/>
    <w:rsid w:val="00495FD4"/>
    <w:rsid w:val="004972C7"/>
    <w:rsid w:val="004A1A16"/>
    <w:rsid w:val="004A277B"/>
    <w:rsid w:val="004B12A0"/>
    <w:rsid w:val="004B6DB6"/>
    <w:rsid w:val="004C07E0"/>
    <w:rsid w:val="004C250D"/>
    <w:rsid w:val="004C2B7A"/>
    <w:rsid w:val="004C3D6F"/>
    <w:rsid w:val="004C506E"/>
    <w:rsid w:val="004C560D"/>
    <w:rsid w:val="004C67E1"/>
    <w:rsid w:val="004E03BC"/>
    <w:rsid w:val="004E03DA"/>
    <w:rsid w:val="004E4887"/>
    <w:rsid w:val="004E4C30"/>
    <w:rsid w:val="004E7A6B"/>
    <w:rsid w:val="004F2E42"/>
    <w:rsid w:val="004F4189"/>
    <w:rsid w:val="00504488"/>
    <w:rsid w:val="005110C5"/>
    <w:rsid w:val="00514B06"/>
    <w:rsid w:val="005172D7"/>
    <w:rsid w:val="00517520"/>
    <w:rsid w:val="00517B2A"/>
    <w:rsid w:val="00522AF2"/>
    <w:rsid w:val="00541E7C"/>
    <w:rsid w:val="00543F31"/>
    <w:rsid w:val="00551BDA"/>
    <w:rsid w:val="005572C3"/>
    <w:rsid w:val="00557BD4"/>
    <w:rsid w:val="00560AED"/>
    <w:rsid w:val="005659EE"/>
    <w:rsid w:val="00571B43"/>
    <w:rsid w:val="00581E33"/>
    <w:rsid w:val="00586CEC"/>
    <w:rsid w:val="005870D5"/>
    <w:rsid w:val="0059393F"/>
    <w:rsid w:val="00597694"/>
    <w:rsid w:val="00597A24"/>
    <w:rsid w:val="00597B22"/>
    <w:rsid w:val="005A14AF"/>
    <w:rsid w:val="005A41D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359B"/>
    <w:rsid w:val="006147AA"/>
    <w:rsid w:val="00615AC4"/>
    <w:rsid w:val="00617A08"/>
    <w:rsid w:val="00627820"/>
    <w:rsid w:val="00627A18"/>
    <w:rsid w:val="00627BBE"/>
    <w:rsid w:val="006355AE"/>
    <w:rsid w:val="0063613A"/>
    <w:rsid w:val="0064676C"/>
    <w:rsid w:val="006538C6"/>
    <w:rsid w:val="00653C4E"/>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A0E21"/>
    <w:rsid w:val="006A1B68"/>
    <w:rsid w:val="006A438D"/>
    <w:rsid w:val="006A5035"/>
    <w:rsid w:val="006A7B8D"/>
    <w:rsid w:val="006B22A6"/>
    <w:rsid w:val="006C2AAD"/>
    <w:rsid w:val="006C3072"/>
    <w:rsid w:val="006C508B"/>
    <w:rsid w:val="006C5143"/>
    <w:rsid w:val="006C7740"/>
    <w:rsid w:val="006D036C"/>
    <w:rsid w:val="006D0FC0"/>
    <w:rsid w:val="006D4465"/>
    <w:rsid w:val="006D5810"/>
    <w:rsid w:val="006D6A68"/>
    <w:rsid w:val="006D6AF2"/>
    <w:rsid w:val="006E2C3B"/>
    <w:rsid w:val="006E31B3"/>
    <w:rsid w:val="006E364C"/>
    <w:rsid w:val="006E5D7D"/>
    <w:rsid w:val="006F13AC"/>
    <w:rsid w:val="006F2AA6"/>
    <w:rsid w:val="006F4231"/>
    <w:rsid w:val="006F53E1"/>
    <w:rsid w:val="007007C0"/>
    <w:rsid w:val="00702854"/>
    <w:rsid w:val="00703F52"/>
    <w:rsid w:val="00704A64"/>
    <w:rsid w:val="00704C04"/>
    <w:rsid w:val="00704EBF"/>
    <w:rsid w:val="0070741F"/>
    <w:rsid w:val="00711774"/>
    <w:rsid w:val="00711FF9"/>
    <w:rsid w:val="007129F3"/>
    <w:rsid w:val="00713714"/>
    <w:rsid w:val="00722344"/>
    <w:rsid w:val="0072697E"/>
    <w:rsid w:val="0073225B"/>
    <w:rsid w:val="00732E1F"/>
    <w:rsid w:val="007351E9"/>
    <w:rsid w:val="0073700A"/>
    <w:rsid w:val="00742C59"/>
    <w:rsid w:val="00745834"/>
    <w:rsid w:val="007471D0"/>
    <w:rsid w:val="00750882"/>
    <w:rsid w:val="0075470D"/>
    <w:rsid w:val="00755247"/>
    <w:rsid w:val="00756FC7"/>
    <w:rsid w:val="00757A54"/>
    <w:rsid w:val="00760410"/>
    <w:rsid w:val="00764E01"/>
    <w:rsid w:val="007665DD"/>
    <w:rsid w:val="00772FBA"/>
    <w:rsid w:val="007749FA"/>
    <w:rsid w:val="0077715D"/>
    <w:rsid w:val="00781E31"/>
    <w:rsid w:val="007850AB"/>
    <w:rsid w:val="00787002"/>
    <w:rsid w:val="00796B33"/>
    <w:rsid w:val="007A2B04"/>
    <w:rsid w:val="007A4483"/>
    <w:rsid w:val="007A744F"/>
    <w:rsid w:val="007B1364"/>
    <w:rsid w:val="007B24E8"/>
    <w:rsid w:val="007B2664"/>
    <w:rsid w:val="007B49D2"/>
    <w:rsid w:val="007D2F77"/>
    <w:rsid w:val="007D4ABA"/>
    <w:rsid w:val="007E1D13"/>
    <w:rsid w:val="007E5305"/>
    <w:rsid w:val="007F050C"/>
    <w:rsid w:val="007F0E76"/>
    <w:rsid w:val="007F4276"/>
    <w:rsid w:val="007F59F7"/>
    <w:rsid w:val="007F7558"/>
    <w:rsid w:val="007F785B"/>
    <w:rsid w:val="008011A8"/>
    <w:rsid w:val="008025A1"/>
    <w:rsid w:val="00803385"/>
    <w:rsid w:val="00804756"/>
    <w:rsid w:val="0080562A"/>
    <w:rsid w:val="00814C7F"/>
    <w:rsid w:val="00815F77"/>
    <w:rsid w:val="00821D6D"/>
    <w:rsid w:val="00821EFD"/>
    <w:rsid w:val="008226DD"/>
    <w:rsid w:val="00825561"/>
    <w:rsid w:val="0082569D"/>
    <w:rsid w:val="00826439"/>
    <w:rsid w:val="0082771B"/>
    <w:rsid w:val="008415B7"/>
    <w:rsid w:val="00847443"/>
    <w:rsid w:val="00847F19"/>
    <w:rsid w:val="00851334"/>
    <w:rsid w:val="00851B4E"/>
    <w:rsid w:val="00852E6B"/>
    <w:rsid w:val="008633E3"/>
    <w:rsid w:val="00865C09"/>
    <w:rsid w:val="00865FCF"/>
    <w:rsid w:val="008734B7"/>
    <w:rsid w:val="00883A19"/>
    <w:rsid w:val="008924D4"/>
    <w:rsid w:val="008952E7"/>
    <w:rsid w:val="00897644"/>
    <w:rsid w:val="00897F0F"/>
    <w:rsid w:val="008A046A"/>
    <w:rsid w:val="008A3183"/>
    <w:rsid w:val="008A696D"/>
    <w:rsid w:val="008B0874"/>
    <w:rsid w:val="008B141B"/>
    <w:rsid w:val="008B32AA"/>
    <w:rsid w:val="008B3C89"/>
    <w:rsid w:val="008C4325"/>
    <w:rsid w:val="008C5085"/>
    <w:rsid w:val="008C7759"/>
    <w:rsid w:val="008D200B"/>
    <w:rsid w:val="008D4375"/>
    <w:rsid w:val="008D5BF7"/>
    <w:rsid w:val="008D6DC1"/>
    <w:rsid w:val="008E00BC"/>
    <w:rsid w:val="008E2032"/>
    <w:rsid w:val="008E308F"/>
    <w:rsid w:val="008E4A05"/>
    <w:rsid w:val="008F1BF9"/>
    <w:rsid w:val="008F2A87"/>
    <w:rsid w:val="008F5941"/>
    <w:rsid w:val="008F6489"/>
    <w:rsid w:val="009064AE"/>
    <w:rsid w:val="009166C9"/>
    <w:rsid w:val="00922058"/>
    <w:rsid w:val="00923985"/>
    <w:rsid w:val="00923C0B"/>
    <w:rsid w:val="00925C46"/>
    <w:rsid w:val="00926AE1"/>
    <w:rsid w:val="0092798C"/>
    <w:rsid w:val="00931B6E"/>
    <w:rsid w:val="009321C4"/>
    <w:rsid w:val="0093378E"/>
    <w:rsid w:val="009408E0"/>
    <w:rsid w:val="00943075"/>
    <w:rsid w:val="009455DD"/>
    <w:rsid w:val="00947363"/>
    <w:rsid w:val="0094743C"/>
    <w:rsid w:val="009511BD"/>
    <w:rsid w:val="00951E23"/>
    <w:rsid w:val="009572CA"/>
    <w:rsid w:val="0096017C"/>
    <w:rsid w:val="00964328"/>
    <w:rsid w:val="0096477C"/>
    <w:rsid w:val="00965649"/>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600E7"/>
    <w:rsid w:val="00A62F37"/>
    <w:rsid w:val="00A64ED6"/>
    <w:rsid w:val="00A65144"/>
    <w:rsid w:val="00A65EFD"/>
    <w:rsid w:val="00A729E8"/>
    <w:rsid w:val="00A740F9"/>
    <w:rsid w:val="00A81329"/>
    <w:rsid w:val="00A84974"/>
    <w:rsid w:val="00A913F8"/>
    <w:rsid w:val="00A91ACE"/>
    <w:rsid w:val="00A92485"/>
    <w:rsid w:val="00A9389A"/>
    <w:rsid w:val="00A93A17"/>
    <w:rsid w:val="00A93BB0"/>
    <w:rsid w:val="00A94AA4"/>
    <w:rsid w:val="00A9583A"/>
    <w:rsid w:val="00AA62D9"/>
    <w:rsid w:val="00AA686A"/>
    <w:rsid w:val="00AA6E04"/>
    <w:rsid w:val="00AA743C"/>
    <w:rsid w:val="00AB13FB"/>
    <w:rsid w:val="00AB32F7"/>
    <w:rsid w:val="00AB38ED"/>
    <w:rsid w:val="00AC0EFF"/>
    <w:rsid w:val="00AC30C8"/>
    <w:rsid w:val="00AD150C"/>
    <w:rsid w:val="00AD1C5B"/>
    <w:rsid w:val="00AD35DB"/>
    <w:rsid w:val="00AD47F2"/>
    <w:rsid w:val="00AD4BF5"/>
    <w:rsid w:val="00AD5570"/>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538D4"/>
    <w:rsid w:val="00B55ADF"/>
    <w:rsid w:val="00B6357D"/>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3373"/>
    <w:rsid w:val="00BC6CB2"/>
    <w:rsid w:val="00BC74CA"/>
    <w:rsid w:val="00BD3122"/>
    <w:rsid w:val="00BD34B7"/>
    <w:rsid w:val="00BD55E1"/>
    <w:rsid w:val="00BD6B6F"/>
    <w:rsid w:val="00BE0490"/>
    <w:rsid w:val="00BE0CD2"/>
    <w:rsid w:val="00BE1E00"/>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71C7"/>
    <w:rsid w:val="00C974CA"/>
    <w:rsid w:val="00C97577"/>
    <w:rsid w:val="00C976FD"/>
    <w:rsid w:val="00CA3741"/>
    <w:rsid w:val="00CA7F25"/>
    <w:rsid w:val="00CB1FCD"/>
    <w:rsid w:val="00CB671E"/>
    <w:rsid w:val="00CC18E3"/>
    <w:rsid w:val="00CC390A"/>
    <w:rsid w:val="00CD31C7"/>
    <w:rsid w:val="00CD5021"/>
    <w:rsid w:val="00CD7184"/>
    <w:rsid w:val="00CE2230"/>
    <w:rsid w:val="00CE32A3"/>
    <w:rsid w:val="00CE5367"/>
    <w:rsid w:val="00CF1DF9"/>
    <w:rsid w:val="00CF2042"/>
    <w:rsid w:val="00CF4B51"/>
    <w:rsid w:val="00D0457C"/>
    <w:rsid w:val="00D06222"/>
    <w:rsid w:val="00D063E1"/>
    <w:rsid w:val="00D06B02"/>
    <w:rsid w:val="00D10B0F"/>
    <w:rsid w:val="00D11ACB"/>
    <w:rsid w:val="00D1515C"/>
    <w:rsid w:val="00D16AFF"/>
    <w:rsid w:val="00D17915"/>
    <w:rsid w:val="00D24D7D"/>
    <w:rsid w:val="00D318BC"/>
    <w:rsid w:val="00D3192D"/>
    <w:rsid w:val="00D31C2A"/>
    <w:rsid w:val="00D3602B"/>
    <w:rsid w:val="00D4214F"/>
    <w:rsid w:val="00D433F1"/>
    <w:rsid w:val="00D45945"/>
    <w:rsid w:val="00D45948"/>
    <w:rsid w:val="00D4787E"/>
    <w:rsid w:val="00D51958"/>
    <w:rsid w:val="00D6478E"/>
    <w:rsid w:val="00D66D47"/>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5BBD"/>
    <w:rsid w:val="00DB79CD"/>
    <w:rsid w:val="00DC2812"/>
    <w:rsid w:val="00DC2D25"/>
    <w:rsid w:val="00DC38AF"/>
    <w:rsid w:val="00DD4D13"/>
    <w:rsid w:val="00DD6562"/>
    <w:rsid w:val="00DE05E8"/>
    <w:rsid w:val="00DE0E63"/>
    <w:rsid w:val="00DE24F9"/>
    <w:rsid w:val="00DE2596"/>
    <w:rsid w:val="00DE3014"/>
    <w:rsid w:val="00DE45CA"/>
    <w:rsid w:val="00DE5EF2"/>
    <w:rsid w:val="00DF0EA0"/>
    <w:rsid w:val="00DF279B"/>
    <w:rsid w:val="00E001A2"/>
    <w:rsid w:val="00E0074B"/>
    <w:rsid w:val="00E00E07"/>
    <w:rsid w:val="00E05073"/>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C68"/>
    <w:rsid w:val="00EA170A"/>
    <w:rsid w:val="00EA22AC"/>
    <w:rsid w:val="00EA3EB2"/>
    <w:rsid w:val="00EA49E9"/>
    <w:rsid w:val="00EA5BDE"/>
    <w:rsid w:val="00EA71E2"/>
    <w:rsid w:val="00EA786A"/>
    <w:rsid w:val="00EB1C1B"/>
    <w:rsid w:val="00EB3334"/>
    <w:rsid w:val="00EB668B"/>
    <w:rsid w:val="00EB67E9"/>
    <w:rsid w:val="00EB7856"/>
    <w:rsid w:val="00EC3812"/>
    <w:rsid w:val="00EC4EB1"/>
    <w:rsid w:val="00ED01AA"/>
    <w:rsid w:val="00EE1149"/>
    <w:rsid w:val="00EE26B5"/>
    <w:rsid w:val="00EE382C"/>
    <w:rsid w:val="00EE4064"/>
    <w:rsid w:val="00EE40C1"/>
    <w:rsid w:val="00EE7B46"/>
    <w:rsid w:val="00EF0848"/>
    <w:rsid w:val="00EF0E23"/>
    <w:rsid w:val="00EF2396"/>
    <w:rsid w:val="00EF6C7E"/>
    <w:rsid w:val="00F05AEA"/>
    <w:rsid w:val="00F06650"/>
    <w:rsid w:val="00F171F7"/>
    <w:rsid w:val="00F201F5"/>
    <w:rsid w:val="00F22891"/>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4BD7"/>
    <w:rsid w:val="00FB54C1"/>
    <w:rsid w:val="00FC2911"/>
    <w:rsid w:val="00FC3C12"/>
    <w:rsid w:val="00FC4BFD"/>
    <w:rsid w:val="00FC69C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25CC-A2AC-4610-A713-7F59634C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23</Pages>
  <Words>66880</Words>
  <Characters>381221</Characters>
  <Application>Microsoft Office Word</Application>
  <DocSecurity>0</DocSecurity>
  <Lines>3176</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25</cp:revision>
  <dcterms:created xsi:type="dcterms:W3CDTF">2015-06-27T05:20:00Z</dcterms:created>
  <dcterms:modified xsi:type="dcterms:W3CDTF">2015-06-30T21:32:00Z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