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A3568DA" w14:textId="77777777" w:rsidR="001C1CA7" w:rsidRDefault="001C1CA7" w:rsidP="001C1CA7">
      <w:pPr>
        <w:pStyle w:val="Heading1"/>
        <w:spacing w:before="480" w:after="120" w:line="240" w:lineRule="auto"/>
        <w:contextualSpacing w:val="0"/>
      </w:pPr>
      <w:bookmarkStart w:id="0" w:name="h.9ox0twrkckfh" w:colFirst="0" w:colLast="0"/>
      <w:bookmarkEnd w:id="0"/>
      <w:r>
        <w:rPr>
          <w:rFonts w:ascii="Arial" w:eastAsia="Arial" w:hAnsi="Arial" w:cs="Arial"/>
          <w:b/>
          <w:sz w:val="46"/>
        </w:rPr>
        <w:t>Prioritizing rare variants associated with cancer using non-coding annotation</w:t>
      </w:r>
    </w:p>
    <w:p w14:paraId="2E044BFD" w14:textId="77777777" w:rsidR="001C1CA7" w:rsidRDefault="001C1CA7" w:rsidP="001C1CA7">
      <w:pPr>
        <w:pStyle w:val="normal0"/>
        <w:spacing w:line="240" w:lineRule="auto"/>
        <w:rPr>
          <w:rFonts w:ascii="Georgia" w:eastAsia="Georgia" w:hAnsi="Georgia" w:cs="Georgia"/>
        </w:rPr>
      </w:pPr>
    </w:p>
    <w:p w14:paraId="75E3E5C0" w14:textId="77777777" w:rsidR="001C1CA7" w:rsidRDefault="001C1CA7" w:rsidP="001C1CA7">
      <w:pPr>
        <w:pStyle w:val="normal0"/>
        <w:spacing w:line="240" w:lineRule="auto"/>
        <w:rPr>
          <w:rFonts w:ascii="Georgia" w:eastAsia="Georgia" w:hAnsi="Georgia" w:cs="Georgia"/>
        </w:rPr>
      </w:pPr>
    </w:p>
    <w:p w14:paraId="42F1E379" w14:textId="77777777" w:rsidR="001C1CA7" w:rsidRDefault="001C1CA7" w:rsidP="001C1CA7">
      <w:pPr>
        <w:pStyle w:val="normal0"/>
        <w:spacing w:line="240" w:lineRule="auto"/>
        <w:rPr>
          <w:rFonts w:ascii="Georgia" w:eastAsia="Georgia" w:hAnsi="Georgia" w:cs="Georgia"/>
        </w:rPr>
      </w:pPr>
    </w:p>
    <w:p w14:paraId="54B06203" w14:textId="77777777" w:rsidR="001C1CA7" w:rsidRDefault="001C1CA7" w:rsidP="001C1CA7">
      <w:pPr>
        <w:pStyle w:val="normal0"/>
        <w:spacing w:line="240" w:lineRule="auto"/>
        <w:rPr>
          <w:rFonts w:ascii="Georgia" w:eastAsia="Georgia" w:hAnsi="Georgia" w:cs="Georgia"/>
        </w:rPr>
      </w:pPr>
    </w:p>
    <w:p w14:paraId="0DACEAC1" w14:textId="77777777" w:rsidR="001C1CA7" w:rsidRDefault="001C1CA7" w:rsidP="001C1CA7">
      <w:pPr>
        <w:pStyle w:val="normal0"/>
        <w:spacing w:line="240" w:lineRule="auto"/>
        <w:rPr>
          <w:rFonts w:ascii="Georgia" w:eastAsia="Georgia" w:hAnsi="Georgia" w:cs="Georgia"/>
        </w:rPr>
      </w:pPr>
    </w:p>
    <w:p w14:paraId="3DB6A38A" w14:textId="77777777" w:rsidR="001C1CA7" w:rsidRDefault="001C1CA7" w:rsidP="001C1CA7">
      <w:pPr>
        <w:pStyle w:val="normal0"/>
        <w:spacing w:line="240" w:lineRule="auto"/>
      </w:pPr>
    </w:p>
    <w:p w14:paraId="22ACAC2B" w14:textId="77777777" w:rsidR="001C1CA7" w:rsidRDefault="001C1CA7" w:rsidP="001C1CA7">
      <w:pPr>
        <w:pStyle w:val="normal0"/>
        <w:spacing w:line="240" w:lineRule="auto"/>
      </w:pPr>
    </w:p>
    <w:p w14:paraId="5555A897" w14:textId="77777777" w:rsidR="001C1CA7" w:rsidRDefault="001C1CA7" w:rsidP="001C1CA7">
      <w:pPr>
        <w:pStyle w:val="normal0"/>
        <w:spacing w:line="240" w:lineRule="auto"/>
      </w:pPr>
    </w:p>
    <w:p w14:paraId="523180D2" w14:textId="77777777" w:rsidR="001C1CA7" w:rsidRDefault="001C1CA7" w:rsidP="001C1CA7">
      <w:pPr>
        <w:pStyle w:val="normal0"/>
        <w:spacing w:line="240" w:lineRule="auto"/>
      </w:pPr>
    </w:p>
    <w:p w14:paraId="5027DB92" w14:textId="77777777" w:rsidR="001C1CA7" w:rsidRDefault="001C1CA7" w:rsidP="001C1CA7">
      <w:pPr>
        <w:pStyle w:val="normal0"/>
        <w:spacing w:line="240" w:lineRule="auto"/>
      </w:pPr>
    </w:p>
    <w:p w14:paraId="241F3D5E" w14:textId="77777777" w:rsidR="001C1CA7" w:rsidRDefault="001C1CA7" w:rsidP="001C1CA7">
      <w:pPr>
        <w:pStyle w:val="normal0"/>
        <w:spacing w:line="240" w:lineRule="auto"/>
      </w:pPr>
    </w:p>
    <w:p w14:paraId="5D820402" w14:textId="77777777" w:rsidR="001C1CA7" w:rsidRDefault="001C1CA7" w:rsidP="001C1CA7">
      <w:pPr>
        <w:pStyle w:val="normal0"/>
        <w:spacing w:line="240" w:lineRule="auto"/>
      </w:pPr>
    </w:p>
    <w:p w14:paraId="5FE097CB" w14:textId="77777777" w:rsidR="001C1CA7" w:rsidRDefault="001C1CA7" w:rsidP="001C1CA7">
      <w:pPr>
        <w:pStyle w:val="normal0"/>
        <w:spacing w:line="240" w:lineRule="auto"/>
      </w:pPr>
    </w:p>
    <w:p w14:paraId="462C2322" w14:textId="77777777" w:rsidR="001C1CA7" w:rsidRDefault="001C1CA7" w:rsidP="001C1CA7">
      <w:pPr>
        <w:pStyle w:val="normal0"/>
        <w:spacing w:line="240" w:lineRule="auto"/>
      </w:pPr>
    </w:p>
    <w:p w14:paraId="264CA7C5" w14:textId="77777777" w:rsidR="001C1CA7" w:rsidRDefault="001C1CA7" w:rsidP="001C1CA7">
      <w:pPr>
        <w:pStyle w:val="normal0"/>
        <w:spacing w:line="240" w:lineRule="auto"/>
      </w:pPr>
    </w:p>
    <w:p w14:paraId="65CCF0EE" w14:textId="77777777" w:rsidR="001C1CA7" w:rsidRDefault="001C1CA7" w:rsidP="001C1CA7">
      <w:pPr>
        <w:pStyle w:val="normal0"/>
        <w:spacing w:line="240" w:lineRule="auto"/>
      </w:pPr>
    </w:p>
    <w:p w14:paraId="0243B56E" w14:textId="77777777" w:rsidR="001C1CA7" w:rsidRDefault="001C1CA7" w:rsidP="001C1CA7">
      <w:pPr>
        <w:pStyle w:val="normal0"/>
        <w:spacing w:line="240" w:lineRule="auto"/>
      </w:pPr>
    </w:p>
    <w:p w14:paraId="7A93DDB4" w14:textId="77777777" w:rsidR="001C1CA7" w:rsidRDefault="001C1CA7" w:rsidP="001C1CA7">
      <w:pPr>
        <w:pStyle w:val="normal0"/>
        <w:spacing w:line="240" w:lineRule="auto"/>
      </w:pPr>
    </w:p>
    <w:p w14:paraId="15AD2AB2" w14:textId="77777777" w:rsidR="001C1CA7" w:rsidRDefault="001C1CA7" w:rsidP="001C1CA7">
      <w:pPr>
        <w:pStyle w:val="normal0"/>
        <w:spacing w:line="240" w:lineRule="auto"/>
      </w:pPr>
    </w:p>
    <w:p w14:paraId="2F4BB33A" w14:textId="77777777" w:rsidR="001C1CA7" w:rsidRDefault="001C1CA7" w:rsidP="001C1CA7">
      <w:pPr>
        <w:pStyle w:val="normal0"/>
        <w:spacing w:line="240" w:lineRule="auto"/>
      </w:pPr>
    </w:p>
    <w:p w14:paraId="06277344" w14:textId="77777777" w:rsidR="001C1CA7" w:rsidRDefault="001C1CA7" w:rsidP="001C1CA7">
      <w:pPr>
        <w:pStyle w:val="normal0"/>
        <w:spacing w:line="240" w:lineRule="auto"/>
      </w:pPr>
    </w:p>
    <w:p w14:paraId="327DBE36" w14:textId="77777777" w:rsidR="001C1CA7" w:rsidRDefault="001C1CA7" w:rsidP="001C1CA7">
      <w:pPr>
        <w:pStyle w:val="normal0"/>
        <w:spacing w:line="240" w:lineRule="auto"/>
      </w:pPr>
    </w:p>
    <w:p w14:paraId="1CF6F489" w14:textId="77777777" w:rsidR="001C1CA7" w:rsidRDefault="001C1CA7" w:rsidP="001C1CA7">
      <w:pPr>
        <w:pStyle w:val="normal0"/>
        <w:spacing w:line="240" w:lineRule="auto"/>
      </w:pPr>
    </w:p>
    <w:p w14:paraId="490FFA38" w14:textId="77777777" w:rsidR="001C1CA7" w:rsidRDefault="001C1CA7" w:rsidP="001C1CA7">
      <w:pPr>
        <w:pStyle w:val="Heading2"/>
        <w:spacing w:line="240" w:lineRule="auto"/>
        <w:contextualSpacing w:val="0"/>
      </w:pPr>
      <w:bookmarkStart w:id="1" w:name="h.dhn05cs21mtq" w:colFirst="0" w:colLast="0"/>
      <w:bookmarkEnd w:id="1"/>
    </w:p>
    <w:p w14:paraId="04FF1701" w14:textId="77777777" w:rsidR="001C1CA7" w:rsidRDefault="001C1CA7" w:rsidP="001C1CA7">
      <w:pPr>
        <w:pStyle w:val="normal0"/>
        <w:spacing w:line="240" w:lineRule="auto"/>
      </w:pPr>
    </w:p>
    <w:p w14:paraId="492240FA" w14:textId="77777777" w:rsidR="001C1CA7" w:rsidRDefault="001C1CA7" w:rsidP="001C1CA7">
      <w:pPr>
        <w:pStyle w:val="normal0"/>
        <w:spacing w:line="240" w:lineRule="auto"/>
      </w:pPr>
    </w:p>
    <w:p w14:paraId="422398D4" w14:textId="77777777" w:rsidR="001C1CA7" w:rsidRDefault="001C1CA7" w:rsidP="001C1CA7">
      <w:pPr>
        <w:pStyle w:val="normal0"/>
        <w:spacing w:line="240" w:lineRule="auto"/>
      </w:pPr>
    </w:p>
    <w:p w14:paraId="6AAAC6F8" w14:textId="77777777" w:rsidR="001C1CA7" w:rsidRDefault="001C1CA7" w:rsidP="001C1CA7">
      <w:pPr>
        <w:pStyle w:val="normal0"/>
        <w:spacing w:line="240" w:lineRule="auto"/>
      </w:pPr>
    </w:p>
    <w:p w14:paraId="349FFCA6" w14:textId="77777777" w:rsidR="001C1CA7" w:rsidRDefault="001C1CA7" w:rsidP="001C1CA7">
      <w:pPr>
        <w:pStyle w:val="normal0"/>
        <w:spacing w:line="240" w:lineRule="auto"/>
      </w:pPr>
    </w:p>
    <w:p w14:paraId="78AC3D00" w14:textId="77777777" w:rsidR="001C1CA7" w:rsidRDefault="001C1CA7" w:rsidP="001C1CA7">
      <w:pPr>
        <w:pStyle w:val="normal0"/>
        <w:spacing w:line="240" w:lineRule="auto"/>
      </w:pPr>
    </w:p>
    <w:p w14:paraId="02AD1AE5" w14:textId="77777777" w:rsidR="001C1CA7" w:rsidRDefault="001C1CA7" w:rsidP="001C1CA7">
      <w:pPr>
        <w:pStyle w:val="normal0"/>
        <w:spacing w:line="240" w:lineRule="auto"/>
      </w:pPr>
    </w:p>
    <w:p w14:paraId="45ED7A43" w14:textId="77777777" w:rsidR="001C1CA7" w:rsidRDefault="001C1CA7" w:rsidP="001C1CA7">
      <w:pPr>
        <w:pStyle w:val="normal0"/>
        <w:spacing w:line="240" w:lineRule="auto"/>
      </w:pPr>
    </w:p>
    <w:p w14:paraId="42784996" w14:textId="77777777" w:rsidR="001C1CA7" w:rsidRDefault="001C1CA7" w:rsidP="001C1CA7">
      <w:pPr>
        <w:pStyle w:val="normal0"/>
        <w:spacing w:line="240" w:lineRule="auto"/>
      </w:pPr>
    </w:p>
    <w:p w14:paraId="1BABE9E5" w14:textId="77777777" w:rsidR="001C1CA7" w:rsidRDefault="001C1CA7" w:rsidP="001C1CA7">
      <w:pPr>
        <w:pStyle w:val="normal0"/>
        <w:spacing w:line="240" w:lineRule="auto"/>
      </w:pPr>
    </w:p>
    <w:p w14:paraId="2D38A6F9" w14:textId="77777777" w:rsidR="001C1CA7" w:rsidRDefault="001C1CA7" w:rsidP="001C1CA7">
      <w:pPr>
        <w:pStyle w:val="normal0"/>
        <w:spacing w:line="240" w:lineRule="auto"/>
      </w:pPr>
    </w:p>
    <w:p w14:paraId="716A5B72" w14:textId="77777777" w:rsidR="001C1CA7" w:rsidRDefault="001C1CA7" w:rsidP="001C1CA7">
      <w:pPr>
        <w:pStyle w:val="Heading2"/>
        <w:spacing w:before="0" w:line="240" w:lineRule="auto"/>
        <w:contextualSpacing w:val="0"/>
      </w:pPr>
      <w:bookmarkStart w:id="2" w:name="h.go3tc97xzt7e" w:colFirst="0" w:colLast="0"/>
      <w:bookmarkEnd w:id="2"/>
    </w:p>
    <w:p w14:paraId="18431F13" w14:textId="77777777" w:rsidR="001C1CA7" w:rsidRDefault="001C1CA7" w:rsidP="001C1CA7">
      <w:pPr>
        <w:pStyle w:val="normal0"/>
        <w:spacing w:line="240" w:lineRule="auto"/>
      </w:pPr>
    </w:p>
    <w:p w14:paraId="620BDCB7" w14:textId="77777777" w:rsidR="001C1CA7" w:rsidRDefault="001C1CA7" w:rsidP="001C1CA7">
      <w:pPr>
        <w:pStyle w:val="normal0"/>
        <w:spacing w:line="240" w:lineRule="auto"/>
      </w:pPr>
    </w:p>
    <w:p w14:paraId="7C1F36E3" w14:textId="77777777" w:rsidR="001C1CA7" w:rsidRDefault="001C1CA7" w:rsidP="001C1CA7">
      <w:pPr>
        <w:pStyle w:val="normal0"/>
        <w:spacing w:line="240" w:lineRule="auto"/>
      </w:pPr>
    </w:p>
    <w:p w14:paraId="54899D92" w14:textId="77777777" w:rsidR="001C1CA7" w:rsidRDefault="001C1CA7" w:rsidP="001C1CA7">
      <w:pPr>
        <w:pStyle w:val="normal0"/>
        <w:spacing w:line="240" w:lineRule="auto"/>
      </w:pPr>
    </w:p>
    <w:p w14:paraId="3E6ED4AA" w14:textId="77777777" w:rsidR="001C1CA7" w:rsidRDefault="001C1CA7" w:rsidP="001C1CA7">
      <w:pPr>
        <w:pStyle w:val="normal0"/>
        <w:spacing w:line="240" w:lineRule="auto"/>
      </w:pPr>
    </w:p>
    <w:p w14:paraId="3CE14371" w14:textId="77777777" w:rsidR="001C1CA7" w:rsidRDefault="001C1CA7" w:rsidP="001C1CA7">
      <w:pPr>
        <w:pStyle w:val="normal0"/>
        <w:spacing w:line="240" w:lineRule="auto"/>
      </w:pPr>
    </w:p>
    <w:p w14:paraId="28E51D0B" w14:textId="77777777" w:rsidR="001C1CA7" w:rsidRDefault="001C1CA7" w:rsidP="001C1CA7">
      <w:pPr>
        <w:pStyle w:val="normal0"/>
        <w:spacing w:line="240" w:lineRule="auto"/>
      </w:pPr>
    </w:p>
    <w:p w14:paraId="78980469" w14:textId="77777777" w:rsidR="001C1CA7" w:rsidRDefault="001C1CA7" w:rsidP="001C1CA7">
      <w:pPr>
        <w:pStyle w:val="normal0"/>
        <w:spacing w:line="240" w:lineRule="auto"/>
      </w:pPr>
    </w:p>
    <w:p w14:paraId="7AEE330A" w14:textId="77777777" w:rsidR="001C1CA7" w:rsidRDefault="001C1CA7" w:rsidP="001C1CA7">
      <w:pPr>
        <w:pStyle w:val="normal0"/>
        <w:spacing w:line="240" w:lineRule="auto"/>
      </w:pPr>
    </w:p>
    <w:p w14:paraId="1F29136D" w14:textId="77777777" w:rsidR="001C1CA7" w:rsidRDefault="001C1CA7" w:rsidP="001C1CA7">
      <w:pPr>
        <w:pStyle w:val="normal0"/>
        <w:spacing w:line="240" w:lineRule="auto"/>
      </w:pPr>
    </w:p>
    <w:p w14:paraId="05DAFBC4" w14:textId="77777777" w:rsidR="001C1CA7" w:rsidRDefault="001C1CA7" w:rsidP="001C1CA7">
      <w:pPr>
        <w:pStyle w:val="normal0"/>
        <w:spacing w:line="240" w:lineRule="auto"/>
      </w:pPr>
    </w:p>
    <w:p w14:paraId="3CF94666" w14:textId="77777777" w:rsidR="001C1CA7" w:rsidRDefault="001C1CA7" w:rsidP="001C1CA7">
      <w:pPr>
        <w:pStyle w:val="normal0"/>
        <w:spacing w:line="240" w:lineRule="auto"/>
      </w:pPr>
    </w:p>
    <w:p w14:paraId="420E99BC" w14:textId="77777777" w:rsidR="001C1CA7" w:rsidRDefault="001C1CA7" w:rsidP="001C1CA7">
      <w:pPr>
        <w:pStyle w:val="Heading2"/>
        <w:spacing w:before="0" w:line="240" w:lineRule="auto"/>
        <w:contextualSpacing w:val="0"/>
      </w:pPr>
      <w:bookmarkStart w:id="3" w:name="h.trw65ifrak2q" w:colFirst="0" w:colLast="0"/>
      <w:bookmarkEnd w:id="3"/>
      <w:r>
        <w:rPr>
          <w:rFonts w:ascii="Arial" w:eastAsia="Arial" w:hAnsi="Arial" w:cs="Arial"/>
          <w:i/>
          <w:sz w:val="22"/>
        </w:rPr>
        <w:lastRenderedPageBreak/>
        <w:t>Introduction (response to criticism of the previous submission)</w:t>
      </w:r>
    </w:p>
    <w:p w14:paraId="452CA39A" w14:textId="77777777" w:rsidR="001C1CA7" w:rsidRDefault="001C1CA7" w:rsidP="001C1CA7">
      <w:pPr>
        <w:pStyle w:val="normal0"/>
        <w:spacing w:line="240" w:lineRule="auto"/>
      </w:pPr>
      <w:r>
        <w:rPr>
          <w:rFonts w:ascii="Georgia" w:eastAsia="Georgia" w:hAnsi="Georgia" w:cs="Georgia"/>
        </w:rPr>
        <w:t>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14:paraId="5C8D30C5" w14:textId="77777777" w:rsidR="001C1CA7" w:rsidRDefault="001C1CA7" w:rsidP="001C1CA7">
      <w:pPr>
        <w:pStyle w:val="normal0"/>
        <w:spacing w:line="240" w:lineRule="auto"/>
        <w:ind w:firstLine="720"/>
      </w:pPr>
      <w:r>
        <w:rPr>
          <w:rFonts w:ascii="Georgia" w:eastAsia="Georgia" w:hAnsi="Georgia" w:cs="Georgia"/>
        </w:rPr>
        <w:t>In the revision we attempt to address criticism of our approach in a number of ways.</w:t>
      </w:r>
    </w:p>
    <w:p w14:paraId="2F94F000" w14:textId="77777777" w:rsidR="001C1CA7" w:rsidRDefault="001C1CA7" w:rsidP="001C1CA7">
      <w:pPr>
        <w:pStyle w:val="normal0"/>
        <w:spacing w:line="240" w:lineRule="auto"/>
      </w:pPr>
      <w:r>
        <w:rPr>
          <w:rFonts w:ascii="Georgia" w:eastAsia="Georgia" w:hAnsi="Georgia" w:cs="Georgia"/>
        </w:rPr>
        <w:t xml:space="preserve">(1) We have split the original Aim 3, which was the experimental aim into two aims, one focusing on high-throughput experimental characterization and the other on detailed characterization. The splitting of Aim 3 allows us to really deal with the number of the different scales of genomic analysis possible starting with our millions of predictions we are able to look at thousands of regions in noisy high throughput experiments and then in the final aim we zoom in and look at them in detail with tens of careful detailed validations, using the newly developed CRSIPR/Cas9 system to investigate these variants in their true genomic context. We believe this multiscale approach is an optimal way to both harness breadth and depth. </w:t>
      </w:r>
    </w:p>
    <w:p w14:paraId="7FC80231" w14:textId="77777777" w:rsidR="001C1CA7" w:rsidRDefault="001C1CA7" w:rsidP="001C1CA7">
      <w:pPr>
        <w:pStyle w:val="normal0"/>
        <w:spacing w:line="240" w:lineRule="auto"/>
      </w:pPr>
      <w:r>
        <w:rPr>
          <w:rFonts w:ascii="Georgia" w:eastAsia="Georgia" w:hAnsi="Georgia" w:cs="Georgia"/>
        </w:rPr>
        <w:t>(2) In our new Aim 2, we describe how our variant prioritization pipeline can be iteratively tuned using high-throughput experimental characterization from our new Aim 3 and then assessed using the detailed validation in new Aim 4.</w:t>
      </w:r>
    </w:p>
    <w:p w14:paraId="37091BF8" w14:textId="77777777" w:rsidR="001C1CA7" w:rsidRDefault="001C1CA7" w:rsidP="001C1CA7">
      <w:pPr>
        <w:pStyle w:val="normal0"/>
        <w:spacing w:line="240" w:lineRule="auto"/>
      </w:pPr>
      <w:r>
        <w:rPr>
          <w:rFonts w:ascii="Georgia" w:eastAsia="Georgia" w:hAnsi="Georgia" w:cs="Georgia"/>
        </w:rPr>
        <w:t xml:space="preserve">(3) To help with our elaborated experimental plan, we have also added a new experimental co-investigator, Dr. Haiyuan Yu. Dr. Yu is part of the original FunSeq collaboration between Yale and Cornell and brings significant expertise in terms of detailed enhancer validation. Dr. Yu will implement his </w:t>
      </w:r>
      <w:proofErr w:type="gramStart"/>
      <w:r>
        <w:rPr>
          <w:rFonts w:ascii="Georgia" w:eastAsia="Georgia" w:hAnsi="Georgia" w:cs="Georgia"/>
        </w:rPr>
        <w:t>newly-established</w:t>
      </w:r>
      <w:proofErr w:type="gramEnd"/>
      <w:r>
        <w:rPr>
          <w:rFonts w:ascii="Georgia" w:eastAsia="Georgia" w:hAnsi="Georgia" w:cs="Georgia"/>
        </w:rPr>
        <w:t xml:space="preserve"> massively-parallel site-directed mutagenesis pipeline, Clone-seq</w:t>
      </w:r>
      <w:r>
        <w:rPr>
          <w:rFonts w:ascii="Georgia" w:eastAsia="Georgia" w:hAnsi="Georgia" w:cs="Georgia"/>
        </w:rPr>
        <w:fldChar w:fldCharType="begin"/>
      </w:r>
      <w:r>
        <w:rPr>
          <w:rFonts w:ascii="Georgia" w:eastAsia="Georgia" w:hAnsi="Georgia" w:cs="Georgia"/>
        </w:rPr>
        <w:instrText xml:space="preserve"> ADDIN cite{25502805}</w:instrText>
      </w:r>
      <w:r>
        <w:rPr>
          <w:rFonts w:ascii="Georgia" w:eastAsia="Georgia" w:hAnsi="Georgia" w:cs="Georgia"/>
        </w:rPr>
        <w:fldChar w:fldCharType="separate"/>
      </w:r>
      <w:r>
        <w:rPr>
          <w:rFonts w:ascii="Times New Roman" w:hAnsi="Times New Roman"/>
          <w:sz w:val="24"/>
          <w:vertAlign w:val="superscript"/>
        </w:rPr>
        <w:t>1</w:t>
      </w:r>
      <w:r>
        <w:rPr>
          <w:rFonts w:ascii="Georgia" w:eastAsia="Georgia" w:hAnsi="Georgia" w:cs="Georgia"/>
        </w:rPr>
        <w:fldChar w:fldCharType="end"/>
      </w:r>
      <w:r>
        <w:rPr>
          <w:rFonts w:ascii="Georgia" w:eastAsia="Georgia" w:hAnsi="Georgia" w:cs="Georgia"/>
        </w:rPr>
        <w:t>, to generate ~1200 specific mutations in ~600 enhancers in three rounds to tune the parameters of the our variant prioritization pipeline and comprehensively evaluate the performance of the pipeline at the end.</w:t>
      </w:r>
    </w:p>
    <w:p w14:paraId="7382D0D5" w14:textId="77777777" w:rsidR="001C1CA7" w:rsidRDefault="001C1CA7" w:rsidP="001C1CA7">
      <w:pPr>
        <w:pStyle w:val="normal0"/>
        <w:spacing w:line="240" w:lineRule="auto"/>
        <w:ind w:firstLine="720"/>
      </w:pPr>
      <w:r>
        <w:rPr>
          <w:rFonts w:ascii="Georgia" w:eastAsia="Georgia" w:hAnsi="Georgia" w:cs="Georgia"/>
        </w:rPr>
        <w:t>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and PC3 prostate cancer cell lines. This will enable us to show how our variant prioritization scheme can be refined and evaluated for a specific and relevant disease context.</w:t>
      </w:r>
    </w:p>
    <w:p w14:paraId="7C92701D" w14:textId="77777777" w:rsidR="001C1CA7" w:rsidRDefault="001C1CA7" w:rsidP="001C1CA7">
      <w:pPr>
        <w:pStyle w:val="normal0"/>
        <w:spacing w:line="240" w:lineRule="auto"/>
        <w:ind w:firstLine="720"/>
      </w:pPr>
      <w:r>
        <w:rPr>
          <w:rFonts w:ascii="Georgia" w:eastAsia="Georgia" w:hAnsi="Georgia" w:cs="Georgia"/>
        </w:rPr>
        <w:t>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almost all in-house variant calling from the proposal. We will also take advantage of recently published studies, in which individual groups called germline variants for large portions of the available TCGA and ICGC whole genome data</w:t>
      </w:r>
      <w:r>
        <w:rPr>
          <w:rFonts w:ascii="Georgia" w:eastAsia="Georgia" w:hAnsi="Georgia" w:cs="Georgia"/>
        </w:rPr>
        <w:fldChar w:fldCharType="begin"/>
      </w:r>
      <w:r>
        <w:rPr>
          <w:rFonts w:ascii="Georgia" w:eastAsia="Georgia" w:hAnsi="Georgia" w:cs="Georgia"/>
        </w:rPr>
        <w:instrText xml:space="preserve"> ADDIN cite{25261935,25383969}</w:instrText>
      </w:r>
      <w:r>
        <w:rPr>
          <w:rFonts w:ascii="Georgia" w:eastAsia="Georgia" w:hAnsi="Georgia" w:cs="Georgia"/>
        </w:rPr>
        <w:fldChar w:fldCharType="separate"/>
      </w:r>
      <w:r>
        <w:rPr>
          <w:rFonts w:ascii="Times New Roman" w:hAnsi="Times New Roman"/>
          <w:sz w:val="24"/>
          <w:vertAlign w:val="superscript"/>
        </w:rPr>
        <w:t>2, 3</w:t>
      </w:r>
      <w:r>
        <w:rPr>
          <w:rFonts w:ascii="Georgia" w:eastAsia="Georgia" w:hAnsi="Georgia" w:cs="Georgia"/>
        </w:rPr>
        <w:fldChar w:fldCharType="end"/>
      </w:r>
      <w:r>
        <w:rPr>
          <w:rFonts w:ascii="Georgia" w:eastAsia="Georgia" w:hAnsi="Georgia" w:cs="Georgia"/>
        </w:rPr>
        <w:t>.</w:t>
      </w:r>
    </w:p>
    <w:p w14:paraId="18E408BD" w14:textId="50B4CB5E" w:rsidR="001C1CA7" w:rsidRDefault="001C1CA7" w:rsidP="001C1CA7">
      <w:pPr>
        <w:pStyle w:val="normal0"/>
        <w:spacing w:line="240" w:lineRule="auto"/>
        <w:ind w:firstLine="720"/>
      </w:pPr>
      <w:r>
        <w:rPr>
          <w:rFonts w:ascii="Georgia" w:eastAsia="Georgia" w:hAnsi="Georgia" w:cs="Georgia"/>
        </w:rPr>
        <w:t>Feedback on our original proposal noted our “highly innovative computational [approach] for interpreting sequence variants” and described our “focus on rare variants [as] a strength as their role has often proven difficult to interpret.” We have preserved these strengths of the previous submission, and the timing of our proposal is now particularly opportune, with the increasing availability of rare variants for diseased patients, as well as the functional genomics data and natural polymorphism data that provide the basis for our prioritization, contrasted with the small number of tools that analyze rare variants in cancer and other diseases.  The intermittent time since our previous proposal has allowed us to progress in our work and to formulate refined approaches for analysis.  In particular, we have published the FunSeq2 paper</w:t>
      </w:r>
      <w:r>
        <w:rPr>
          <w:rFonts w:ascii="Georgia" w:eastAsia="Georgia" w:hAnsi="Georgia" w:cs="Georgia"/>
        </w:rPr>
        <w:fldChar w:fldCharType="begin"/>
      </w:r>
      <w:r>
        <w:rPr>
          <w:rFonts w:ascii="Georgia" w:eastAsia="Georgia" w:hAnsi="Georgia" w:cs="Georgia"/>
        </w:rPr>
        <w:instrText xml:space="preserve"> ADDIN cite{25273974}</w:instrText>
      </w:r>
      <w:r>
        <w:rPr>
          <w:rFonts w:ascii="Georgia" w:eastAsia="Georgia" w:hAnsi="Georgia" w:cs="Georgia"/>
        </w:rPr>
        <w:fldChar w:fldCharType="separate"/>
      </w:r>
      <w:r>
        <w:rPr>
          <w:rFonts w:ascii="Times New Roman" w:hAnsi="Times New Roman"/>
          <w:sz w:val="24"/>
          <w:vertAlign w:val="superscript"/>
        </w:rPr>
        <w:t>4</w:t>
      </w:r>
      <w:r>
        <w:rPr>
          <w:rFonts w:ascii="Georgia" w:eastAsia="Georgia" w:hAnsi="Georgia" w:cs="Georgia"/>
        </w:rPr>
        <w:fldChar w:fldCharType="end"/>
      </w:r>
      <w:r>
        <w:rPr>
          <w:rFonts w:ascii="Georgia" w:eastAsia="Georgia" w:hAnsi="Georgia" w:cs="Georgia"/>
        </w:rPr>
        <w:t xml:space="preserve">, which focuses on somatic variants in cancer but which incorporates some of the ideas proposed in the original grant application. We also developed the LARVA pipeline to look for recurrent mutations and highly burdened regulatory elements, taking into account various functional genomics features such as replication timing. We've written this up as a publication that is now in the final stages of review. We have moved these originally proposed ideas into preliminary results and have updated our approach with new ideas focused on allelic activity, a consistent scoring framework for variants in all noncoding regions of the genome, and a new method for tuning our variant scoring </w:t>
      </w:r>
      <w:bookmarkStart w:id="4" w:name="_GoBack"/>
      <w:bookmarkEnd w:id="4"/>
      <w:r w:rsidR="0055742B">
        <w:rPr>
          <w:rFonts w:ascii="Georgia" w:eastAsia="Georgia" w:hAnsi="Georgia" w:cs="Georgia"/>
        </w:rPr>
        <w:t>scheme to</w:t>
      </w:r>
      <w:r>
        <w:rPr>
          <w:rFonts w:ascii="Georgia" w:eastAsia="Georgia" w:hAnsi="Georgia" w:cs="Georgia"/>
        </w:rPr>
        <w:t xml:space="preserve"> experimental data.  Overall, our revised proposal provides a strengthened computational framework for rare variant prioritization, with more specifically targeted validation that will enable us to tune and assess our pipeline for prostate cancer as a prototype targeted disease system.</w:t>
      </w:r>
    </w:p>
    <w:p w14:paraId="7F300C67" w14:textId="77777777" w:rsidR="001C1CA7" w:rsidRDefault="001C1CA7" w:rsidP="001C1CA7">
      <w:pPr>
        <w:pStyle w:val="normal0"/>
        <w:spacing w:line="240" w:lineRule="auto"/>
      </w:pPr>
      <w:r>
        <w:rPr>
          <w:b/>
          <w:i/>
        </w:rPr>
        <w:t>A.  Specific aims</w:t>
      </w:r>
    </w:p>
    <w:p w14:paraId="7158D223" w14:textId="77777777" w:rsidR="001C1CA7" w:rsidRDefault="001C1CA7" w:rsidP="001C1CA7">
      <w:pPr>
        <w:pStyle w:val="normal0"/>
        <w:spacing w:line="240" w:lineRule="auto"/>
      </w:pPr>
      <w:r>
        <w:rPr>
          <w:rFonts w:ascii="Georgia" w:eastAsia="Georgia" w:hAnsi="Georgia" w:cs="Georgia"/>
        </w:rPr>
        <w:t xml:space="preserve">Recent progress made by The ENCODE Consortium and The Epigenome Roadmap Project has provided detailed annotation of non-coding regions of the human genome, and whole-genome sequencing has identified large volumes of rare variants in such regions, thereby making this an opportune time to study rare variants in </w:t>
      </w:r>
      <w:r>
        <w:rPr>
          <w:rFonts w:ascii="Georgia" w:eastAsia="Georgia" w:hAnsi="Georgia" w:cs="Georgia"/>
        </w:rPr>
        <w:lastRenderedPageBreak/>
        <w:t>non-coding regions. Despite these opportunities, little effort has been invested in leveraging these resources to tackle problems in cancer variant prioritization. Herein, we detail our strategies to use patterns of natural polymorphism to prioritize non-coding variants (such as those in TF binding sites or non-coding RNA sequences which are involved in interactions with proteins) in a general and consistent manner. In addition, we will also use allelic variations as a novel means of prioritizing those elements that are shown to be sensitive (as determined by their functional genomic readout). In order to refine the parameters of our approach in a robust manner, we will develop a flexible weighting and tuning scheme, in conjunction with iterative experimentation. Notably, one innovative aspect of our work and validation is that it will be carried out on a wide range of scales, from predicting the impacts of millions of variants to testing and tuning based on thousands of high-throughput experiments to detailed examination of the potential deleterious mechanisms of dozens of variants.</w:t>
      </w:r>
    </w:p>
    <w:p w14:paraId="77827954" w14:textId="77777777" w:rsidR="001C1CA7" w:rsidRDefault="001C1CA7" w:rsidP="001C1CA7">
      <w:pPr>
        <w:pStyle w:val="normal0"/>
        <w:spacing w:line="240" w:lineRule="auto"/>
        <w:ind w:firstLine="720"/>
      </w:pPr>
      <w:r>
        <w:rPr>
          <w:rFonts w:ascii="Georgia" w:eastAsia="Georgia" w:hAnsi="Georgia" w:cs="Georgia"/>
        </w:rPr>
        <w:t>Specifically, we will adapt our FunSeq pipeline for scoring cancer somatic variants to create a tool for prioritizing rare germline variants, eleVAR (</w:t>
      </w:r>
      <w:r>
        <w:rPr>
          <w:rFonts w:ascii="Georgia" w:eastAsia="Georgia" w:hAnsi="Georgia" w:cs="Georgia"/>
          <w:b/>
        </w:rPr>
        <w:t>ele</w:t>
      </w:r>
      <w:r>
        <w:rPr>
          <w:rFonts w:ascii="Georgia" w:eastAsia="Georgia" w:hAnsi="Georgia" w:cs="Georgia"/>
        </w:rPr>
        <w:t xml:space="preserve">vating germline </w:t>
      </w:r>
      <w:r>
        <w:rPr>
          <w:rFonts w:ascii="Georgia" w:eastAsia="Georgia" w:hAnsi="Georgia" w:cs="Georgia"/>
          <w:b/>
        </w:rPr>
        <w:t>VAR</w:t>
      </w:r>
      <w:r>
        <w:rPr>
          <w:rFonts w:ascii="Georgia" w:eastAsia="Georgia" w:hAnsi="Georgia" w:cs="Georgia"/>
        </w:rPr>
        <w:t>iants). This tool will have the expanded capability to score variants in non-coding DNA and RNA regions uniformly, and it will contain the flexible weighting scheme that will be subject to successive rounds of validation and tuning. We will first do this in a generic fashion using publicly available data, followed by our own validation experiments in prostate cancer cell lines and patient samples to tune and assess a targeted version of eleVAR, as a prototype for how our approach can be focused on particular disease.</w:t>
      </w:r>
    </w:p>
    <w:p w14:paraId="63758C04" w14:textId="77777777" w:rsidR="001C1CA7" w:rsidRDefault="001C1CA7" w:rsidP="001C1CA7">
      <w:pPr>
        <w:pStyle w:val="normal0"/>
        <w:spacing w:line="240" w:lineRule="auto"/>
      </w:pPr>
      <w:r>
        <w:rPr>
          <w:rFonts w:ascii="Georgia" w:eastAsia="Georgia" w:hAnsi="Georgia" w:cs="Georgia"/>
          <w:b/>
          <w:u w:val="single"/>
        </w:rPr>
        <w:t xml:space="preserve">Aim 1. </w:t>
      </w:r>
      <w:r>
        <w:rPr>
          <w:rFonts w:ascii="Georgia" w:eastAsia="Georgia" w:hAnsi="Georgia" w:cs="Georgia"/>
          <w:u w:val="single"/>
        </w:rPr>
        <w:t xml:space="preserve"> Adapt our existing tool for prioritizing somatic variants (FunSeq) to create a generalizable approach for prioritizing impactful non-coding variants (eleVAR).</w:t>
      </w:r>
      <w:r>
        <w:rPr>
          <w:rFonts w:ascii="Georgia" w:eastAsia="Georgia" w:hAnsi="Georgia" w:cs="Georgia"/>
        </w:rPr>
        <w:t xml:space="preserve"> Our eleVAR pipeline will build upon the FunSeq approach, which we developed earlier, to prioritize rare germline variants that occur within genomic regions under negative selection within the human population. </w:t>
      </w:r>
      <w:r>
        <w:rPr>
          <w:rFonts w:ascii="Georgia" w:eastAsia="Georgia" w:hAnsi="Georgia" w:cs="Georgia"/>
          <w:b/>
        </w:rPr>
        <w:t>(a)</w:t>
      </w:r>
      <w:r>
        <w:rPr>
          <w:rFonts w:ascii="Georgia" w:eastAsia="Georgia" w:hAnsi="Georgia" w:cs="Georgia"/>
        </w:rPr>
        <w:t xml:space="preserve"> We will enlarge this approach to consistently annotate all </w:t>
      </w:r>
      <w:proofErr w:type="gramStart"/>
      <w:r>
        <w:rPr>
          <w:rFonts w:ascii="Georgia" w:eastAsia="Georgia" w:hAnsi="Georgia" w:cs="Georgia"/>
        </w:rPr>
        <w:t>the the</w:t>
      </w:r>
      <w:proofErr w:type="gramEnd"/>
      <w:r>
        <w:rPr>
          <w:rFonts w:ascii="Georgia" w:eastAsia="Georgia" w:hAnsi="Georgia" w:cs="Georgia"/>
        </w:rPr>
        <w:t xml:space="preserve"> existing set of DNA-level features. This will include TF binding sites, as well as non-coding RNA features such RNA-binding-protein sites and structured regions. </w:t>
      </w:r>
      <w:r>
        <w:rPr>
          <w:rFonts w:ascii="Georgia" w:eastAsia="Georgia" w:hAnsi="Georgia" w:cs="Georgia"/>
          <w:b/>
        </w:rPr>
        <w:t>(b)</w:t>
      </w:r>
      <w:r>
        <w:rPr>
          <w:rFonts w:ascii="Georgia" w:eastAsia="Georgia" w:hAnsi="Georgia" w:cs="Georgia"/>
        </w:rPr>
        <w:t xml:space="preserve"> We will further prioritize variants that overlap genomic elements that display strong allelic activity. </w:t>
      </w:r>
      <w:r>
        <w:rPr>
          <w:rFonts w:ascii="Georgia" w:eastAsia="Georgia" w:hAnsi="Georgia" w:cs="Georgia"/>
          <w:b/>
        </w:rPr>
        <w:t>(c)</w:t>
      </w:r>
      <w:r>
        <w:rPr>
          <w:rFonts w:ascii="Georgia" w:eastAsia="Georgia" w:hAnsi="Georgia" w:cs="Georgia"/>
        </w:rPr>
        <w:t xml:space="preserve"> We will then use network connectivity from predicted enhancer/promoter-gene linkages, microRNA targeting, and other sources to prioritize variants at hubs and bottlenecks. </w:t>
      </w:r>
      <w:r>
        <w:rPr>
          <w:rFonts w:ascii="Georgia" w:eastAsia="Georgia" w:hAnsi="Georgia" w:cs="Georgia"/>
          <w:b/>
        </w:rPr>
        <w:t>(d)</w:t>
      </w:r>
      <w:r>
        <w:rPr>
          <w:rFonts w:ascii="Georgia" w:eastAsia="Georgia" w:hAnsi="Georgia" w:cs="Georgia"/>
        </w:rPr>
        <w:t xml:space="preserve"> Finally we will use an entropy-based integrated scoring scheme to combine this diverse set of features into a score for each variant in the genome.</w:t>
      </w:r>
    </w:p>
    <w:p w14:paraId="2F896313" w14:textId="77777777" w:rsidR="001C1CA7" w:rsidRDefault="001C1CA7" w:rsidP="001C1CA7">
      <w:pPr>
        <w:pStyle w:val="normal0"/>
        <w:spacing w:line="240" w:lineRule="auto"/>
      </w:pPr>
      <w:r>
        <w:rPr>
          <w:rFonts w:ascii="Georgia" w:eastAsia="Georgia" w:hAnsi="Georgia" w:cs="Georgia"/>
          <w:b/>
          <w:u w:val="single"/>
        </w:rPr>
        <w:t xml:space="preserve">Aim 2. </w:t>
      </w:r>
      <w:r>
        <w:rPr>
          <w:rFonts w:ascii="Georgia" w:eastAsia="Georgia" w:hAnsi="Georgia" w:cs="Georgia"/>
          <w:u w:val="single"/>
        </w:rPr>
        <w:t xml:space="preserve"> Implement eleVAR pipeline &amp; develop a workflow for tuning and assessing performance, focusing on prostate cancer as a test case for a specific disease.</w:t>
      </w:r>
      <w:r>
        <w:rPr>
          <w:rFonts w:ascii="Georgia" w:eastAsia="Georgia" w:hAnsi="Georgia" w:cs="Georgia"/>
        </w:rPr>
        <w:t xml:space="preserve"> In particular, </w:t>
      </w:r>
      <w:r>
        <w:rPr>
          <w:rFonts w:ascii="Georgia" w:eastAsia="Georgia" w:hAnsi="Georgia" w:cs="Georgia"/>
          <w:b/>
        </w:rPr>
        <w:t>(a)</w:t>
      </w:r>
      <w:r>
        <w:rPr>
          <w:rFonts w:ascii="Georgia" w:eastAsia="Georgia" w:hAnsi="Georgia" w:cs="Georgia"/>
        </w:rPr>
        <w:t xml:space="preserve"> we will implement eleVAR as a computationally efficient software package, with separate modules for building the data context from annotations, parameter tuning, and scoring variants. </w:t>
      </w:r>
      <w:r>
        <w:rPr>
          <w:rFonts w:ascii="Georgia" w:eastAsia="Georgia" w:hAnsi="Georgia" w:cs="Georgia"/>
          <w:b/>
        </w:rPr>
        <w:t xml:space="preserve">(b) </w:t>
      </w:r>
      <w:r>
        <w:rPr>
          <w:rFonts w:ascii="Georgia" w:eastAsia="Georgia" w:hAnsi="Georgia" w:cs="Georgia"/>
        </w:rPr>
        <w:t xml:space="preserve">We will use eleVAR to generate a generic list of prioritized variants from the PCAWG germline variants, using the framework described in Aim 1. </w:t>
      </w:r>
      <w:r>
        <w:rPr>
          <w:rFonts w:ascii="Georgia" w:eastAsia="Georgia" w:hAnsi="Georgia" w:cs="Georgia"/>
          <w:b/>
        </w:rPr>
        <w:t>(c)</w:t>
      </w:r>
      <w:r>
        <w:rPr>
          <w:rFonts w:ascii="Georgia" w:eastAsia="Georgia" w:hAnsi="Georgia" w:cs="Georgia"/>
        </w:rPr>
        <w:t xml:space="preserve"> We will develop a Bayesian update approach to tune the eleVAR parameters in response to validation data. We will then carry out tuning,</w:t>
      </w:r>
      <w:r>
        <w:rPr>
          <w:rFonts w:ascii="Georgia" w:eastAsia="Georgia" w:hAnsi="Georgia" w:cs="Georgia"/>
          <w:b/>
        </w:rPr>
        <w:t xml:space="preserve"> (d)</w:t>
      </w:r>
      <w:r>
        <w:rPr>
          <w:rFonts w:ascii="Georgia" w:eastAsia="Georgia" w:hAnsi="Georgia" w:cs="Georgia"/>
        </w:rPr>
        <w:t xml:space="preserve"> first based on publicly available validation, such as mutations causing disease phenotypes or functional changes in enhancer activity assays, then based on our own luciferase reporter experiments in prostate cancer cells (see Aim 3), and </w:t>
      </w:r>
      <w:r>
        <w:rPr>
          <w:rFonts w:ascii="Georgia" w:eastAsia="Georgia" w:hAnsi="Georgia" w:cs="Georgia"/>
          <w:b/>
        </w:rPr>
        <w:t>(e)</w:t>
      </w:r>
      <w:r>
        <w:rPr>
          <w:rFonts w:ascii="Georgia" w:eastAsia="Georgia" w:hAnsi="Georgia" w:cs="Georgia"/>
        </w:rPr>
        <w:t xml:space="preserve"> we will make our code and results open to the public on our website. For the tuning we will first use publicly available datasets. These datasets include existing high throughput reporter assays on the activity of enhancers. They also include disease data on the recurrence of rare mutations in the region of interest both in the germline and potentially somatic variants.</w:t>
      </w:r>
    </w:p>
    <w:p w14:paraId="44AA9FC7" w14:textId="77777777" w:rsidR="001C1CA7" w:rsidRDefault="001C1CA7" w:rsidP="001C1CA7">
      <w:pPr>
        <w:pStyle w:val="normal0"/>
        <w:spacing w:line="240" w:lineRule="auto"/>
      </w:pPr>
      <w:r>
        <w:rPr>
          <w:rFonts w:ascii="Georgia" w:eastAsia="Georgia" w:hAnsi="Georgia" w:cs="Georgia"/>
          <w:b/>
          <w:u w:val="single"/>
        </w:rPr>
        <w:t xml:space="preserve">Aim 3. </w:t>
      </w:r>
      <w:r>
        <w:rPr>
          <w:rFonts w:ascii="Georgia" w:eastAsia="Georgia" w:hAnsi="Georgia" w:cs="Georgia"/>
          <w:u w:val="single"/>
        </w:rPr>
        <w:t xml:space="preserve"> High-throughput experimental characterization of ~1200 variants using Clone-Seq and luciferase reporter assays.</w:t>
      </w:r>
      <w:r>
        <w:rPr>
          <w:rFonts w:ascii="Georgia" w:eastAsia="Georgia" w:hAnsi="Georgia" w:cs="Georgia"/>
        </w:rPr>
        <w:t xml:space="preserve"> We will perform three rounds of iterative validation and learning of parameter weights to improve eleVAR. </w:t>
      </w:r>
      <w:r>
        <w:rPr>
          <w:rFonts w:ascii="Georgia" w:eastAsia="Georgia" w:hAnsi="Georgia" w:cs="Georgia"/>
          <w:b/>
        </w:rPr>
        <w:t>(a)</w:t>
      </w:r>
      <w:r>
        <w:rPr>
          <w:rFonts w:ascii="Georgia" w:eastAsia="Georgia" w:hAnsi="Georgia" w:cs="Georgia"/>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w:t>
      </w:r>
      <w:proofErr w:type="gramStart"/>
      <w:r>
        <w:rPr>
          <w:rFonts w:ascii="Georgia" w:eastAsia="Georgia" w:hAnsi="Georgia" w:cs="Georgia"/>
        </w:rPr>
        <w:t>fine tune</w:t>
      </w:r>
      <w:proofErr w:type="gramEnd"/>
      <w:r>
        <w:rPr>
          <w:rFonts w:ascii="Georgia" w:eastAsia="Georgia" w:hAnsi="Georgia" w:cs="Georgia"/>
        </w:rPr>
        <w:t xml:space="preserve"> the parameter weights in eleVAR. </w:t>
      </w:r>
      <w:r>
        <w:rPr>
          <w:rFonts w:ascii="Georgia" w:eastAsia="Georgia" w:hAnsi="Georgia" w:cs="Georgia"/>
          <w:b/>
        </w:rPr>
        <w:t>(b)</w:t>
      </w:r>
      <w:r>
        <w:rPr>
          <w:rFonts w:ascii="Georgia" w:eastAsia="Georgia" w:hAnsi="Georgia" w:cs="Georgia"/>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14:paraId="60C060E5" w14:textId="77777777" w:rsidR="001C1CA7" w:rsidRDefault="001C1CA7" w:rsidP="001C1CA7">
      <w:pPr>
        <w:pStyle w:val="normal0"/>
        <w:spacing w:line="240" w:lineRule="auto"/>
      </w:pPr>
      <w:r>
        <w:rPr>
          <w:rFonts w:ascii="Georgia" w:eastAsia="Georgia" w:hAnsi="Georgia" w:cs="Georgia"/>
          <w:b/>
          <w:u w:val="single"/>
        </w:rPr>
        <w:t xml:space="preserve">Aim 4. </w:t>
      </w:r>
      <w:r>
        <w:rPr>
          <w:rFonts w:ascii="Georgia" w:eastAsia="Georgia" w:hAnsi="Georgia" w:cs="Georgia"/>
          <w:u w:val="single"/>
        </w:rPr>
        <w:t xml:space="preserve"> Detailed experimental validation of top non-coding variants from eleVAR</w:t>
      </w:r>
    </w:p>
    <w:p w14:paraId="0C79DD8F" w14:textId="1B135159" w:rsidR="001C1CA7" w:rsidRPr="001C1CA7" w:rsidRDefault="001C1CA7">
      <w:pPr>
        <w:pStyle w:val="normal0"/>
        <w:spacing w:line="240" w:lineRule="auto"/>
      </w:pPr>
      <w:r>
        <w:rPr>
          <w:rFonts w:ascii="Georgia" w:eastAsia="Georgia" w:hAnsi="Georgia" w:cs="Georgia"/>
        </w:rPr>
        <w:t xml:space="preserve">We will perform a detailed in-depth experimental validation on 6 representative positive variants from eleVAR after tuning and high-throughput validation. </w:t>
      </w:r>
      <w:r>
        <w:rPr>
          <w:rFonts w:ascii="Georgia" w:eastAsia="Georgia" w:hAnsi="Georgia" w:cs="Georgia"/>
          <w:b/>
        </w:rPr>
        <w:t>(a)</w:t>
      </w:r>
      <w:r>
        <w:rPr>
          <w:rFonts w:ascii="Georgia" w:eastAsia="Georgia" w:hAnsi="Georgia" w:cs="Georgia"/>
        </w:rPr>
        <w:t xml:space="preserve"> We will use TaqMan assays to genotype our top 6 variants in ~4,000 samples from a cohort of prostate cancer patients. </w:t>
      </w:r>
      <w:r>
        <w:rPr>
          <w:rFonts w:ascii="Georgia" w:eastAsia="Georgia" w:hAnsi="Georgia" w:cs="Georgia"/>
          <w:b/>
        </w:rPr>
        <w:t>(b)</w:t>
      </w:r>
      <w:r>
        <w:rPr>
          <w:rFonts w:ascii="Georgia" w:eastAsia="Georgia" w:hAnsi="Georgia" w:cs="Georgia"/>
        </w:rPr>
        <w:t xml:space="preserve"> We will further evaluate these 6 variants in cancer samples from the cohort studies for biochemical validation by introducing them into their endogenous loci using the CRISPR/Cas-9 system. We will then assay their downstream effects on gene-expression using </w:t>
      </w:r>
      <w:r>
        <w:rPr>
          <w:rFonts w:ascii="Georgia" w:eastAsia="Georgia" w:hAnsi="Georgia" w:cs="Georgia"/>
        </w:rPr>
        <w:lastRenderedPageBreak/>
        <w:t>real-time quantitative PCR analysis, as well as cell viability, migratory potential (for metastasis), and transcription factor binding (ChIP and EMSA).</w:t>
      </w:r>
    </w:p>
    <w:p w14:paraId="7EF05022" w14:textId="15C7CF9C" w:rsidR="00427F75" w:rsidRDefault="00F76E2A">
      <w:pPr>
        <w:pStyle w:val="normal0"/>
        <w:spacing w:line="240" w:lineRule="auto"/>
      </w:pPr>
      <w:r>
        <w:rPr>
          <w:b/>
          <w:i/>
        </w:rPr>
        <w:t>B.  Significance</w:t>
      </w:r>
    </w:p>
    <w:p w14:paraId="643F36B7" w14:textId="77777777" w:rsidR="00427F75" w:rsidRDefault="00F76E2A">
      <w:pPr>
        <w:pStyle w:val="normal0"/>
        <w:spacing w:line="240" w:lineRule="auto"/>
      </w:pPr>
      <w:r>
        <w:rPr>
          <w:b/>
        </w:rPr>
        <w:t>B-</w:t>
      </w:r>
      <w:proofErr w:type="gramStart"/>
      <w:r>
        <w:rPr>
          <w:b/>
        </w:rPr>
        <w:t>1  Non</w:t>
      </w:r>
      <w:proofErr w:type="gramEnd"/>
      <w:r>
        <w:rPr>
          <w:b/>
        </w:rPr>
        <w:t>-coding variants are significant for disease but less well-studied than coding ones</w:t>
      </w:r>
    </w:p>
    <w:p w14:paraId="6822F45A" w14:textId="04CC985E" w:rsidR="00427F75" w:rsidRDefault="00F76E2A">
      <w:pPr>
        <w:pStyle w:val="normal0"/>
        <w:spacing w:line="240" w:lineRule="auto"/>
      </w:pPr>
      <w:r>
        <w:rPr>
          <w:rFonts w:ascii="Georgia" w:eastAsia="Georgia" w:hAnsi="Georgia" w:cs="Georgia"/>
        </w:rPr>
        <w:t xml:space="preserve">Numerous studies have been conducted on the mutations that lie in coding regions </w:t>
      </w:r>
      <w:r w:rsidR="00572B35">
        <w:rPr>
          <w:rFonts w:ascii="Georgia" w:eastAsia="Georgia" w:hAnsi="Georgia" w:cs="Georgia"/>
        </w:rPr>
        <w:fldChar w:fldCharType="begin"/>
      </w:r>
      <w:r w:rsidR="00572B35">
        <w:rPr>
          <w:rFonts w:ascii="Georgia" w:eastAsia="Georgia" w:hAnsi="Georgia" w:cs="Georgia"/>
        </w:rPr>
        <w:instrText xml:space="preserve"> ADDIN cite{24336208,22344438,17293864,21151126}</w:instrText>
      </w:r>
      <w:r w:rsidR="00572B35">
        <w:rPr>
          <w:rFonts w:ascii="Georgia" w:eastAsia="Georgia" w:hAnsi="Georgia" w:cs="Georgia"/>
        </w:rPr>
        <w:fldChar w:fldCharType="separate"/>
      </w:r>
      <w:r w:rsidR="00572B35">
        <w:rPr>
          <w:rFonts w:ascii="Times New Roman" w:hAnsi="Times New Roman"/>
          <w:sz w:val="24"/>
          <w:vertAlign w:val="superscript"/>
        </w:rPr>
        <w:t>5, 6, 7, 8</w:t>
      </w:r>
      <w:r w:rsidR="00572B35">
        <w:rPr>
          <w:rFonts w:ascii="Georgia" w:eastAsia="Georgia" w:hAnsi="Georgia" w:cs="Georgia"/>
        </w:rPr>
        <w:fldChar w:fldCharType="end"/>
      </w:r>
      <w:r>
        <w:rPr>
          <w:rFonts w:ascii="Georgia" w:eastAsia="Georgia" w:hAnsi="Georgia" w:cs="Georgia"/>
        </w:rPr>
        <w:t xml:space="preserve">. Not as much has been done on non-coding ones. </w:t>
      </w:r>
      <w:r>
        <w:rPr>
          <w:rFonts w:ascii="Georgia" w:eastAsia="Georgia" w:hAnsi="Georgia" w:cs="Georgia"/>
          <w:u w:val="single"/>
        </w:rPr>
        <w:t>However, several initial studies suggest that variants in non-coding regions can significantly influence an organism’s phenotype</w:t>
      </w:r>
      <w:r w:rsidR="00572B35">
        <w:rPr>
          <w:rFonts w:ascii="Georgia" w:eastAsia="Georgia" w:hAnsi="Georgia" w:cs="Georgia"/>
          <w:u w:val="single"/>
        </w:rPr>
        <w:fldChar w:fldCharType="begin"/>
      </w:r>
      <w:r w:rsidR="00572B35">
        <w:rPr>
          <w:rFonts w:ascii="Georgia" w:eastAsia="Georgia" w:hAnsi="Georgia" w:cs="Georgia"/>
          <w:u w:val="single"/>
        </w:rPr>
        <w:instrText xml:space="preserve"> ADDIN cite{17185560}</w:instrText>
      </w:r>
      <w:r w:rsidR="00572B35">
        <w:rPr>
          <w:rFonts w:ascii="Georgia" w:eastAsia="Georgia" w:hAnsi="Georgia" w:cs="Georgia"/>
          <w:u w:val="single"/>
        </w:rPr>
        <w:fldChar w:fldCharType="separate"/>
      </w:r>
      <w:r w:rsidR="00572B35">
        <w:rPr>
          <w:rFonts w:ascii="Times New Roman" w:hAnsi="Times New Roman"/>
          <w:sz w:val="24"/>
          <w:vertAlign w:val="superscript"/>
        </w:rPr>
        <w:t>9</w:t>
      </w:r>
      <w:r w:rsidR="00572B35">
        <w:rPr>
          <w:rFonts w:ascii="Georgia" w:eastAsia="Georgia" w:hAnsi="Georgia" w:cs="Georgia"/>
          <w:u w:val="single"/>
        </w:rPr>
        <w:fldChar w:fldCharType="end"/>
      </w:r>
      <w:r>
        <w:rPr>
          <w:rFonts w:ascii="Georgia" w:eastAsia="Georgia" w:hAnsi="Georgia" w:cs="Georgia"/>
          <w:u w:val="single"/>
        </w:rPr>
        <w:t>, and they are often implicated in diseases</w:t>
      </w:r>
      <w:r w:rsidR="00572B35">
        <w:rPr>
          <w:rFonts w:ascii="Georgia" w:eastAsia="Georgia" w:hAnsi="Georgia" w:cs="Georgia"/>
          <w:u w:val="single"/>
        </w:rPr>
        <w:fldChar w:fldCharType="begin"/>
      </w:r>
      <w:r w:rsidR="00572B35">
        <w:rPr>
          <w:rFonts w:ascii="Georgia" w:eastAsia="Georgia" w:hAnsi="Georgia" w:cs="Georgia"/>
          <w:u w:val="single"/>
        </w:rPr>
        <w:instrText xml:space="preserve"> ADDIN cite{23138309,16728641}</w:instrText>
      </w:r>
      <w:r w:rsidR="00572B35">
        <w:rPr>
          <w:rFonts w:ascii="Georgia" w:eastAsia="Georgia" w:hAnsi="Georgia" w:cs="Georgia"/>
          <w:u w:val="single"/>
        </w:rPr>
        <w:fldChar w:fldCharType="separate"/>
      </w:r>
      <w:r w:rsidR="00572B35">
        <w:rPr>
          <w:rFonts w:ascii="Times New Roman" w:hAnsi="Times New Roman"/>
          <w:sz w:val="24"/>
          <w:vertAlign w:val="superscript"/>
        </w:rPr>
        <w:t>10, 11</w:t>
      </w:r>
      <w:r w:rsidR="00572B35">
        <w:rPr>
          <w:rFonts w:ascii="Georgia" w:eastAsia="Georgia" w:hAnsi="Georgia" w:cs="Georgia"/>
          <w:u w:val="single"/>
        </w:rPr>
        <w:fldChar w:fldCharType="end"/>
      </w:r>
      <w:r>
        <w:rPr>
          <w:rFonts w:ascii="Georgia" w:eastAsia="Georgia" w:hAnsi="Georgia" w:cs="Georgia"/>
          <w:u w:val="single"/>
        </w:rPr>
        <w:t>.</w:t>
      </w:r>
      <w:r>
        <w:rPr>
          <w:rFonts w:ascii="Georgia" w:eastAsia="Georgia" w:hAnsi="Georgia" w:cs="Georgia"/>
        </w:rPr>
        <w:t xml:space="preserve"> Many non-coding variants impact regulatory elements. Such variation in the human genome can modulate gene expression</w:t>
      </w:r>
      <w:r w:rsidR="00572B35">
        <w:rPr>
          <w:rFonts w:ascii="Georgia" w:eastAsia="Georgia" w:hAnsi="Georgia" w:cs="Georgia"/>
        </w:rPr>
        <w:fldChar w:fldCharType="begin"/>
      </w:r>
      <w:r w:rsidR="00572B35">
        <w:rPr>
          <w:rFonts w:ascii="Georgia" w:eastAsia="Georgia" w:hAnsi="Georgia" w:cs="Georgia"/>
        </w:rPr>
        <w:instrText xml:space="preserve"> ADDIN cite{19636342}</w:instrText>
      </w:r>
      <w:r w:rsidR="00572B35">
        <w:rPr>
          <w:rFonts w:ascii="Georgia" w:eastAsia="Georgia" w:hAnsi="Georgia" w:cs="Georgia"/>
        </w:rPr>
        <w:fldChar w:fldCharType="separate"/>
      </w:r>
      <w:r w:rsidR="00572B35">
        <w:rPr>
          <w:rFonts w:ascii="Times New Roman" w:hAnsi="Times New Roman"/>
          <w:sz w:val="24"/>
          <w:vertAlign w:val="superscript"/>
        </w:rPr>
        <w:t>12</w:t>
      </w:r>
      <w:r w:rsidR="00572B35">
        <w:rPr>
          <w:rFonts w:ascii="Georgia" w:eastAsia="Georgia" w:hAnsi="Georgia" w:cs="Georgia"/>
        </w:rPr>
        <w:fldChar w:fldCharType="end"/>
      </w:r>
      <w:r>
        <w:rPr>
          <w:rFonts w:ascii="Georgia" w:eastAsia="Georgia" w:hAnsi="Georgia" w:cs="Georgia"/>
        </w:rPr>
        <w:t>, and changes in this expression have been implicated in cancer and other diseases</w:t>
      </w:r>
      <w:r w:rsidR="00572B35">
        <w:rPr>
          <w:rFonts w:ascii="Georgia" w:eastAsia="Georgia" w:hAnsi="Georgia" w:cs="Georgia"/>
        </w:rPr>
        <w:fldChar w:fldCharType="begin"/>
      </w:r>
      <w:r w:rsidR="00572B35">
        <w:rPr>
          <w:rFonts w:ascii="Georgia" w:eastAsia="Georgia" w:hAnsi="Georgia" w:cs="Georgia"/>
        </w:rPr>
        <w:instrText xml:space="preserve"> ADDIN cite{23374354,23348506,23348503,7663520,19165925,18971308}</w:instrText>
      </w:r>
      <w:r w:rsidR="00572B35">
        <w:rPr>
          <w:rFonts w:ascii="Georgia" w:eastAsia="Georgia" w:hAnsi="Georgia" w:cs="Georgia"/>
        </w:rPr>
        <w:fldChar w:fldCharType="separate"/>
      </w:r>
      <w:r w:rsidR="00572B35">
        <w:rPr>
          <w:rFonts w:ascii="Times New Roman" w:hAnsi="Times New Roman"/>
          <w:sz w:val="24"/>
          <w:vertAlign w:val="superscript"/>
        </w:rPr>
        <w:t>13, 14, 15, 16, 17, 18</w:t>
      </w:r>
      <w:r w:rsidR="00572B35">
        <w:rPr>
          <w:rFonts w:ascii="Georgia" w:eastAsia="Georgia" w:hAnsi="Georgia" w:cs="Georgia"/>
        </w:rPr>
        <w:fldChar w:fldCharType="end"/>
      </w:r>
      <w:r>
        <w:rPr>
          <w:rFonts w:ascii="Georgia" w:eastAsia="Georgia" w:hAnsi="Georgia" w:cs="Georgia"/>
        </w:rPr>
        <w:t>.</w:t>
      </w:r>
    </w:p>
    <w:p w14:paraId="200513CA" w14:textId="77777777" w:rsidR="00427F75" w:rsidRDefault="00F76E2A">
      <w:pPr>
        <w:pStyle w:val="normal0"/>
        <w:spacing w:line="240" w:lineRule="auto"/>
      </w:pPr>
      <w:r>
        <w:rPr>
          <w:b/>
        </w:rPr>
        <w:t>B-</w:t>
      </w:r>
      <w:proofErr w:type="gramStart"/>
      <w:r>
        <w:rPr>
          <w:b/>
        </w:rPr>
        <w:t>2  Rare</w:t>
      </w:r>
      <w:proofErr w:type="gramEnd"/>
      <w:r>
        <w:rPr>
          <w:b/>
        </w:rPr>
        <w:t xml:space="preserve"> variants are important for disease but have received less attention than common/GWAS variants</w:t>
      </w:r>
    </w:p>
    <w:p w14:paraId="6A9CCC97" w14:textId="494A2AD6" w:rsidR="00427F75" w:rsidRPr="006731E2" w:rsidRDefault="00F76E2A">
      <w:pPr>
        <w:pStyle w:val="normal0"/>
        <w:spacing w:line="240" w:lineRule="auto"/>
        <w:rPr>
          <w:rFonts w:ascii="Georgia" w:eastAsia="Georgia" w:hAnsi="Georgia" w:cs="Georgia"/>
        </w:rPr>
      </w:pPr>
      <w:r>
        <w:rPr>
          <w:rFonts w:ascii="Georgia" w:eastAsia="Georgia" w:hAnsi="Georgia" w:cs="Georgia"/>
        </w:rPr>
        <w:t>There have been a large number of GWAS studies</w:t>
      </w:r>
      <w:r w:rsidR="00572B35">
        <w:rPr>
          <w:rFonts w:ascii="Georgia" w:eastAsia="Georgia" w:hAnsi="Georgia" w:cs="Georgia"/>
        </w:rPr>
        <w:fldChar w:fldCharType="begin"/>
      </w:r>
      <w:r w:rsidR="00572B35">
        <w:rPr>
          <w:rFonts w:ascii="Georgia" w:eastAsia="Georgia" w:hAnsi="Georgia" w:cs="Georgia"/>
        </w:rPr>
        <w:instrText xml:space="preserve"> ADDIN cite{24316577,24943344,19474294,17529974,18264098}</w:instrText>
      </w:r>
      <w:r w:rsidR="00572B35">
        <w:rPr>
          <w:rFonts w:ascii="Georgia" w:eastAsia="Georgia" w:hAnsi="Georgia" w:cs="Georgia"/>
        </w:rPr>
        <w:fldChar w:fldCharType="separate"/>
      </w:r>
      <w:r w:rsidR="00572B35">
        <w:rPr>
          <w:rFonts w:ascii="Times New Roman" w:hAnsi="Times New Roman"/>
          <w:sz w:val="24"/>
          <w:vertAlign w:val="superscript"/>
        </w:rPr>
        <w:t>19, 20, 21, 22, 23</w:t>
      </w:r>
      <w:r w:rsidR="00572B35">
        <w:rPr>
          <w:rFonts w:ascii="Georgia" w:eastAsia="Georgia" w:hAnsi="Georgia" w:cs="Georgia"/>
        </w:rPr>
        <w:fldChar w:fldCharType="end"/>
      </w:r>
      <w:r>
        <w:rPr>
          <w:rFonts w:ascii="Georgia" w:eastAsia="Georgia" w:hAnsi="Georgia" w:cs="Georgia"/>
        </w:rPr>
        <w:t>, which have primarily focused on associating common genetic variants with diseases. However, growing evidence suggests that rare genetic variants may have strong effects in many human diseases, including cancers</w:t>
      </w:r>
      <w:r w:rsidR="00572B35">
        <w:rPr>
          <w:rFonts w:ascii="Georgia" w:eastAsia="Georgia" w:hAnsi="Georgia" w:cs="Georgia"/>
        </w:rPr>
        <w:fldChar w:fldCharType="begin"/>
      </w:r>
      <w:r w:rsidR="00572B35">
        <w:rPr>
          <w:rFonts w:ascii="Georgia" w:eastAsia="Georgia" w:hAnsi="Georgia" w:cs="Georgia"/>
        </w:rPr>
        <w:instrText xml:space="preserve"> ADDIN cite{11404818}</w:instrText>
      </w:r>
      <w:r w:rsidR="00572B35">
        <w:rPr>
          <w:rFonts w:ascii="Georgia" w:eastAsia="Georgia" w:hAnsi="Georgia" w:cs="Georgia"/>
        </w:rPr>
        <w:fldChar w:fldCharType="separate"/>
      </w:r>
      <w:r w:rsidR="00572B35">
        <w:rPr>
          <w:rFonts w:ascii="Times New Roman" w:hAnsi="Times New Roman"/>
          <w:sz w:val="24"/>
          <w:vertAlign w:val="superscript"/>
        </w:rPr>
        <w:t>24</w:t>
      </w:r>
      <w:r w:rsidR="00572B35">
        <w:rPr>
          <w:rFonts w:ascii="Georgia" w:eastAsia="Georgia" w:hAnsi="Georgia" w:cs="Georgia"/>
        </w:rPr>
        <w:fldChar w:fldCharType="end"/>
      </w:r>
      <w:r>
        <w:rPr>
          <w:rFonts w:ascii="Georgia" w:eastAsia="Georgia" w:hAnsi="Georgia" w:cs="Georgia"/>
        </w:rPr>
        <w:t>. Increased disease susceptibility is often attributed to the cumulative effect produced by multiple rare variants</w:t>
      </w:r>
      <w:r w:rsidR="00572B35">
        <w:rPr>
          <w:rFonts w:ascii="Georgia" w:eastAsia="Georgia" w:hAnsi="Georgia" w:cs="Georgia"/>
        </w:rPr>
        <w:fldChar w:fldCharType="begin"/>
      </w:r>
      <w:r w:rsidR="00572B35">
        <w:rPr>
          <w:rFonts w:ascii="Georgia" w:eastAsia="Georgia" w:hAnsi="Georgia" w:cs="Georgia"/>
        </w:rPr>
        <w:instrText xml:space="preserve"> ADDIN cite{20554195}</w:instrText>
      </w:r>
      <w:r w:rsidR="00572B35">
        <w:rPr>
          <w:rFonts w:ascii="Georgia" w:eastAsia="Georgia" w:hAnsi="Georgia" w:cs="Georgia"/>
        </w:rPr>
        <w:fldChar w:fldCharType="separate"/>
      </w:r>
      <w:r w:rsidR="00572B35">
        <w:rPr>
          <w:rFonts w:ascii="Times New Roman" w:hAnsi="Times New Roman"/>
          <w:sz w:val="24"/>
          <w:vertAlign w:val="superscript"/>
        </w:rPr>
        <w:t>25</w:t>
      </w:r>
      <w:r w:rsidR="00572B35">
        <w:rPr>
          <w:rFonts w:ascii="Georgia" w:eastAsia="Georgia" w:hAnsi="Georgia" w:cs="Georgia"/>
        </w:rPr>
        <w:fldChar w:fldCharType="end"/>
      </w:r>
      <w:r>
        <w:rPr>
          <w:rFonts w:ascii="Georgia" w:eastAsia="Georgia" w:hAnsi="Georgia" w:cs="Georgia"/>
        </w:rPr>
        <w:t xml:space="preserve"> -- eg rare germline variants in the CHEK2 and HBOX genes were associated with breast and prostate cancer, r</w:t>
      </w:r>
      <w:r w:rsidR="00FD2CBA">
        <w:rPr>
          <w:rFonts w:ascii="Georgia" w:eastAsia="Georgia" w:hAnsi="Georgia" w:cs="Georgia"/>
        </w:rPr>
        <w:t>espectively</w:t>
      </w:r>
      <w:r w:rsidR="00572B35">
        <w:rPr>
          <w:rFonts w:ascii="Georgia" w:eastAsia="Georgia" w:hAnsi="Georgia" w:cs="Georgia"/>
        </w:rPr>
        <w:fldChar w:fldCharType="begin"/>
      </w:r>
      <w:r w:rsidR="00572B35">
        <w:rPr>
          <w:rFonts w:ascii="Georgia" w:eastAsia="Georgia" w:hAnsi="Georgia" w:cs="Georgia"/>
        </w:rPr>
        <w:instrText xml:space="preserve"> ADDIN cite{22236224,16982735}</w:instrText>
      </w:r>
      <w:r w:rsidR="00572B35">
        <w:rPr>
          <w:rFonts w:ascii="Georgia" w:eastAsia="Georgia" w:hAnsi="Georgia" w:cs="Georgia"/>
        </w:rPr>
        <w:fldChar w:fldCharType="separate"/>
      </w:r>
      <w:r w:rsidR="00572B35">
        <w:rPr>
          <w:rFonts w:ascii="Times New Roman" w:hAnsi="Times New Roman"/>
          <w:sz w:val="24"/>
          <w:vertAlign w:val="superscript"/>
        </w:rPr>
        <w:t>26, 27</w:t>
      </w:r>
      <w:r w:rsidR="00572B35">
        <w:rPr>
          <w:rFonts w:ascii="Georgia" w:eastAsia="Georgia" w:hAnsi="Georgia" w:cs="Georgia"/>
        </w:rPr>
        <w:fldChar w:fldCharType="end"/>
      </w:r>
      <w:r>
        <w:rPr>
          <w:rFonts w:ascii="Georgia" w:eastAsia="Georgia" w:hAnsi="Georgia" w:cs="Georgia"/>
        </w:rPr>
        <w:t>.</w:t>
      </w:r>
    </w:p>
    <w:p w14:paraId="6C933AA3" w14:textId="77777777" w:rsidR="00427F75" w:rsidRDefault="00F76E2A">
      <w:pPr>
        <w:pStyle w:val="normal0"/>
        <w:spacing w:line="240" w:lineRule="auto"/>
      </w:pPr>
      <w:r>
        <w:rPr>
          <w:b/>
        </w:rPr>
        <w:t>B-</w:t>
      </w:r>
      <w:proofErr w:type="gramStart"/>
      <w:r>
        <w:rPr>
          <w:b/>
        </w:rPr>
        <w:t>3  Recent</w:t>
      </w:r>
      <w:proofErr w:type="gramEnd"/>
      <w:r>
        <w:rPr>
          <w:b/>
        </w:rPr>
        <w:t xml:space="preserve"> progress in annotating non-coding regions of the genome provides new opportunities for variant interpretation</w:t>
      </w:r>
    </w:p>
    <w:p w14:paraId="673D6916" w14:textId="47829878" w:rsidR="00427F75" w:rsidRDefault="00F76E2A">
      <w:pPr>
        <w:pStyle w:val="normal0"/>
        <w:spacing w:line="240" w:lineRule="auto"/>
      </w:pPr>
      <w:r>
        <w:rPr>
          <w:rFonts w:ascii="Georgia" w:eastAsia="Georgia" w:hAnsi="Georgia" w:cs="Georgia"/>
        </w:rPr>
        <w:t>Annotating non-coding regions is essential for investigating genome evolution</w:t>
      </w:r>
      <w:r w:rsidR="00572B35">
        <w:rPr>
          <w:rFonts w:ascii="Georgia" w:eastAsia="Georgia" w:hAnsi="Georgia" w:cs="Georgia"/>
        </w:rPr>
        <w:fldChar w:fldCharType="begin"/>
      </w:r>
      <w:r w:rsidR="00572B35">
        <w:rPr>
          <w:rFonts w:ascii="Georgia" w:eastAsia="Georgia" w:hAnsi="Georgia" w:cs="Georgia"/>
        </w:rPr>
        <w:instrText xml:space="preserve"> ADDIN cite{16987880}</w:instrText>
      </w:r>
      <w:r w:rsidR="00572B35">
        <w:rPr>
          <w:rFonts w:ascii="Georgia" w:eastAsia="Georgia" w:hAnsi="Georgia" w:cs="Georgia"/>
        </w:rPr>
        <w:fldChar w:fldCharType="separate"/>
      </w:r>
      <w:r w:rsidR="00572B35">
        <w:rPr>
          <w:rFonts w:ascii="Times New Roman" w:hAnsi="Times New Roman"/>
          <w:sz w:val="24"/>
          <w:vertAlign w:val="superscript"/>
        </w:rPr>
        <w:t>28</w:t>
      </w:r>
      <w:r w:rsidR="00572B35">
        <w:rPr>
          <w:rFonts w:ascii="Georgia" w:eastAsia="Georgia" w:hAnsi="Georgia" w:cs="Georgia"/>
        </w:rPr>
        <w:fldChar w:fldCharType="end"/>
      </w:r>
      <w:r>
        <w:rPr>
          <w:rFonts w:ascii="Georgia" w:eastAsia="Georgia" w:hAnsi="Georgia" w:cs="Georgia"/>
        </w:rPr>
        <w:t>, understanding important biological functions (including gene regulation and RNA processing)</w:t>
      </w:r>
      <w:r w:rsidR="00572B35">
        <w:rPr>
          <w:rFonts w:ascii="Georgia" w:eastAsia="Georgia" w:hAnsi="Georgia" w:cs="Georgia"/>
        </w:rPr>
        <w:fldChar w:fldCharType="begin"/>
      </w:r>
      <w:r w:rsidR="00572B35">
        <w:rPr>
          <w:rFonts w:ascii="Georgia" w:eastAsia="Georgia" w:hAnsi="Georgia" w:cs="Georgia"/>
        </w:rPr>
        <w:instrText xml:space="preserve"> ADDIN cite{19148191}</w:instrText>
      </w:r>
      <w:r w:rsidR="00572B35">
        <w:rPr>
          <w:rFonts w:ascii="Georgia" w:eastAsia="Georgia" w:hAnsi="Georgia" w:cs="Georgia"/>
        </w:rPr>
        <w:fldChar w:fldCharType="separate"/>
      </w:r>
      <w:r w:rsidR="00572B35">
        <w:rPr>
          <w:rFonts w:ascii="Times New Roman" w:hAnsi="Times New Roman"/>
          <w:sz w:val="24"/>
          <w:vertAlign w:val="superscript"/>
        </w:rPr>
        <w:t>29</w:t>
      </w:r>
      <w:r w:rsidR="00572B35">
        <w:rPr>
          <w:rFonts w:ascii="Georgia" w:eastAsia="Georgia" w:hAnsi="Georgia" w:cs="Georgia"/>
        </w:rPr>
        <w:fldChar w:fldCharType="end"/>
      </w:r>
      <w:r>
        <w:rPr>
          <w:rFonts w:ascii="Georgia" w:eastAsia="Georgia" w:hAnsi="Georgia" w:cs="Georgia"/>
        </w:rPr>
        <w:t>, and for elucidating how SNPs and structural variation may influence disease</w:t>
      </w:r>
      <w:r w:rsidR="00572B35">
        <w:rPr>
          <w:rFonts w:ascii="Georgia" w:eastAsia="Georgia" w:hAnsi="Georgia" w:cs="Georgia"/>
        </w:rPr>
        <w:fldChar w:fldCharType="begin"/>
      </w:r>
      <w:r w:rsidR="00572B35">
        <w:rPr>
          <w:rFonts w:ascii="Georgia" w:eastAsia="Georgia" w:hAnsi="Georgia" w:cs="Georgia"/>
        </w:rPr>
        <w:instrText xml:space="preserve"> ADDIN cite{15549674}</w:instrText>
      </w:r>
      <w:r w:rsidR="00572B35">
        <w:rPr>
          <w:rFonts w:ascii="Georgia" w:eastAsia="Georgia" w:hAnsi="Georgia" w:cs="Georgia"/>
        </w:rPr>
        <w:fldChar w:fldCharType="separate"/>
      </w:r>
      <w:r w:rsidR="00572B35">
        <w:rPr>
          <w:rFonts w:ascii="Times New Roman" w:hAnsi="Times New Roman"/>
          <w:sz w:val="24"/>
          <w:vertAlign w:val="superscript"/>
        </w:rPr>
        <w:t>30</w:t>
      </w:r>
      <w:r w:rsidR="00572B35">
        <w:rPr>
          <w:rFonts w:ascii="Georgia" w:eastAsia="Georgia" w:hAnsi="Georgia" w:cs="Georgia"/>
        </w:rPr>
        <w:fldChar w:fldCharType="end"/>
      </w:r>
      <w:r>
        <w:rPr>
          <w:rFonts w:ascii="Georgia" w:eastAsia="Georgia" w:hAnsi="Georgia" w:cs="Georgia"/>
        </w:rPr>
        <w:t>. The Encyclopedia of DNA Elements (ENCODE) and the model organism ENCODE (modENCODE) Project provide extensive genomic annotation of human</w:t>
      </w:r>
      <w:r w:rsidR="00572B35">
        <w:rPr>
          <w:rFonts w:ascii="Georgia" w:eastAsia="Georgia" w:hAnsi="Georgia" w:cs="Georgia"/>
        </w:rPr>
        <w:fldChar w:fldCharType="begin"/>
      </w:r>
      <w:r w:rsidR="00572B35">
        <w:rPr>
          <w:rFonts w:ascii="Georgia" w:eastAsia="Georgia" w:hAnsi="Georgia" w:cs="Georgia"/>
        </w:rPr>
        <w:instrText xml:space="preserve"> ADDIN cite{22955616}</w:instrText>
      </w:r>
      <w:r w:rsidR="00572B35">
        <w:rPr>
          <w:rFonts w:ascii="Georgia" w:eastAsia="Georgia" w:hAnsi="Georgia" w:cs="Georgia"/>
        </w:rPr>
        <w:fldChar w:fldCharType="separate"/>
      </w:r>
      <w:r w:rsidR="00572B35">
        <w:rPr>
          <w:rFonts w:ascii="Times New Roman" w:hAnsi="Times New Roman"/>
          <w:sz w:val="24"/>
          <w:vertAlign w:val="superscript"/>
        </w:rPr>
        <w:t>31</w:t>
      </w:r>
      <w:r w:rsidR="00572B35">
        <w:rPr>
          <w:rFonts w:ascii="Georgia" w:eastAsia="Georgia" w:hAnsi="Georgia" w:cs="Georgia"/>
        </w:rPr>
        <w:fldChar w:fldCharType="end"/>
      </w:r>
      <w:r>
        <w:rPr>
          <w:rFonts w:ascii="Georgia" w:eastAsia="Georgia" w:hAnsi="Georgia" w:cs="Georgia"/>
        </w:rPr>
        <w:t>, drosophila</w:t>
      </w:r>
      <w:r w:rsidR="00572B35">
        <w:rPr>
          <w:rFonts w:ascii="Georgia" w:eastAsia="Georgia" w:hAnsi="Georgia" w:cs="Georgia"/>
        </w:rPr>
        <w:fldChar w:fldCharType="begin"/>
      </w:r>
      <w:r w:rsidR="00572B35">
        <w:rPr>
          <w:rFonts w:ascii="Georgia" w:eastAsia="Georgia" w:hAnsi="Georgia" w:cs="Georgia"/>
        </w:rPr>
        <w:instrText xml:space="preserve"> ADDIN cite{21177974}</w:instrText>
      </w:r>
      <w:r w:rsidR="00572B35">
        <w:rPr>
          <w:rFonts w:ascii="Georgia" w:eastAsia="Georgia" w:hAnsi="Georgia" w:cs="Georgia"/>
        </w:rPr>
        <w:fldChar w:fldCharType="separate"/>
      </w:r>
      <w:r w:rsidR="00572B35">
        <w:rPr>
          <w:rFonts w:ascii="Times New Roman" w:hAnsi="Times New Roman"/>
          <w:sz w:val="24"/>
          <w:vertAlign w:val="superscript"/>
        </w:rPr>
        <w:t>32</w:t>
      </w:r>
      <w:r w:rsidR="00572B35">
        <w:rPr>
          <w:rFonts w:ascii="Georgia" w:eastAsia="Georgia" w:hAnsi="Georgia" w:cs="Georgia"/>
        </w:rPr>
        <w:fldChar w:fldCharType="end"/>
      </w:r>
      <w:r>
        <w:rPr>
          <w:rFonts w:ascii="Georgia" w:eastAsia="Georgia" w:hAnsi="Georgia" w:cs="Georgia"/>
        </w:rPr>
        <w:t xml:space="preserve"> and </w:t>
      </w:r>
      <w:r>
        <w:rPr>
          <w:rFonts w:ascii="Georgia" w:eastAsia="Georgia" w:hAnsi="Georgia" w:cs="Georgia"/>
          <w:i/>
        </w:rPr>
        <w:t>C. elegans</w:t>
      </w:r>
      <w:r w:rsidR="00572B35">
        <w:rPr>
          <w:rFonts w:ascii="Georgia" w:eastAsia="Georgia" w:hAnsi="Georgia" w:cs="Georgia"/>
          <w:i/>
        </w:rPr>
        <w:fldChar w:fldCharType="begin"/>
      </w:r>
      <w:r w:rsidR="00572B35">
        <w:rPr>
          <w:rFonts w:ascii="Georgia" w:eastAsia="Georgia" w:hAnsi="Georgia" w:cs="Georgia"/>
          <w:i/>
        </w:rPr>
        <w:instrText xml:space="preserve"> ADDIN cite{21177976}</w:instrText>
      </w:r>
      <w:r w:rsidR="00572B35">
        <w:rPr>
          <w:rFonts w:ascii="Georgia" w:eastAsia="Georgia" w:hAnsi="Georgia" w:cs="Georgia"/>
          <w:i/>
        </w:rPr>
        <w:fldChar w:fldCharType="separate"/>
      </w:r>
      <w:r w:rsidR="00572B35">
        <w:rPr>
          <w:rFonts w:ascii="Times New Roman" w:hAnsi="Times New Roman"/>
          <w:sz w:val="24"/>
          <w:vertAlign w:val="superscript"/>
        </w:rPr>
        <w:t>33</w:t>
      </w:r>
      <w:r w:rsidR="00572B35">
        <w:rPr>
          <w:rFonts w:ascii="Georgia" w:eastAsia="Georgia" w:hAnsi="Georgia" w:cs="Georgia"/>
          <w:i/>
        </w:rPr>
        <w:fldChar w:fldCharType="end"/>
      </w:r>
      <w:r>
        <w:rPr>
          <w:rFonts w:ascii="Georgia" w:eastAsia="Georgia" w:hAnsi="Georgia" w:cs="Georgia"/>
        </w:rPr>
        <w:t xml:space="preserve"> genomes. Furthermore, the functional landscape of regulatory variations in the human genome has been investigated by large-scale mRNA and miRNA sequencing (Fig 1)</w:t>
      </w:r>
      <w:r w:rsidR="00572B35">
        <w:rPr>
          <w:rFonts w:ascii="Georgia" w:eastAsia="Georgia" w:hAnsi="Georgia" w:cs="Georgia"/>
        </w:rPr>
        <w:fldChar w:fldCharType="begin"/>
      </w:r>
      <w:r w:rsidR="00572B35">
        <w:rPr>
          <w:rFonts w:ascii="Georgia" w:eastAsia="Georgia" w:hAnsi="Georgia" w:cs="Georgia"/>
        </w:rPr>
        <w:instrText xml:space="preserve"> ADDIN cite{24037378,20220756,20220758,24092820}</w:instrText>
      </w:r>
      <w:r w:rsidR="00572B35">
        <w:rPr>
          <w:rFonts w:ascii="Georgia" w:eastAsia="Georgia" w:hAnsi="Georgia" w:cs="Georgia"/>
        </w:rPr>
        <w:fldChar w:fldCharType="separate"/>
      </w:r>
      <w:r w:rsidR="00572B35">
        <w:rPr>
          <w:rFonts w:ascii="Times New Roman" w:hAnsi="Times New Roman"/>
          <w:sz w:val="24"/>
          <w:vertAlign w:val="superscript"/>
        </w:rPr>
        <w:t>34, 35, 36, 37</w:t>
      </w:r>
      <w:r w:rsidR="00572B35">
        <w:rPr>
          <w:rFonts w:ascii="Georgia" w:eastAsia="Georgia" w:hAnsi="Georgia" w:cs="Georgia"/>
        </w:rPr>
        <w:fldChar w:fldCharType="end"/>
      </w:r>
      <w:r w:rsidR="004833CB">
        <w:rPr>
          <w:rFonts w:ascii="Georgia" w:eastAsia="Georgia" w:hAnsi="Georgia" w:cs="Georgia"/>
        </w:rPr>
        <w:t>.</w:t>
      </w:r>
      <w:r>
        <w:rPr>
          <w:rFonts w:ascii="Georgia" w:eastAsia="Georgia" w:hAnsi="Georgia" w:cs="Georgia"/>
        </w:rPr>
        <w:t>Similar efforts have also been directed toward annotating human epigenomic data</w:t>
      </w:r>
      <w:r w:rsidR="00572B35">
        <w:rPr>
          <w:rFonts w:ascii="Georgia" w:eastAsia="Georgia" w:hAnsi="Georgia" w:cs="Georgia"/>
        </w:rPr>
        <w:fldChar w:fldCharType="begin"/>
      </w:r>
      <w:r w:rsidR="00572B35">
        <w:rPr>
          <w:rFonts w:ascii="Georgia" w:eastAsia="Georgia" w:hAnsi="Georgia" w:cs="Georgia"/>
        </w:rPr>
        <w:instrText xml:space="preserve"> ADDIN cite{25693568,25363779,25327398,25690851,25690853}</w:instrText>
      </w:r>
      <w:r w:rsidR="00572B35">
        <w:rPr>
          <w:rFonts w:ascii="Georgia" w:eastAsia="Georgia" w:hAnsi="Georgia" w:cs="Georgia"/>
        </w:rPr>
        <w:fldChar w:fldCharType="separate"/>
      </w:r>
      <w:r w:rsidR="00572B35">
        <w:rPr>
          <w:rFonts w:ascii="Times New Roman" w:hAnsi="Times New Roman"/>
          <w:sz w:val="24"/>
          <w:vertAlign w:val="superscript"/>
        </w:rPr>
        <w:t>38, 39, 40, 41, 42</w:t>
      </w:r>
      <w:r w:rsidR="00572B35">
        <w:rPr>
          <w:rFonts w:ascii="Georgia" w:eastAsia="Georgia" w:hAnsi="Georgia" w:cs="Georgia"/>
        </w:rPr>
        <w:fldChar w:fldCharType="end"/>
      </w:r>
      <w:r>
        <w:rPr>
          <w:rFonts w:ascii="Georgia" w:eastAsia="Georgia" w:hAnsi="Georgia" w:cs="Georgia"/>
        </w:rPr>
        <w:t>, as well as understanding the influence of genomic variation on the gene expression profiles</w:t>
      </w:r>
      <w:r w:rsidR="00572B35">
        <w:rPr>
          <w:rFonts w:ascii="Georgia" w:eastAsia="Georgia" w:hAnsi="Georgia" w:cs="Georgia"/>
        </w:rPr>
        <w:fldChar w:fldCharType="begin"/>
      </w:r>
      <w:r w:rsidR="00572B35">
        <w:rPr>
          <w:rFonts w:ascii="Georgia" w:eastAsia="Georgia" w:hAnsi="Georgia" w:cs="Georgia"/>
        </w:rPr>
        <w:instrText xml:space="preserve"> ADDIN cite{23715323,25954003,25954002,25954001,25953952}</w:instrText>
      </w:r>
      <w:r w:rsidR="00572B35">
        <w:rPr>
          <w:rFonts w:ascii="Georgia" w:eastAsia="Georgia" w:hAnsi="Georgia" w:cs="Georgia"/>
        </w:rPr>
        <w:fldChar w:fldCharType="separate"/>
      </w:r>
      <w:r w:rsidR="00572B35">
        <w:rPr>
          <w:rFonts w:ascii="Times New Roman" w:hAnsi="Times New Roman"/>
          <w:sz w:val="24"/>
          <w:vertAlign w:val="superscript"/>
        </w:rPr>
        <w:t>43, 44, 45, 46, 47</w:t>
      </w:r>
      <w:r w:rsidR="00572B35">
        <w:rPr>
          <w:rFonts w:ascii="Georgia" w:eastAsia="Georgia" w:hAnsi="Georgia" w:cs="Georgia"/>
        </w:rPr>
        <w:fldChar w:fldCharType="end"/>
      </w:r>
      <w:r>
        <w:rPr>
          <w:rFonts w:ascii="Georgia" w:eastAsia="Georgia" w:hAnsi="Georgia" w:cs="Georgia"/>
        </w:rPr>
        <w:t>. These Expression Quantitative Trait Loci (eQTL) can further be utilized to investigate underlying disease mechanisms</w:t>
      </w:r>
      <w:r w:rsidR="00572B35">
        <w:rPr>
          <w:rFonts w:ascii="Georgia" w:eastAsia="Georgia" w:hAnsi="Georgia" w:cs="Georgia"/>
        </w:rPr>
        <w:fldChar w:fldCharType="begin"/>
      </w:r>
      <w:r w:rsidR="00572B35">
        <w:rPr>
          <w:rFonts w:ascii="Georgia" w:eastAsia="Georgia" w:hAnsi="Georgia" w:cs="Georgia"/>
        </w:rPr>
        <w:instrText xml:space="preserve"> ADDIN cite{23482391}</w:instrText>
      </w:r>
      <w:r w:rsidR="00572B35">
        <w:rPr>
          <w:rFonts w:ascii="Georgia" w:eastAsia="Georgia" w:hAnsi="Georgia" w:cs="Georgia"/>
        </w:rPr>
        <w:fldChar w:fldCharType="separate"/>
      </w:r>
      <w:r w:rsidR="00572B35">
        <w:rPr>
          <w:rFonts w:ascii="Times New Roman" w:hAnsi="Times New Roman"/>
          <w:sz w:val="24"/>
          <w:vertAlign w:val="superscript"/>
        </w:rPr>
        <w:t>48</w:t>
      </w:r>
      <w:r w:rsidR="00572B35">
        <w:rPr>
          <w:rFonts w:ascii="Georgia" w:eastAsia="Georgia" w:hAnsi="Georgia" w:cs="Georgia"/>
        </w:rPr>
        <w:fldChar w:fldCharType="end"/>
      </w:r>
      <w:r>
        <w:rPr>
          <w:rFonts w:ascii="Georgia" w:eastAsia="Georgia" w:hAnsi="Georgia" w:cs="Georgia"/>
        </w:rPr>
        <w:t>.</w:t>
      </w:r>
    </w:p>
    <w:p w14:paraId="39F56428" w14:textId="77777777" w:rsidR="00427F75" w:rsidRDefault="00F76E2A">
      <w:pPr>
        <w:pStyle w:val="normal0"/>
        <w:spacing w:line="240" w:lineRule="auto"/>
      </w:pPr>
      <w:r>
        <w:rPr>
          <w:b/>
          <w:i/>
        </w:rPr>
        <w:t>C.  Innovation</w:t>
      </w:r>
    </w:p>
    <w:p w14:paraId="16103357" w14:textId="77777777" w:rsidR="00427F75" w:rsidRDefault="00F76E2A">
      <w:pPr>
        <w:pStyle w:val="normal0"/>
        <w:spacing w:line="240" w:lineRule="auto"/>
      </w:pPr>
      <w:r>
        <w:rPr>
          <w:rFonts w:ascii="Georgia" w:eastAsia="Georgia" w:hAnsi="Georgia" w:cs="Georgia"/>
        </w:rPr>
        <w:t xml:space="preserve">Our method will combine various large-scale genomics data to interpret rare non-coding variants associated with increased cancer risk. </w:t>
      </w:r>
      <w:r>
        <w:rPr>
          <w:rFonts w:ascii="Georgia" w:eastAsia="Georgia" w:hAnsi="Georgia" w:cs="Georgia"/>
          <w:u w:val="single"/>
        </w:rPr>
        <w:t>Currently, no computational pipeline exists with focused analysis for rare germline variants associated with increased risk.</w:t>
      </w:r>
      <w:r>
        <w:rPr>
          <w:rFonts w:ascii="Georgia" w:eastAsia="Georgia" w:hAnsi="Georgia" w:cs="Georgia"/>
        </w:rPr>
        <w:t xml:space="preserve"> Moreover, large-scale consortia, such as The 1000 Genomes Project and ENCODE, have produced data that have been used in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14:paraId="068E5E29" w14:textId="77777777" w:rsidR="00427F75" w:rsidRDefault="00F76E2A">
      <w:pPr>
        <w:pStyle w:val="normal0"/>
        <w:spacing w:line="240" w:lineRule="auto"/>
      </w:pPr>
      <w:r>
        <w:rPr>
          <w:b/>
        </w:rPr>
        <w:t>C-</w:t>
      </w:r>
      <w:proofErr w:type="gramStart"/>
      <w:r>
        <w:rPr>
          <w:b/>
        </w:rPr>
        <w:t>1  Interpreting</w:t>
      </w:r>
      <w:proofErr w:type="gramEnd"/>
      <w:r>
        <w:rPr>
          <w:b/>
        </w:rPr>
        <w:t xml:space="preserve"> the impact of rare non-coding variants, consistently for both TF binding &amp; ncRNAs, using population-scale polymorphism data</w:t>
      </w:r>
    </w:p>
    <w:p w14:paraId="5226F40C" w14:textId="77777777" w:rsidR="00427F75" w:rsidRDefault="00F76E2A">
      <w:pPr>
        <w:pStyle w:val="normal0"/>
        <w:spacing w:line="240" w:lineRule="auto"/>
      </w:pPr>
      <w:r>
        <w:rPr>
          <w:rFonts w:ascii="Georgia" w:eastAsia="Georgia" w:hAnsi="Georgia" w:cs="Georgia"/>
        </w:rPr>
        <w:t xml:space="preserve">While common variants associated with disease are contained within the GWAS catalog, very few studies attempt to identify the rare disease-associated variants. Currently, no standard methods exist to functionally interpret such variants, especially in non-coding regions. </w:t>
      </w:r>
      <w:r>
        <w:rPr>
          <w:rFonts w:ascii="Georgia" w:eastAsia="Georgia" w:hAnsi="Georgia" w:cs="Georgia"/>
          <w:u w:val="single"/>
        </w:rPr>
        <w:t xml:space="preserve">Herein, we propose a consistent approach to prioritize rare variants associated with disease over all the non-coding regions in the genome, </w:t>
      </w:r>
      <w:proofErr w:type="gramStart"/>
      <w:r>
        <w:rPr>
          <w:rFonts w:ascii="Georgia" w:eastAsia="Georgia" w:hAnsi="Georgia" w:cs="Georgia"/>
          <w:u w:val="single"/>
        </w:rPr>
        <w:t>i.e,</w:t>
      </w:r>
      <w:proofErr w:type="gramEnd"/>
      <w:r>
        <w:rPr>
          <w:rFonts w:ascii="Georgia" w:eastAsia="Georgia" w:hAnsi="Georgia" w:cs="Georgia"/>
          <w:u w:val="single"/>
        </w:rPr>
        <w:t xml:space="preserve"> rare variants in the regulatory regions and ncRNAs will be prioritized using a consistent scoring scheme that utilizes the natural polymorphism data within healthy human populations.</w:t>
      </w:r>
    </w:p>
    <w:p w14:paraId="6B8D8F25" w14:textId="77777777" w:rsidR="00427F75" w:rsidRDefault="00F76E2A">
      <w:pPr>
        <w:pStyle w:val="normal0"/>
        <w:spacing w:line="240" w:lineRule="auto"/>
      </w:pPr>
      <w:r>
        <w:rPr>
          <w:b/>
        </w:rPr>
        <w:t>C-</w:t>
      </w:r>
      <w:proofErr w:type="gramStart"/>
      <w:r>
        <w:rPr>
          <w:b/>
        </w:rPr>
        <w:t>2  Prioritizing</w:t>
      </w:r>
      <w:proofErr w:type="gramEnd"/>
      <w:r>
        <w:rPr>
          <w:b/>
        </w:rPr>
        <w:t xml:space="preserve"> variants based on elements enriched in allelic activity</w:t>
      </w:r>
    </w:p>
    <w:p w14:paraId="30B96A44" w14:textId="227082D4" w:rsidR="00427F75" w:rsidRDefault="00F76E2A">
      <w:pPr>
        <w:pStyle w:val="normal0"/>
        <w:spacing w:line="240" w:lineRule="auto"/>
      </w:pPr>
      <w:r>
        <w:rPr>
          <w:rFonts w:ascii="Georgia" w:eastAsia="Georgia" w:hAnsi="Georgia" w:cs="Georgia"/>
        </w:rPr>
        <w:t>Previous studies have identified specific variants using allele-specific activity</w:t>
      </w:r>
      <w:r w:rsidR="00572B35">
        <w:rPr>
          <w:rFonts w:ascii="Georgia" w:eastAsia="Georgia" w:hAnsi="Georgia" w:cs="Georgia"/>
        </w:rPr>
        <w:fldChar w:fldCharType="begin"/>
      </w:r>
      <w:r w:rsidR="00572B35">
        <w:rPr>
          <w:rFonts w:ascii="Georgia" w:eastAsia="Georgia" w:hAnsi="Georgia" w:cs="Georgia"/>
        </w:rPr>
        <w:instrText xml:space="preserve"> ADDIN cite{20220758,21811411}</w:instrText>
      </w:r>
      <w:r w:rsidR="00572B35">
        <w:rPr>
          <w:rFonts w:ascii="Georgia" w:eastAsia="Georgia" w:hAnsi="Georgia" w:cs="Georgia"/>
        </w:rPr>
        <w:fldChar w:fldCharType="separate"/>
      </w:r>
      <w:r w:rsidR="00572B35">
        <w:rPr>
          <w:rFonts w:ascii="Times New Roman" w:hAnsi="Times New Roman"/>
          <w:sz w:val="24"/>
          <w:vertAlign w:val="superscript"/>
        </w:rPr>
        <w:t>36, 49</w:t>
      </w:r>
      <w:r w:rsidR="00572B35">
        <w:rPr>
          <w:rFonts w:ascii="Georgia" w:eastAsia="Georgia" w:hAnsi="Georgia" w:cs="Georgia"/>
        </w:rPr>
        <w:fldChar w:fldCharType="end"/>
      </w:r>
      <w:r>
        <w:rPr>
          <w:rFonts w:ascii="Georgia" w:eastAsia="Georgia" w:hAnsi="Georgia" w:cs="Georgia"/>
        </w:rPr>
        <w:t xml:space="preserve">.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 </w:t>
      </w:r>
    </w:p>
    <w:p w14:paraId="542E74DD" w14:textId="77777777" w:rsidR="00427F75" w:rsidRDefault="00F76E2A">
      <w:pPr>
        <w:pStyle w:val="normal0"/>
        <w:spacing w:line="240" w:lineRule="auto"/>
      </w:pPr>
      <w:r>
        <w:rPr>
          <w:b/>
        </w:rPr>
        <w:t>C-</w:t>
      </w:r>
      <w:proofErr w:type="gramStart"/>
      <w:r>
        <w:rPr>
          <w:b/>
        </w:rPr>
        <w:t>3  Developing</w:t>
      </w:r>
      <w:proofErr w:type="gramEnd"/>
      <w:r>
        <w:rPr>
          <w:b/>
        </w:rPr>
        <w:t xml:space="preserve"> a weighting system for prioritization &amp; a plan for tuning its parameters by multiple rounds of high-throughput experimental characterization</w:t>
      </w:r>
    </w:p>
    <w:p w14:paraId="15462B0A" w14:textId="77777777" w:rsidR="00427F75" w:rsidRDefault="00F76E2A">
      <w:pPr>
        <w:pStyle w:val="normal0"/>
        <w:spacing w:line="240" w:lineRule="auto"/>
      </w:pPr>
      <w:r>
        <w:rPr>
          <w:rFonts w:ascii="Georgia" w:eastAsia="Georgia" w:hAnsi="Georgia" w:cs="Georgia"/>
        </w:rPr>
        <w:t xml:space="preserve">An innovative aspect of this is proposal is the parameter weighting scheme and iterative tuning. 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w:t>
      </w:r>
      <w:r>
        <w:rPr>
          <w:rFonts w:ascii="Georgia" w:eastAsia="Georgia" w:hAnsi="Georgia" w:cs="Georgia"/>
        </w:rPr>
        <w:lastRenderedPageBreak/>
        <w:t>apply a Bayesian learning strategy to tune weights based on experimental observations. Subsequently, these updated weights will be assigned to prioritize rare variants.</w:t>
      </w:r>
    </w:p>
    <w:p w14:paraId="3FEDCF90" w14:textId="77777777" w:rsidR="00427F75" w:rsidRDefault="00F76E2A">
      <w:pPr>
        <w:pStyle w:val="normal0"/>
        <w:spacing w:line="240" w:lineRule="auto"/>
      </w:pPr>
      <w:r>
        <w:rPr>
          <w:b/>
        </w:rPr>
        <w:t>C-</w:t>
      </w:r>
      <w:proofErr w:type="gramStart"/>
      <w:r>
        <w:rPr>
          <w:b/>
        </w:rPr>
        <w:t>4  Clone</w:t>
      </w:r>
      <w:proofErr w:type="gramEnd"/>
      <w:r>
        <w:rPr>
          <w:b/>
        </w:rPr>
        <w:t>-Seq: massively-parallel site-directed mutagenesis pipeline leveraging next-gen. sequencing</w:t>
      </w:r>
    </w:p>
    <w:p w14:paraId="2140923E" w14:textId="4CEBC367" w:rsidR="00427F75" w:rsidRDefault="00F76E2A">
      <w:pPr>
        <w:pStyle w:val="normal0"/>
        <w:spacing w:line="240" w:lineRule="auto"/>
      </w:pPr>
      <w:r>
        <w:rPr>
          <w:rFonts w:ascii="Georgia" w:eastAsia="Georgia" w:hAnsi="Georgia" w:cs="Georgia"/>
        </w:rPr>
        <w:t>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w:t>
      </w:r>
      <w:r w:rsidR="00572B35">
        <w:rPr>
          <w:rFonts w:ascii="Georgia" w:eastAsia="Georgia" w:hAnsi="Georgia" w:cs="Georgia"/>
        </w:rPr>
        <w:fldChar w:fldCharType="begin"/>
      </w:r>
      <w:r w:rsidR="00572B35">
        <w:rPr>
          <w:rFonts w:ascii="Georgia" w:eastAsia="Georgia" w:hAnsi="Georgia" w:cs="Georgia"/>
        </w:rPr>
        <w:instrText xml:space="preserve"> ADDIN cite{25502805}</w:instrText>
      </w:r>
      <w:r w:rsidR="00572B35">
        <w:rPr>
          <w:rFonts w:ascii="Georgia" w:eastAsia="Georgia" w:hAnsi="Georgia" w:cs="Georgia"/>
        </w:rPr>
        <w:fldChar w:fldCharType="separate"/>
      </w:r>
      <w:r w:rsidR="00572B35">
        <w:rPr>
          <w:rFonts w:ascii="Times New Roman" w:hAnsi="Times New Roman"/>
          <w:sz w:val="24"/>
          <w:vertAlign w:val="superscript"/>
        </w:rPr>
        <w:t>1</w:t>
      </w:r>
      <w:r w:rsidR="00572B35">
        <w:rPr>
          <w:rFonts w:ascii="Georgia" w:eastAsia="Georgia" w:hAnsi="Georgia" w:cs="Georgia"/>
        </w:rPr>
        <w:fldChar w:fldCharType="end"/>
      </w:r>
      <w:r>
        <w:rPr>
          <w:rFonts w:ascii="Georgia" w:eastAsia="Georgia" w:hAnsi="Georgia" w:cs="Georgia"/>
        </w:rPr>
        <w:t xml:space="preserve">. </w:t>
      </w:r>
      <w:r>
        <w:rPr>
          <w:rFonts w:ascii="Georgia" w:eastAsia="Georgia" w:hAnsi="Georgia" w:cs="Georgia"/>
          <w:u w:val="single"/>
        </w:rPr>
        <w:t xml:space="preserve">Clone-seq is entirely different from previously described random mutagenesis approaches </w:t>
      </w:r>
      <w:r w:rsidR="00572B35">
        <w:rPr>
          <w:rFonts w:ascii="Georgia" w:eastAsia="Georgia" w:hAnsi="Georgia" w:cs="Georgia"/>
          <w:u w:val="single"/>
        </w:rPr>
        <w:fldChar w:fldCharType="begin"/>
      </w:r>
      <w:r w:rsidR="00572B35">
        <w:rPr>
          <w:rFonts w:ascii="Georgia" w:eastAsia="Georgia" w:hAnsi="Georgia" w:cs="Georgia"/>
          <w:u w:val="single"/>
        </w:rPr>
        <w:instrText xml:space="preserve"> ADDIN cite{20711194,23509263,23035249,20947767}</w:instrText>
      </w:r>
      <w:r w:rsidR="00572B35">
        <w:rPr>
          <w:rFonts w:ascii="Georgia" w:eastAsia="Georgia" w:hAnsi="Georgia" w:cs="Georgia"/>
          <w:u w:val="single"/>
        </w:rPr>
        <w:fldChar w:fldCharType="separate"/>
      </w:r>
      <w:r w:rsidR="00572B35">
        <w:rPr>
          <w:rFonts w:ascii="Times New Roman" w:hAnsi="Times New Roman"/>
          <w:sz w:val="24"/>
          <w:vertAlign w:val="superscript"/>
        </w:rPr>
        <w:t>50, 51, 52, 53</w:t>
      </w:r>
      <w:r w:rsidR="00572B35">
        <w:rPr>
          <w:rFonts w:ascii="Georgia" w:eastAsia="Georgia" w:hAnsi="Georgia" w:cs="Georgia"/>
          <w:u w:val="single"/>
        </w:rPr>
        <w:fldChar w:fldCharType="end"/>
      </w:r>
      <w:r>
        <w:rPr>
          <w:rFonts w:ascii="Georgia" w:eastAsia="Georgia" w:hAnsi="Georgia" w:cs="Georgia"/>
          <w:u w:val="single"/>
        </w:rPr>
        <w:t>: each mutant clone has a separate stock. Different clones can therefore be used separately for completely different downstream assays.</w:t>
      </w:r>
    </w:p>
    <w:p w14:paraId="45372093" w14:textId="77777777" w:rsidR="00427F75" w:rsidRDefault="00F76E2A">
      <w:pPr>
        <w:pStyle w:val="normal0"/>
        <w:spacing w:line="240" w:lineRule="auto"/>
      </w:pPr>
      <w:r>
        <w:rPr>
          <w:b/>
          <w:i/>
        </w:rPr>
        <w:t>D.  Approach</w:t>
      </w:r>
    </w:p>
    <w:p w14:paraId="6EE98F40" w14:textId="77777777" w:rsidR="00427F75" w:rsidRDefault="00F76E2A">
      <w:pPr>
        <w:pStyle w:val="normal0"/>
        <w:spacing w:line="240" w:lineRule="auto"/>
      </w:pPr>
      <w:r>
        <w:rPr>
          <w:b/>
        </w:rPr>
        <w:t>D-</w:t>
      </w:r>
      <w:proofErr w:type="gramStart"/>
      <w:r>
        <w:rPr>
          <w:b/>
        </w:rPr>
        <w:t>1  Approach</w:t>
      </w:r>
      <w:proofErr w:type="gramEnd"/>
      <w:r>
        <w:rPr>
          <w:b/>
        </w:rPr>
        <w:t xml:space="preserve"> Aim 1 - Convert &amp; extend the FunSeq somatic variant pipeline for germline prioritization</w:t>
      </w:r>
    </w:p>
    <w:p w14:paraId="11298104" w14:textId="77777777" w:rsidR="00427F75" w:rsidRDefault="00F76E2A">
      <w:pPr>
        <w:pStyle w:val="normal0"/>
        <w:spacing w:line="240" w:lineRule="auto"/>
      </w:pPr>
      <w:r>
        <w:rPr>
          <w:b/>
        </w:rPr>
        <w:t>D-1-</w:t>
      </w:r>
      <w:proofErr w:type="gramStart"/>
      <w:r>
        <w:rPr>
          <w:b/>
        </w:rPr>
        <w:t>a  Preliminary</w:t>
      </w:r>
      <w:proofErr w:type="gramEnd"/>
      <w:r>
        <w:rPr>
          <w:b/>
        </w:rPr>
        <w:t xml:space="preserve"> results for Aim 1</w:t>
      </w:r>
    </w:p>
    <w:p w14:paraId="4490A799" w14:textId="77777777" w:rsidR="00427F75" w:rsidRDefault="00F76E2A">
      <w:pPr>
        <w:pStyle w:val="normal0"/>
        <w:spacing w:line="240" w:lineRule="auto"/>
      </w:pPr>
      <w:r>
        <w:rPr>
          <w:b/>
        </w:rPr>
        <w:t>D-1-a-</w:t>
      </w:r>
      <w:proofErr w:type="gramStart"/>
      <w:r>
        <w:rPr>
          <w:b/>
        </w:rPr>
        <w:t>i  We</w:t>
      </w:r>
      <w:proofErr w:type="gramEnd"/>
      <w:r>
        <w:rPr>
          <w:b/>
        </w:rPr>
        <w:t xml:space="preserve"> have experience in annotating non-coding regions of the genome, including both TF-binding sites and non-coding RNAs</w:t>
      </w:r>
    </w:p>
    <w:p w14:paraId="7C7A8035" w14:textId="62F4A661" w:rsidR="00427F75" w:rsidRDefault="00F76E2A">
      <w:pPr>
        <w:pStyle w:val="normal0"/>
        <w:spacing w:line="240" w:lineRule="auto"/>
      </w:pPr>
      <w:r>
        <w:rPr>
          <w:rFonts w:ascii="Georgia" w:eastAsia="Georgia" w:hAnsi="Georgia" w:cs="Georgia"/>
        </w:rPr>
        <w:t>Our proposed work is based on our past experience in non-coding annotation, as part of our 10-year history with the ENCODE and modENCODE projects. Our TF work includes the development of methods to define the binding peaks of TFs</w:t>
      </w:r>
      <w:r w:rsidR="00572B35">
        <w:rPr>
          <w:rFonts w:ascii="Georgia" w:eastAsia="Georgia" w:hAnsi="Georgia" w:cs="Georgia"/>
        </w:rPr>
        <w:fldChar w:fldCharType="begin"/>
      </w:r>
      <w:r w:rsidR="00572B35">
        <w:rPr>
          <w:rFonts w:ascii="Georgia" w:eastAsia="Georgia" w:hAnsi="Georgia" w:cs="Georgia"/>
        </w:rPr>
        <w:instrText xml:space="preserve"> ADDIN cite{19122651}</w:instrText>
      </w:r>
      <w:r w:rsidR="00572B35">
        <w:rPr>
          <w:rFonts w:ascii="Georgia" w:eastAsia="Georgia" w:hAnsi="Georgia" w:cs="Georgia"/>
        </w:rPr>
        <w:fldChar w:fldCharType="separate"/>
      </w:r>
      <w:r w:rsidR="00572B35">
        <w:rPr>
          <w:rFonts w:ascii="Times New Roman" w:hAnsi="Times New Roman"/>
          <w:sz w:val="24"/>
          <w:vertAlign w:val="superscript"/>
        </w:rPr>
        <w:t>54</w:t>
      </w:r>
      <w:r w:rsidR="00572B35">
        <w:rPr>
          <w:rFonts w:ascii="Georgia" w:eastAsia="Georgia" w:hAnsi="Georgia" w:cs="Georgia"/>
        </w:rPr>
        <w:fldChar w:fldCharType="end"/>
      </w:r>
      <w:r>
        <w:rPr>
          <w:rFonts w:ascii="Georgia" w:eastAsia="Georgia" w:hAnsi="Georgia" w:cs="Georgia"/>
        </w:rPr>
        <w:t>, prediction of a TF’s target genes</w:t>
      </w:r>
      <w:r w:rsidR="00572B35">
        <w:rPr>
          <w:rFonts w:ascii="Georgia" w:eastAsia="Georgia" w:hAnsi="Georgia" w:cs="Georgia"/>
        </w:rPr>
        <w:fldChar w:fldCharType="begin"/>
      </w:r>
      <w:r w:rsidR="00572B35">
        <w:rPr>
          <w:rFonts w:ascii="Georgia" w:eastAsia="Georgia" w:hAnsi="Georgia" w:cs="Georgia"/>
        </w:rPr>
        <w:instrText xml:space="preserve"> ADDIN cite{22039215}</w:instrText>
      </w:r>
      <w:r w:rsidR="00572B35">
        <w:rPr>
          <w:rFonts w:ascii="Georgia" w:eastAsia="Georgia" w:hAnsi="Georgia" w:cs="Georgia"/>
        </w:rPr>
        <w:fldChar w:fldCharType="separate"/>
      </w:r>
      <w:r w:rsidR="00572B35">
        <w:rPr>
          <w:rFonts w:ascii="Times New Roman" w:hAnsi="Times New Roman"/>
          <w:sz w:val="24"/>
          <w:vertAlign w:val="superscript"/>
        </w:rPr>
        <w:t>55</w:t>
      </w:r>
      <w:r w:rsidR="00572B35">
        <w:rPr>
          <w:rFonts w:ascii="Georgia" w:eastAsia="Georgia" w:hAnsi="Georgia" w:cs="Georgia"/>
        </w:rPr>
        <w:fldChar w:fldCharType="end"/>
      </w:r>
      <w:r>
        <w:rPr>
          <w:rFonts w:ascii="Georgia" w:eastAsia="Georgia" w:hAnsi="Georgia" w:cs="Georgia"/>
        </w:rPr>
        <w:t>, and new machine learning techniques</w:t>
      </w:r>
      <w:r w:rsidR="00572B35">
        <w:rPr>
          <w:rFonts w:ascii="Georgia" w:eastAsia="Georgia" w:hAnsi="Georgia" w:cs="Georgia"/>
        </w:rPr>
        <w:fldChar w:fldCharType="begin"/>
      </w:r>
      <w:r w:rsidR="00572B35">
        <w:rPr>
          <w:rFonts w:ascii="Georgia" w:eastAsia="Georgia" w:hAnsi="Georgia" w:cs="Georgia"/>
        </w:rPr>
        <w:instrText xml:space="preserve"> ADDIN cite{19015141}</w:instrText>
      </w:r>
      <w:r w:rsidR="00572B35">
        <w:rPr>
          <w:rFonts w:ascii="Georgia" w:eastAsia="Georgia" w:hAnsi="Georgia" w:cs="Georgia"/>
        </w:rPr>
        <w:fldChar w:fldCharType="separate"/>
      </w:r>
      <w:r w:rsidR="00572B35">
        <w:rPr>
          <w:rFonts w:ascii="Times New Roman" w:hAnsi="Times New Roman"/>
          <w:sz w:val="24"/>
          <w:vertAlign w:val="superscript"/>
        </w:rPr>
        <w:t>56</w:t>
      </w:r>
      <w:r w:rsidR="00572B35">
        <w:rPr>
          <w:rFonts w:ascii="Georgia" w:eastAsia="Georgia" w:hAnsi="Georgia" w:cs="Georgia"/>
        </w:rPr>
        <w:fldChar w:fldCharType="end"/>
      </w:r>
      <w:r>
        <w:rPr>
          <w:rFonts w:ascii="Georgia" w:eastAsia="Georgia" w:hAnsi="Georgia" w:cs="Georgia"/>
        </w:rPr>
        <w:t>. Furthermore, we developed methods that integrate ChIP-seq, chromatin, conservation, sequence and gene annotation data to identify gene-distal enhancers</w:t>
      </w:r>
      <w:r w:rsidR="00572B35">
        <w:rPr>
          <w:rFonts w:ascii="Georgia" w:eastAsia="Georgia" w:hAnsi="Georgia" w:cs="Georgia"/>
        </w:rPr>
        <w:fldChar w:fldCharType="begin"/>
      </w:r>
      <w:r w:rsidR="00572B35">
        <w:rPr>
          <w:rFonts w:ascii="Georgia" w:eastAsia="Georgia" w:hAnsi="Georgia" w:cs="Georgia"/>
        </w:rPr>
        <w:instrText xml:space="preserve"> ADDIN cite{20126643}</w:instrText>
      </w:r>
      <w:r w:rsidR="00572B35">
        <w:rPr>
          <w:rFonts w:ascii="Georgia" w:eastAsia="Georgia" w:hAnsi="Georgia" w:cs="Georgia"/>
        </w:rPr>
        <w:fldChar w:fldCharType="separate"/>
      </w:r>
      <w:r w:rsidR="00572B35">
        <w:rPr>
          <w:rFonts w:ascii="Times New Roman" w:hAnsi="Times New Roman"/>
          <w:sz w:val="24"/>
          <w:vertAlign w:val="superscript"/>
        </w:rPr>
        <w:t>57</w:t>
      </w:r>
      <w:r w:rsidR="00572B35">
        <w:rPr>
          <w:rFonts w:ascii="Georgia" w:eastAsia="Georgia" w:hAnsi="Georgia" w:cs="Georgia"/>
        </w:rPr>
        <w:fldChar w:fldCharType="end"/>
      </w:r>
      <w:r>
        <w:rPr>
          <w:rFonts w:ascii="Georgia" w:eastAsia="Georgia" w:hAnsi="Georgia" w:cs="Georgia"/>
        </w:rPr>
        <w:t>, which we have partially validated</w:t>
      </w:r>
      <w:r w:rsidR="00572B35">
        <w:rPr>
          <w:rFonts w:ascii="Georgia" w:eastAsia="Georgia" w:hAnsi="Georgia" w:cs="Georgia"/>
        </w:rPr>
        <w:fldChar w:fldCharType="begin"/>
      </w:r>
      <w:r w:rsidR="00572B35">
        <w:rPr>
          <w:rFonts w:ascii="Georgia" w:eastAsia="Georgia" w:hAnsi="Georgia" w:cs="Georgia"/>
        </w:rPr>
        <w:instrText xml:space="preserve"> ADDIN cite{22950945}</w:instrText>
      </w:r>
      <w:r w:rsidR="00572B35">
        <w:rPr>
          <w:rFonts w:ascii="Georgia" w:eastAsia="Georgia" w:hAnsi="Georgia" w:cs="Georgia"/>
        </w:rPr>
        <w:fldChar w:fldCharType="separate"/>
      </w:r>
      <w:r w:rsidR="00572B35">
        <w:rPr>
          <w:rFonts w:ascii="Times New Roman" w:hAnsi="Times New Roman"/>
          <w:sz w:val="24"/>
          <w:vertAlign w:val="superscript"/>
        </w:rPr>
        <w:t>58</w:t>
      </w:r>
      <w:r w:rsidR="00572B35">
        <w:rPr>
          <w:rFonts w:ascii="Georgia" w:eastAsia="Georgia" w:hAnsi="Georgia" w:cs="Georgia"/>
        </w:rPr>
        <w:fldChar w:fldCharType="end"/>
      </w:r>
      <w:r>
        <w:rPr>
          <w:rFonts w:ascii="Georgia" w:eastAsia="Georgia" w:hAnsi="Georgia" w:cs="Georgia"/>
        </w:rPr>
        <w:t>. We also constructed linear and non-linear models that utilize TF binding and histone modification signals to accurately predict the transcriptional output of a gene in different cell types of several organisms including yeast, worm, fly, and human</w:t>
      </w:r>
      <w:r w:rsidR="00572B35">
        <w:rPr>
          <w:rFonts w:ascii="Georgia" w:eastAsia="Georgia" w:hAnsi="Georgia" w:cs="Georgia"/>
        </w:rPr>
        <w:fldChar w:fldCharType="begin"/>
      </w:r>
      <w:r w:rsidR="00572B35">
        <w:rPr>
          <w:rFonts w:ascii="Georgia" w:eastAsia="Georgia" w:hAnsi="Georgia" w:cs="Georgia"/>
        </w:rPr>
        <w:instrText xml:space="preserve"> ADDIN cite{22060676,21177976,21324173,21926158,22955978}</w:instrText>
      </w:r>
      <w:r w:rsidR="00572B35">
        <w:rPr>
          <w:rFonts w:ascii="Georgia" w:eastAsia="Georgia" w:hAnsi="Georgia" w:cs="Georgia"/>
        </w:rPr>
        <w:fldChar w:fldCharType="separate"/>
      </w:r>
      <w:r w:rsidR="00572B35">
        <w:rPr>
          <w:rFonts w:ascii="Times New Roman" w:hAnsi="Times New Roman"/>
          <w:sz w:val="24"/>
          <w:vertAlign w:val="superscript"/>
        </w:rPr>
        <w:t>33, 59, 60, 61, 62</w:t>
      </w:r>
      <w:r w:rsidR="00572B35">
        <w:rPr>
          <w:rFonts w:ascii="Georgia" w:eastAsia="Georgia" w:hAnsi="Georgia" w:cs="Georgia"/>
        </w:rPr>
        <w:fldChar w:fldCharType="end"/>
      </w:r>
      <w:r w:rsidR="006C59E5">
        <w:rPr>
          <w:rFonts w:ascii="Georgia" w:eastAsia="Georgia" w:hAnsi="Georgia" w:cs="Georgia"/>
        </w:rPr>
        <w:t>.</w:t>
      </w:r>
      <w:r>
        <w:rPr>
          <w:rFonts w:ascii="Georgia" w:eastAsia="Georgia" w:hAnsi="Georgia" w:cs="Georgia"/>
        </w:rPr>
        <w:t>We have also constructed regulatory networks for human and model organisms</w:t>
      </w:r>
      <w:r w:rsidR="00572B35">
        <w:rPr>
          <w:rFonts w:ascii="Georgia" w:eastAsia="Georgia" w:hAnsi="Georgia" w:cs="Georgia"/>
        </w:rPr>
        <w:fldChar w:fldCharType="begin"/>
      </w:r>
      <w:r w:rsidR="00572B35">
        <w:rPr>
          <w:rFonts w:ascii="Georgia" w:eastAsia="Georgia" w:hAnsi="Georgia" w:cs="Georgia"/>
        </w:rPr>
        <w:instrText xml:space="preserve"> ADDIN cite{22955619,21430782}</w:instrText>
      </w:r>
      <w:r w:rsidR="00572B35">
        <w:rPr>
          <w:rFonts w:ascii="Georgia" w:eastAsia="Georgia" w:hAnsi="Georgia" w:cs="Georgia"/>
        </w:rPr>
        <w:fldChar w:fldCharType="separate"/>
      </w:r>
      <w:r w:rsidR="00572B35">
        <w:rPr>
          <w:rFonts w:ascii="Times New Roman" w:hAnsi="Times New Roman"/>
          <w:sz w:val="24"/>
          <w:vertAlign w:val="superscript"/>
        </w:rPr>
        <w:t>63, 64</w:t>
      </w:r>
      <w:r w:rsidR="00572B35">
        <w:rPr>
          <w:rFonts w:ascii="Georgia" w:eastAsia="Georgia" w:hAnsi="Georgia" w:cs="Georgia"/>
        </w:rPr>
        <w:fldChar w:fldCharType="end"/>
      </w:r>
      <w:r>
        <w:rPr>
          <w:rFonts w:ascii="Georgia" w:eastAsia="Georgia" w:hAnsi="Georgia" w:cs="Georgia"/>
        </w:rPr>
        <w:t>, and completed many analyses on them (Fig 1)</w:t>
      </w:r>
      <w:r w:rsidR="00572B35">
        <w:rPr>
          <w:rFonts w:ascii="Georgia" w:eastAsia="Georgia" w:hAnsi="Georgia" w:cs="Georgia"/>
        </w:rPr>
        <w:fldChar w:fldCharType="begin"/>
      </w:r>
      <w:r w:rsidR="00572B35">
        <w:rPr>
          <w:rFonts w:ascii="Georgia" w:eastAsia="Georgia" w:hAnsi="Georgia" w:cs="Georgia"/>
        </w:rPr>
        <w:instrText xml:space="preserve"> ADDIN cite{22125477,21177976,20439753,15145574,14724320,17447836,15372033,19164758,16455753,22955619,22950945,18077332,24092746,23505346,21811232,21253555}</w:instrText>
      </w:r>
      <w:r w:rsidR="00572B35">
        <w:rPr>
          <w:rFonts w:ascii="Georgia" w:eastAsia="Georgia" w:hAnsi="Georgia" w:cs="Georgia"/>
        </w:rPr>
        <w:fldChar w:fldCharType="separate"/>
      </w:r>
      <w:r w:rsidR="00572B35">
        <w:rPr>
          <w:rFonts w:ascii="Times New Roman" w:hAnsi="Times New Roman"/>
          <w:sz w:val="24"/>
          <w:vertAlign w:val="superscript"/>
        </w:rPr>
        <w:t>33, 58, 63, 65, 66, 67, 68, 69, 70, 71, 72, 73, 74, 75, 76, 77</w:t>
      </w:r>
      <w:r w:rsidR="00572B35">
        <w:rPr>
          <w:rFonts w:ascii="Georgia" w:eastAsia="Georgia" w:hAnsi="Georgia" w:cs="Georgia"/>
        </w:rPr>
        <w:fldChar w:fldCharType="end"/>
      </w:r>
      <w:r>
        <w:rPr>
          <w:rFonts w:ascii="Georgia" w:eastAsia="Georgia" w:hAnsi="Georgia" w:cs="Georgia"/>
        </w:rPr>
        <w:t>. Furthermore, we conducted large-scale multi-organism regulatory and coexpression network comparisons, along with transcriptome and pseudogene lineage analyses</w:t>
      </w:r>
      <w:r w:rsidR="00572B35">
        <w:rPr>
          <w:rFonts w:ascii="Georgia" w:eastAsia="Georgia" w:hAnsi="Georgia" w:cs="Georgia"/>
        </w:rPr>
        <w:fldChar w:fldCharType="begin"/>
      </w:r>
      <w:r w:rsidR="00572B35">
        <w:rPr>
          <w:rFonts w:ascii="Georgia" w:eastAsia="Georgia" w:hAnsi="Georgia" w:cs="Georgia"/>
        </w:rPr>
        <w:instrText xml:space="preserve"> ADDIN cite{25164757,25164755,25157146,21253555,25249401}</w:instrText>
      </w:r>
      <w:r w:rsidR="00572B35">
        <w:rPr>
          <w:rFonts w:ascii="Georgia" w:eastAsia="Georgia" w:hAnsi="Georgia" w:cs="Georgia"/>
        </w:rPr>
        <w:fldChar w:fldCharType="separate"/>
      </w:r>
      <w:r w:rsidR="00572B35">
        <w:rPr>
          <w:rFonts w:ascii="Times New Roman" w:hAnsi="Times New Roman"/>
          <w:sz w:val="24"/>
          <w:vertAlign w:val="superscript"/>
        </w:rPr>
        <w:t>77, 78, 79, 80, 81</w:t>
      </w:r>
      <w:r w:rsidR="00572B35">
        <w:rPr>
          <w:rFonts w:ascii="Georgia" w:eastAsia="Georgia" w:hAnsi="Georgia" w:cs="Georgia"/>
        </w:rPr>
        <w:fldChar w:fldCharType="end"/>
      </w:r>
      <w:r w:rsidR="004833CB">
        <w:rPr>
          <w:rFonts w:ascii="Georgia" w:eastAsia="Georgia" w:hAnsi="Georgia" w:cs="Georgia"/>
        </w:rPr>
        <w:t>.</w:t>
      </w:r>
      <w:r>
        <w:rPr>
          <w:rFonts w:ascii="Georgia" w:eastAsia="Georgia" w:hAnsi="Georgia" w:cs="Georgia"/>
        </w:rPr>
        <w:t>We also have extensive experience conducting integrated analyses of RNA-Seq datasets generated by the ENCODE, modENCODE, BrainSpan and exRNA consortia</w:t>
      </w:r>
      <w:r w:rsidR="00572B35">
        <w:rPr>
          <w:rFonts w:ascii="Georgia" w:eastAsia="Georgia" w:hAnsi="Georgia" w:cs="Georgia"/>
        </w:rPr>
        <w:fldChar w:fldCharType="begin"/>
      </w:r>
      <w:r w:rsidR="00572B35">
        <w:rPr>
          <w:rFonts w:ascii="Georgia" w:eastAsia="Georgia" w:hAnsi="Georgia" w:cs="Georgia"/>
        </w:rPr>
        <w:instrText xml:space="preserve"> ADDIN cite{22955616,22955620,21177976,0000001,0000002}</w:instrText>
      </w:r>
      <w:r w:rsidR="00572B35">
        <w:rPr>
          <w:rFonts w:ascii="Georgia" w:eastAsia="Georgia" w:hAnsi="Georgia" w:cs="Georgia"/>
        </w:rPr>
        <w:fldChar w:fldCharType="separate"/>
      </w:r>
      <w:r w:rsidR="00572B35">
        <w:rPr>
          <w:rFonts w:ascii="Times New Roman" w:hAnsi="Times New Roman"/>
          <w:sz w:val="24"/>
          <w:vertAlign w:val="superscript"/>
        </w:rPr>
        <w:t>31, 33, 82, 83, 84</w:t>
      </w:r>
      <w:r w:rsidR="00572B35">
        <w:rPr>
          <w:rFonts w:ascii="Georgia" w:eastAsia="Georgia" w:hAnsi="Georgia" w:cs="Georgia"/>
        </w:rPr>
        <w:fldChar w:fldCharType="end"/>
      </w:r>
      <w:r>
        <w:rPr>
          <w:rFonts w:ascii="Georgia" w:eastAsia="Georgia" w:hAnsi="Georgia" w:cs="Georgia"/>
        </w:rPr>
        <w:t>. In particular, we developed RSEQtools and IQseq for gene model creation and transcript quantification</w:t>
      </w:r>
      <w:r w:rsidR="00572B35">
        <w:rPr>
          <w:rFonts w:ascii="Georgia" w:eastAsia="Georgia" w:hAnsi="Georgia" w:cs="Georgia"/>
        </w:rPr>
        <w:fldChar w:fldCharType="begin"/>
      </w:r>
      <w:r w:rsidR="00572B35">
        <w:rPr>
          <w:rFonts w:ascii="Georgia" w:eastAsia="Georgia" w:hAnsi="Georgia" w:cs="Georgia"/>
        </w:rPr>
        <w:instrText xml:space="preserve"> ADDIN cite{21134889,22238592}</w:instrText>
      </w:r>
      <w:r w:rsidR="00572B35">
        <w:rPr>
          <w:rFonts w:ascii="Georgia" w:eastAsia="Georgia" w:hAnsi="Georgia" w:cs="Georgia"/>
        </w:rPr>
        <w:fldChar w:fldCharType="separate"/>
      </w:r>
      <w:r w:rsidR="00572B35">
        <w:rPr>
          <w:rFonts w:ascii="Times New Roman" w:hAnsi="Times New Roman"/>
          <w:sz w:val="24"/>
          <w:vertAlign w:val="superscript"/>
        </w:rPr>
        <w:t>85, 86</w:t>
      </w:r>
      <w:r w:rsidR="00572B35">
        <w:rPr>
          <w:rFonts w:ascii="Georgia" w:eastAsia="Georgia" w:hAnsi="Georgia" w:cs="Georgia"/>
        </w:rPr>
        <w:fldChar w:fldCharType="end"/>
      </w:r>
      <w:r>
        <w:rPr>
          <w:rFonts w:ascii="Georgia" w:eastAsia="Georgia" w:hAnsi="Georgia" w:cs="Georgia"/>
        </w:rPr>
        <w:t>. We also developed tools that specifically analyze features of ncRNAs, including incRNA and ncVAR for finding and characterizing these elements</w:t>
      </w:r>
      <w:r w:rsidR="00572B35">
        <w:rPr>
          <w:rFonts w:ascii="Georgia" w:eastAsia="Georgia" w:hAnsi="Georgia" w:cs="Georgia"/>
        </w:rPr>
        <w:fldChar w:fldCharType="begin"/>
      </w:r>
      <w:r w:rsidR="00572B35">
        <w:rPr>
          <w:rFonts w:ascii="Georgia" w:eastAsia="Georgia" w:hAnsi="Georgia" w:cs="Georgia"/>
        </w:rPr>
        <w:instrText xml:space="preserve"> ADDIN cite{21177971,21596777}</w:instrText>
      </w:r>
      <w:r w:rsidR="00572B35">
        <w:rPr>
          <w:rFonts w:ascii="Georgia" w:eastAsia="Georgia" w:hAnsi="Georgia" w:cs="Georgia"/>
        </w:rPr>
        <w:fldChar w:fldCharType="separate"/>
      </w:r>
      <w:r w:rsidR="00572B35">
        <w:rPr>
          <w:rFonts w:ascii="Times New Roman" w:hAnsi="Times New Roman"/>
          <w:sz w:val="24"/>
          <w:vertAlign w:val="superscript"/>
        </w:rPr>
        <w:t>87, 88</w:t>
      </w:r>
      <w:r w:rsidR="00572B35">
        <w:rPr>
          <w:rFonts w:ascii="Georgia" w:eastAsia="Georgia" w:hAnsi="Georgia" w:cs="Georgia"/>
        </w:rPr>
        <w:fldChar w:fldCharType="end"/>
      </w:r>
      <w:r>
        <w:rPr>
          <w:rFonts w:ascii="Georgia" w:eastAsia="Georgia" w:hAnsi="Georgia" w:cs="Georgia"/>
        </w:rPr>
        <w:t>.</w:t>
      </w:r>
    </w:p>
    <w:p w14:paraId="02956180" w14:textId="77777777" w:rsidR="00427F75" w:rsidRDefault="00F76E2A">
      <w:pPr>
        <w:pStyle w:val="normal0"/>
        <w:spacing w:line="240" w:lineRule="auto"/>
      </w:pPr>
      <w:r>
        <w:rPr>
          <w:b/>
        </w:rPr>
        <w:t>D-1-a-</w:t>
      </w:r>
      <w:proofErr w:type="gramStart"/>
      <w:r>
        <w:rPr>
          <w:b/>
        </w:rPr>
        <w:t>ii  We</w:t>
      </w:r>
      <w:proofErr w:type="gramEnd"/>
      <w:r>
        <w:rPr>
          <w:b/>
        </w:rPr>
        <w:t xml:space="preserve"> have experience in allelic analyses</w:t>
      </w:r>
    </w:p>
    <w:p w14:paraId="37CA22DF" w14:textId="323E37BF" w:rsidR="00427F75" w:rsidRDefault="00F76E2A">
      <w:pPr>
        <w:pStyle w:val="normal0"/>
        <w:spacing w:line="240" w:lineRule="auto"/>
      </w:pPr>
      <w:r>
        <w:rPr>
          <w:rFonts w:ascii="Georgia" w:eastAsia="Georgia" w:hAnsi="Georgia" w:cs="Georgia"/>
        </w:rPr>
        <w:t>A specific class of regulatory variants is one that is related to allele-specific events. These are variants that are associated with allele-specific binding (ASB), particularly of transcription factors or DNA-binding proteins, and allele-specific expression (ASE)</w:t>
      </w:r>
      <w:r w:rsidR="00572B35">
        <w:rPr>
          <w:rFonts w:ascii="Georgia" w:eastAsia="Georgia" w:hAnsi="Georgia" w:cs="Georgia"/>
        </w:rPr>
        <w:fldChar w:fldCharType="begin"/>
      </w:r>
      <w:r w:rsidR="00572B35">
        <w:rPr>
          <w:rFonts w:ascii="Georgia" w:eastAsia="Georgia" w:hAnsi="Georgia" w:cs="Georgia"/>
        </w:rPr>
        <w:instrText xml:space="preserve"> ADDIN cite{20567245,20846943}</w:instrText>
      </w:r>
      <w:r w:rsidR="00572B35">
        <w:rPr>
          <w:rFonts w:ascii="Georgia" w:eastAsia="Georgia" w:hAnsi="Georgia" w:cs="Georgia"/>
        </w:rPr>
        <w:fldChar w:fldCharType="separate"/>
      </w:r>
      <w:r w:rsidR="00572B35">
        <w:rPr>
          <w:rFonts w:ascii="Times New Roman" w:hAnsi="Times New Roman"/>
          <w:sz w:val="24"/>
          <w:vertAlign w:val="superscript"/>
        </w:rPr>
        <w:t>89, 90</w:t>
      </w:r>
      <w:r w:rsidR="00572B35">
        <w:rPr>
          <w:rFonts w:ascii="Georgia" w:eastAsia="Georgia" w:hAnsi="Georgia" w:cs="Georgia"/>
        </w:rPr>
        <w:fldChar w:fldCharType="end"/>
      </w:r>
      <w:r>
        <w:rPr>
          <w:rFonts w:ascii="Georgia" w:eastAsia="Georgia" w:hAnsi="Georgia" w:cs="Georgia"/>
        </w:rPr>
        <w:t>. We have previously developed a tool, AlleleSeq,</w:t>
      </w:r>
      <w:r w:rsidR="00572B35">
        <w:rPr>
          <w:rFonts w:ascii="Georgia" w:eastAsia="Georgia" w:hAnsi="Georgia" w:cs="Georgia"/>
        </w:rPr>
        <w:fldChar w:fldCharType="begin"/>
      </w:r>
      <w:r w:rsidR="00572B35">
        <w:rPr>
          <w:rFonts w:ascii="Georgia" w:eastAsia="Georgia" w:hAnsi="Georgia" w:cs="Georgia"/>
        </w:rPr>
        <w:instrText xml:space="preserve"> ADDIN cite{21811232}</w:instrText>
      </w:r>
      <w:r w:rsidR="00572B35">
        <w:rPr>
          <w:rFonts w:ascii="Georgia" w:eastAsia="Georgia" w:hAnsi="Georgia" w:cs="Georgia"/>
        </w:rPr>
        <w:fldChar w:fldCharType="separate"/>
      </w:r>
      <w:r w:rsidR="00572B35">
        <w:rPr>
          <w:rFonts w:ascii="Times New Roman" w:hAnsi="Times New Roman"/>
          <w:sz w:val="24"/>
          <w:vertAlign w:val="superscript"/>
        </w:rPr>
        <w:t>76</w:t>
      </w:r>
      <w:r w:rsidR="00572B35">
        <w:rPr>
          <w:rFonts w:ascii="Georgia" w:eastAsia="Georgia" w:hAnsi="Georgia" w:cs="Georgia"/>
        </w:rPr>
        <w:fldChar w:fldCharType="end"/>
      </w:r>
      <w:r>
        <w:rPr>
          <w:rFonts w:ascii="Georgia" w:eastAsia="Georgia" w:hAnsi="Georgia" w:cs="Georgia"/>
        </w:rPr>
        <w:t xml:space="preserve"> for the detection of candidate variants associated with ASB and ASE. Using this we have generated comprehensive lists of allelic variants for ENCODE and 1000 Genomes and found that allelic variants are under differential selection from non-allelic ones</w:t>
      </w:r>
      <w:r w:rsidR="00572B35">
        <w:rPr>
          <w:rFonts w:ascii="Georgia" w:eastAsia="Georgia" w:hAnsi="Georgia" w:cs="Georgia"/>
        </w:rPr>
        <w:fldChar w:fldCharType="begin"/>
      </w:r>
      <w:r w:rsidR="00572B35">
        <w:rPr>
          <w:rFonts w:ascii="Georgia" w:eastAsia="Georgia" w:hAnsi="Georgia" w:cs="Georgia"/>
        </w:rPr>
        <w:instrText xml:space="preserve"> ADDIN cite{22955619,24092746,22955620,22955619,24092746}</w:instrText>
      </w:r>
      <w:r w:rsidR="00572B35">
        <w:rPr>
          <w:rFonts w:ascii="Georgia" w:eastAsia="Georgia" w:hAnsi="Georgia" w:cs="Georgia"/>
        </w:rPr>
        <w:fldChar w:fldCharType="separate"/>
      </w:r>
      <w:r w:rsidR="00572B35">
        <w:rPr>
          <w:rFonts w:ascii="Times New Roman" w:hAnsi="Times New Roman"/>
          <w:sz w:val="24"/>
          <w:vertAlign w:val="superscript"/>
        </w:rPr>
        <w:t>63, 63, 74, 74, 82</w:t>
      </w:r>
      <w:r w:rsidR="00572B35">
        <w:rPr>
          <w:rFonts w:ascii="Georgia" w:eastAsia="Georgia" w:hAnsi="Georgia" w:cs="Georgia"/>
        </w:rPr>
        <w:fldChar w:fldCharType="end"/>
      </w:r>
      <w:r>
        <w:rPr>
          <w:rFonts w:ascii="Georgia" w:eastAsia="Georgia" w:hAnsi="Georgia" w:cs="Georgia"/>
        </w:rPr>
        <w:t>. By constructing regulatory networks based on ASB of TFs and ASE of their target genes, we further revealed substantial coordination between allele-specific binding and expression</w:t>
      </w:r>
      <w:r w:rsidR="00572B35">
        <w:rPr>
          <w:rFonts w:ascii="Georgia" w:eastAsia="Georgia" w:hAnsi="Georgia" w:cs="Georgia"/>
        </w:rPr>
        <w:fldChar w:fldCharType="begin"/>
      </w:r>
      <w:r w:rsidR="00572B35">
        <w:rPr>
          <w:rFonts w:ascii="Georgia" w:eastAsia="Georgia" w:hAnsi="Georgia" w:cs="Georgia"/>
        </w:rPr>
        <w:instrText xml:space="preserve"> ADDIN cite{22955619}</w:instrText>
      </w:r>
      <w:r w:rsidR="00572B35">
        <w:rPr>
          <w:rFonts w:ascii="Georgia" w:eastAsia="Georgia" w:hAnsi="Georgia" w:cs="Georgia"/>
        </w:rPr>
        <w:fldChar w:fldCharType="separate"/>
      </w:r>
      <w:r w:rsidR="00572B35">
        <w:rPr>
          <w:rFonts w:ascii="Times New Roman" w:hAnsi="Times New Roman"/>
          <w:sz w:val="24"/>
          <w:vertAlign w:val="superscript"/>
        </w:rPr>
        <w:t>63</w:t>
      </w:r>
      <w:r w:rsidR="00572B35">
        <w:rPr>
          <w:rFonts w:ascii="Georgia" w:eastAsia="Georgia" w:hAnsi="Georgia" w:cs="Georgia"/>
        </w:rPr>
        <w:fldChar w:fldCharType="end"/>
      </w:r>
      <w:r>
        <w:rPr>
          <w:rFonts w:ascii="Georgia" w:eastAsia="Georgia" w:hAnsi="Georgia" w:cs="Georgia"/>
        </w:rPr>
        <w:t>. Furthermore, we have constructed a personal diploid genome and transcriptome of NA12878 on</w:t>
      </w:r>
      <w:r w:rsidR="00572B35">
        <w:rPr>
          <w:rFonts w:ascii="Georgia" w:eastAsia="Georgia" w:hAnsi="Georgia" w:cs="Georgia"/>
        </w:rPr>
        <w:fldChar w:fldCharType="begin"/>
      </w:r>
      <w:r w:rsidR="00572B35">
        <w:rPr>
          <w:rFonts w:ascii="Georgia" w:eastAsia="Georgia" w:hAnsi="Georgia" w:cs="Georgia"/>
        </w:rPr>
        <w:instrText xml:space="preserve"> ADDIN cite{0000003}</w:instrText>
      </w:r>
      <w:r w:rsidR="00572B35">
        <w:rPr>
          <w:rFonts w:ascii="Georgia" w:eastAsia="Georgia" w:hAnsi="Georgia" w:cs="Georgia"/>
        </w:rPr>
        <w:fldChar w:fldCharType="separate"/>
      </w:r>
      <w:r w:rsidR="00572B35">
        <w:rPr>
          <w:rFonts w:ascii="Times New Roman" w:hAnsi="Times New Roman"/>
          <w:sz w:val="24"/>
          <w:vertAlign w:val="superscript"/>
        </w:rPr>
        <w:t>91</w:t>
      </w:r>
      <w:r w:rsidR="00572B35">
        <w:rPr>
          <w:rFonts w:ascii="Georgia" w:eastAsia="Georgia" w:hAnsi="Georgia" w:cs="Georgia"/>
        </w:rPr>
        <w:fldChar w:fldCharType="end"/>
      </w:r>
      <w:r>
        <w:rPr>
          <w:rFonts w:ascii="Georgia" w:eastAsia="Georgia" w:hAnsi="Georgia" w:cs="Georgia"/>
        </w:rPr>
        <w:t>.</w:t>
      </w:r>
    </w:p>
    <w:p w14:paraId="41390A7B" w14:textId="77777777" w:rsidR="00427F75" w:rsidRDefault="00F76E2A">
      <w:pPr>
        <w:pStyle w:val="normal0"/>
        <w:spacing w:line="240" w:lineRule="auto"/>
      </w:pPr>
      <w:r>
        <w:rPr>
          <w:b/>
        </w:rPr>
        <w:t>D-1-a-</w:t>
      </w:r>
      <w:proofErr w:type="gramStart"/>
      <w:r>
        <w:rPr>
          <w:b/>
        </w:rPr>
        <w:t>iii  Experience</w:t>
      </w:r>
      <w:proofErr w:type="gramEnd"/>
      <w:r>
        <w:rPr>
          <w:b/>
        </w:rPr>
        <w:t xml:space="preserve"> in relating annotation to variation: the FunSeq pipeline</w:t>
      </w:r>
    </w:p>
    <w:p w14:paraId="4A1F44AF" w14:textId="77777777" w:rsidR="005540A9" w:rsidRDefault="00F76E2A" w:rsidP="005540A9">
      <w:pPr>
        <w:pStyle w:val="normal0"/>
        <w:spacing w:line="240" w:lineRule="auto"/>
      </w:pPr>
      <w:r>
        <w:rPr>
          <w:rFonts w:ascii="Georgia" w:eastAsia="Georgia" w:hAnsi="Georgia" w:cs="Georgia"/>
        </w:rPr>
        <w:t xml:space="preserve">We have extensively analyzed patterns of variation in non-coding regions, along with </w:t>
      </w:r>
      <w:proofErr w:type="gramStart"/>
      <w:r>
        <w:rPr>
          <w:rFonts w:ascii="Georgia" w:eastAsia="Georgia" w:hAnsi="Georgia" w:cs="Georgia"/>
        </w:rPr>
        <w:t>their</w:t>
      </w:r>
      <w:proofErr w:type="gramEnd"/>
      <w:r>
        <w:rPr>
          <w:rFonts w:ascii="Georgia" w:eastAsia="Georgia" w:hAnsi="Georgia" w:cs="Georgia"/>
        </w:rPr>
        <w:t xml:space="preserve"> coding targets</w:t>
      </w:r>
      <w:r w:rsidR="00572B35">
        <w:rPr>
          <w:rFonts w:ascii="Georgia" w:eastAsia="Georgia" w:hAnsi="Georgia" w:cs="Georgia"/>
        </w:rPr>
        <w:fldChar w:fldCharType="begin"/>
      </w:r>
      <w:r w:rsidR="00572B35">
        <w:rPr>
          <w:rFonts w:ascii="Georgia" w:eastAsia="Georgia" w:hAnsi="Georgia" w:cs="Georgia"/>
        </w:rPr>
        <w:instrText xml:space="preserve"> ADDIN cite{21596777,22950945,22955619}</w:instrText>
      </w:r>
      <w:r w:rsidR="00572B35">
        <w:rPr>
          <w:rFonts w:ascii="Georgia" w:eastAsia="Georgia" w:hAnsi="Georgia" w:cs="Georgia"/>
        </w:rPr>
        <w:fldChar w:fldCharType="separate"/>
      </w:r>
      <w:r w:rsidR="00572B35">
        <w:rPr>
          <w:rFonts w:ascii="Times New Roman" w:hAnsi="Times New Roman"/>
          <w:sz w:val="24"/>
          <w:vertAlign w:val="superscript"/>
        </w:rPr>
        <w:t>58, 63, 88</w:t>
      </w:r>
      <w:r w:rsidR="00572B35">
        <w:rPr>
          <w:rFonts w:ascii="Georgia" w:eastAsia="Georgia" w:hAnsi="Georgia" w:cs="Georgia"/>
        </w:rPr>
        <w:fldChar w:fldCharType="end"/>
      </w:r>
      <w:r>
        <w:rPr>
          <w:rFonts w:ascii="Georgia" w:eastAsia="Georgia" w:hAnsi="Georgia" w:cs="Georgia"/>
        </w:rPr>
        <w:t>. We used metrics, such as diversity and fraction of rare variants, to characterize selection on various classes and subclasses of functional annotations</w:t>
      </w:r>
      <w:r w:rsidR="00572B35">
        <w:rPr>
          <w:rFonts w:ascii="Georgia" w:eastAsia="Georgia" w:hAnsi="Georgia" w:cs="Georgia"/>
        </w:rPr>
        <w:fldChar w:fldCharType="begin"/>
      </w:r>
      <w:r w:rsidR="00572B35">
        <w:rPr>
          <w:rFonts w:ascii="Georgia" w:eastAsia="Georgia" w:hAnsi="Georgia" w:cs="Georgia"/>
        </w:rPr>
        <w:instrText xml:space="preserve"> ADDIN cite{21596777}</w:instrText>
      </w:r>
      <w:r w:rsidR="00572B35">
        <w:rPr>
          <w:rFonts w:ascii="Georgia" w:eastAsia="Georgia" w:hAnsi="Georgia" w:cs="Georgia"/>
        </w:rPr>
        <w:fldChar w:fldCharType="separate"/>
      </w:r>
      <w:r w:rsidR="00572B35">
        <w:rPr>
          <w:rFonts w:ascii="Times New Roman" w:hAnsi="Times New Roman"/>
          <w:sz w:val="24"/>
          <w:vertAlign w:val="superscript"/>
        </w:rPr>
        <w:t>88</w:t>
      </w:r>
      <w:r w:rsidR="00572B35">
        <w:rPr>
          <w:rFonts w:ascii="Georgia" w:eastAsia="Georgia" w:hAnsi="Georgia" w:cs="Georgia"/>
        </w:rPr>
        <w:fldChar w:fldCharType="end"/>
      </w:r>
      <w:r>
        <w:rPr>
          <w:rFonts w:ascii="Georgia" w:eastAsia="Georgia" w:hAnsi="Georgia" w:cs="Georgia"/>
        </w:rPr>
        <w:t>. In addition, we have also defined variants that are disruptive to a TF-binding motif in a regulatory region</w:t>
      </w:r>
      <w:r w:rsidR="00572B35">
        <w:rPr>
          <w:rFonts w:ascii="Georgia" w:eastAsia="Georgia" w:hAnsi="Georgia" w:cs="Georgia"/>
        </w:rPr>
        <w:fldChar w:fldCharType="begin"/>
      </w:r>
      <w:r w:rsidR="00572B35">
        <w:rPr>
          <w:rFonts w:ascii="Georgia" w:eastAsia="Georgia" w:hAnsi="Georgia" w:cs="Georgia"/>
        </w:rPr>
        <w:instrText xml:space="preserve"> ADDIN cite{22955616}</w:instrText>
      </w:r>
      <w:r w:rsidR="00572B35">
        <w:rPr>
          <w:rFonts w:ascii="Georgia" w:eastAsia="Georgia" w:hAnsi="Georgia" w:cs="Georgia"/>
        </w:rPr>
        <w:fldChar w:fldCharType="separate"/>
      </w:r>
      <w:r w:rsidR="00572B35">
        <w:rPr>
          <w:rFonts w:ascii="Times New Roman" w:hAnsi="Times New Roman"/>
          <w:sz w:val="24"/>
          <w:vertAlign w:val="superscript"/>
        </w:rPr>
        <w:t>31</w:t>
      </w:r>
      <w:r w:rsidR="00572B35">
        <w:rPr>
          <w:rFonts w:ascii="Georgia" w:eastAsia="Georgia" w:hAnsi="Georgia" w:cs="Georgia"/>
        </w:rPr>
        <w:fldChar w:fldCharType="end"/>
      </w:r>
      <w:r>
        <w:rPr>
          <w:rFonts w:ascii="Georgia" w:eastAsia="Georgia" w:hAnsi="Georgia" w:cs="Georgia"/>
        </w:rPr>
        <w:t>. Further studies showed relationships between selection and protein network topology (for instance, quantifying selection in hubs relative to proteins on the network periphery</w:t>
      </w:r>
      <w:r w:rsidR="00572B35">
        <w:rPr>
          <w:rFonts w:ascii="Georgia" w:eastAsia="Georgia" w:hAnsi="Georgia" w:cs="Georgia"/>
        </w:rPr>
        <w:fldChar w:fldCharType="begin"/>
      </w:r>
      <w:r w:rsidR="00572B35">
        <w:rPr>
          <w:rFonts w:ascii="Georgia" w:eastAsia="Georgia" w:hAnsi="Georgia" w:cs="Georgia"/>
        </w:rPr>
        <w:instrText xml:space="preserve"> ADDIN cite{18077332,23505346}</w:instrText>
      </w:r>
      <w:r w:rsidR="00572B35">
        <w:rPr>
          <w:rFonts w:ascii="Georgia" w:eastAsia="Georgia" w:hAnsi="Georgia" w:cs="Georgia"/>
        </w:rPr>
        <w:fldChar w:fldCharType="separate"/>
      </w:r>
      <w:r w:rsidR="00572B35">
        <w:rPr>
          <w:rFonts w:ascii="Times New Roman" w:hAnsi="Times New Roman"/>
          <w:sz w:val="24"/>
          <w:vertAlign w:val="superscript"/>
        </w:rPr>
        <w:t>73, 75</w:t>
      </w:r>
      <w:r w:rsidR="00572B35">
        <w:rPr>
          <w:rFonts w:ascii="Georgia" w:eastAsia="Georgia" w:hAnsi="Georgia" w:cs="Georgia"/>
        </w:rPr>
        <w:fldChar w:fldCharType="end"/>
      </w:r>
      <w:r>
        <w:rPr>
          <w:rFonts w:ascii="Georgia" w:eastAsia="Georgia" w:hAnsi="Georgia" w:cs="Georgia"/>
        </w:rPr>
        <w:t>).</w:t>
      </w:r>
    </w:p>
    <w:p w14:paraId="622AEA6B" w14:textId="2C9AD474" w:rsidR="00427F75" w:rsidRDefault="00F76E2A" w:rsidP="005540A9">
      <w:pPr>
        <w:pStyle w:val="normal0"/>
        <w:spacing w:line="240" w:lineRule="auto"/>
        <w:ind w:firstLine="720"/>
      </w:pPr>
      <w:r>
        <w:rPr>
          <w:rFonts w:ascii="Georgia" w:eastAsia="Georgia" w:hAnsi="Georgia" w:cs="Georgia"/>
        </w:rPr>
        <w:t>In recent studies</w:t>
      </w:r>
      <w:r w:rsidR="00572B35">
        <w:rPr>
          <w:rFonts w:ascii="Georgia" w:eastAsia="Georgia" w:hAnsi="Georgia" w:cs="Georgia"/>
        </w:rPr>
        <w:fldChar w:fldCharType="begin"/>
      </w:r>
      <w:r w:rsidR="00572B35">
        <w:rPr>
          <w:rFonts w:ascii="Georgia" w:eastAsia="Georgia" w:hAnsi="Georgia" w:cs="Georgia"/>
        </w:rPr>
        <w:instrText xml:space="preserve"> ADDIN cite{24092746,25273974}</w:instrText>
      </w:r>
      <w:r w:rsidR="00572B35">
        <w:rPr>
          <w:rFonts w:ascii="Georgia" w:eastAsia="Georgia" w:hAnsi="Georgia" w:cs="Georgia"/>
        </w:rPr>
        <w:fldChar w:fldCharType="separate"/>
      </w:r>
      <w:r w:rsidR="00572B35">
        <w:rPr>
          <w:rFonts w:ascii="Times New Roman" w:hAnsi="Times New Roman"/>
          <w:sz w:val="24"/>
          <w:vertAlign w:val="superscript"/>
        </w:rPr>
        <w:t>4, 74</w:t>
      </w:r>
      <w:r w:rsidR="00572B35">
        <w:rPr>
          <w:rFonts w:ascii="Georgia" w:eastAsia="Georgia" w:hAnsi="Georgia" w:cs="Georgia"/>
        </w:rPr>
        <w:fldChar w:fldCharType="end"/>
      </w:r>
      <w:r>
        <w:rPr>
          <w:rFonts w:ascii="Georgia" w:eastAsia="Georgia" w:hAnsi="Georgia" w:cs="Georgia"/>
        </w:rPr>
        <w:t xml:space="preserve">, we have integrated and extended these methods to develop a prioritization pipeline called FunSeq (Fig 2). It identifies sensitive and ultra-sensitive regions (i.e., those annotations under strong selective pressure, as determined using genomes from many individuals from diverse populations).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we identified ~100 non-coding </w:t>
      </w:r>
      <w:r>
        <w:rPr>
          <w:rFonts w:ascii="Georgia" w:eastAsia="Georgia" w:hAnsi="Georgia" w:cs="Georgia"/>
        </w:rPr>
        <w:lastRenderedPageBreak/>
        <w:t xml:space="preserve">candidate drivers in ~90 WGS medulloblastoma, breast and prostate cancer samples </w:t>
      </w:r>
      <w:r w:rsidR="00572B35">
        <w:rPr>
          <w:rFonts w:ascii="Georgia" w:eastAsia="Georgia" w:hAnsi="Georgia" w:cs="Georgia"/>
        </w:rPr>
        <w:fldChar w:fldCharType="begin"/>
      </w:r>
      <w:r w:rsidR="00572B35">
        <w:rPr>
          <w:rFonts w:ascii="Georgia" w:eastAsia="Georgia" w:hAnsi="Georgia" w:cs="Georgia"/>
        </w:rPr>
        <w:instrText xml:space="preserve"> ADDIN cite{24092746}</w:instrText>
      </w:r>
      <w:r w:rsidR="00572B35">
        <w:rPr>
          <w:rFonts w:ascii="Georgia" w:eastAsia="Georgia" w:hAnsi="Georgia" w:cs="Georgia"/>
        </w:rPr>
        <w:fldChar w:fldCharType="separate"/>
      </w:r>
      <w:r w:rsidR="00572B35">
        <w:rPr>
          <w:rFonts w:ascii="Times New Roman" w:hAnsi="Times New Roman"/>
          <w:sz w:val="24"/>
          <w:vertAlign w:val="superscript"/>
        </w:rPr>
        <w:t>74</w:t>
      </w:r>
      <w:r w:rsidR="00572B35">
        <w:rPr>
          <w:rFonts w:ascii="Georgia" w:eastAsia="Georgia" w:hAnsi="Georgia" w:cs="Georgia"/>
        </w:rPr>
        <w:fldChar w:fldCharType="end"/>
      </w:r>
      <w:r>
        <w:rPr>
          <w:rFonts w:ascii="Georgia" w:eastAsia="Georgia" w:hAnsi="Georgia" w:cs="Georgia"/>
        </w:rPr>
        <w:t>. We have also applied our method to investigate non-coding mutation patterns in subtypes of gastric cancer</w:t>
      </w:r>
      <w:r w:rsidR="00572B35">
        <w:rPr>
          <w:rFonts w:ascii="Georgia" w:eastAsia="Georgia" w:hAnsi="Georgia" w:cs="Georgia"/>
        </w:rPr>
        <w:fldChar w:fldCharType="begin"/>
      </w:r>
      <w:r w:rsidR="00572B35">
        <w:rPr>
          <w:rFonts w:ascii="Georgia" w:eastAsia="Georgia" w:hAnsi="Georgia" w:cs="Georgia"/>
        </w:rPr>
        <w:instrText xml:space="preserve"> ADDIN cite{0000011}</w:instrText>
      </w:r>
      <w:r w:rsidR="00572B35">
        <w:rPr>
          <w:rFonts w:ascii="Georgia" w:eastAsia="Georgia" w:hAnsi="Georgia" w:cs="Georgia"/>
        </w:rPr>
        <w:fldChar w:fldCharType="separate"/>
      </w:r>
      <w:r w:rsidR="00572B35">
        <w:rPr>
          <w:rFonts w:ascii="Times New Roman" w:hAnsi="Times New Roman"/>
          <w:sz w:val="24"/>
          <w:vertAlign w:val="superscript"/>
        </w:rPr>
        <w:t>92</w:t>
      </w:r>
      <w:r w:rsidR="00572B35">
        <w:rPr>
          <w:rFonts w:ascii="Georgia" w:eastAsia="Georgia" w:hAnsi="Georgia" w:cs="Georgia"/>
        </w:rPr>
        <w:fldChar w:fldCharType="end"/>
      </w:r>
      <w:r>
        <w:rPr>
          <w:rFonts w:ascii="Georgia" w:eastAsia="Georgia" w:hAnsi="Georgia" w:cs="Georgia"/>
        </w:rPr>
        <w:t>. Drawing on this experience, we are currently co-leading the ICGC PCAWG-2 (analysis of mutations in regulatory regions) group.</w:t>
      </w:r>
    </w:p>
    <w:p w14:paraId="236FFFD6" w14:textId="77777777" w:rsidR="00427F75" w:rsidRDefault="00F76E2A">
      <w:pPr>
        <w:pStyle w:val="normal0"/>
        <w:spacing w:line="240" w:lineRule="auto"/>
      </w:pPr>
      <w:r>
        <w:rPr>
          <w:b/>
        </w:rPr>
        <w:t>D-1-</w:t>
      </w:r>
      <w:proofErr w:type="gramStart"/>
      <w:r>
        <w:rPr>
          <w:b/>
        </w:rPr>
        <w:t>b  Research</w:t>
      </w:r>
      <w:proofErr w:type="gramEnd"/>
      <w:r>
        <w:rPr>
          <w:b/>
        </w:rPr>
        <w:t xml:space="preserve"> plan for Aim 1</w:t>
      </w:r>
    </w:p>
    <w:p w14:paraId="1AB67CFA" w14:textId="77777777" w:rsidR="00427F75" w:rsidRDefault="00F76E2A">
      <w:pPr>
        <w:pStyle w:val="normal0"/>
        <w:spacing w:line="240" w:lineRule="auto"/>
      </w:pPr>
      <w:r>
        <w:rPr>
          <w:rFonts w:ascii="Georgia" w:eastAsia="Georgia" w:hAnsi="Georgia" w:cs="Georgia"/>
        </w:rPr>
        <w:t>We plan to convert and extend the current FunSeq prototype from its focus on somatic variants to allow the identification of rare germline variants associated with high functional impact (Fig 3).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p>
    <w:p w14:paraId="65E53A31" w14:textId="77777777" w:rsidR="00427F75" w:rsidRDefault="00F76E2A">
      <w:pPr>
        <w:pStyle w:val="normal0"/>
        <w:spacing w:line="240" w:lineRule="auto"/>
      </w:pPr>
      <w:r>
        <w:rPr>
          <w:b/>
        </w:rPr>
        <w:t>D-1-b-</w:t>
      </w:r>
      <w:proofErr w:type="gramStart"/>
      <w:r>
        <w:rPr>
          <w:b/>
        </w:rPr>
        <w:t>i  Consistently</w:t>
      </w:r>
      <w:proofErr w:type="gramEnd"/>
      <w:r>
        <w:rPr>
          <w:b/>
        </w:rPr>
        <w:t xml:space="preserve"> prioritizing non-coding elements from polymorphism data</w:t>
      </w:r>
    </w:p>
    <w:p w14:paraId="25F64C8F" w14:textId="62B49923" w:rsidR="00427F75" w:rsidRDefault="00F76E2A">
      <w:pPr>
        <w:pStyle w:val="normal0"/>
        <w:spacing w:line="240" w:lineRule="auto"/>
      </w:pPr>
      <w:r>
        <w:rPr>
          <w:rFonts w:ascii="Georgia" w:eastAsia="Georgia" w:hAnsi="Georgia" w:cs="Georgia"/>
        </w:rPr>
        <w:t>In order to define rare variants with highly impactful events, we will use both intra-human variation data (from The 1000 Genomes Project) as well as cross-species evolutionary conservation (using classical measures such as GERP score</w:t>
      </w:r>
      <w:r w:rsidR="00572B35">
        <w:rPr>
          <w:rFonts w:ascii="Georgia" w:eastAsia="Georgia" w:hAnsi="Georgia" w:cs="Georgia"/>
        </w:rPr>
        <w:fldChar w:fldCharType="begin"/>
      </w:r>
      <w:r w:rsidR="00572B35">
        <w:rPr>
          <w:rFonts w:ascii="Georgia" w:eastAsia="Georgia" w:hAnsi="Georgia" w:cs="Georgia"/>
        </w:rPr>
        <w:instrText xml:space="preserve"> ADDIN cite{15965027}</w:instrText>
      </w:r>
      <w:r w:rsidR="00572B35">
        <w:rPr>
          <w:rFonts w:ascii="Georgia" w:eastAsia="Georgia" w:hAnsi="Georgia" w:cs="Georgia"/>
        </w:rPr>
        <w:fldChar w:fldCharType="separate"/>
      </w:r>
      <w:r w:rsidR="00572B35">
        <w:rPr>
          <w:rFonts w:ascii="Times New Roman" w:hAnsi="Times New Roman"/>
          <w:sz w:val="24"/>
          <w:vertAlign w:val="superscript"/>
        </w:rPr>
        <w:t>93</w:t>
      </w:r>
      <w:r w:rsidR="00572B35">
        <w:rPr>
          <w:rFonts w:ascii="Georgia" w:eastAsia="Georgia" w:hAnsi="Georgia" w:cs="Georgia"/>
        </w:rPr>
        <w:fldChar w:fldCharType="end"/>
      </w:r>
      <w:r>
        <w:rPr>
          <w:rFonts w:ascii="Georgia" w:eastAsia="Georgia" w:hAnsi="Georgia" w:cs="Georgia"/>
        </w:rPr>
        <w:t>).</w:t>
      </w:r>
    </w:p>
    <w:p w14:paraId="74E3CCDB" w14:textId="7CABA399" w:rsidR="00427F75" w:rsidRDefault="00F76E2A">
      <w:pPr>
        <w:pStyle w:val="normal0"/>
        <w:spacing w:line="240" w:lineRule="auto"/>
        <w:ind w:firstLine="720"/>
      </w:pPr>
      <w:r>
        <w:rPr>
          <w:rFonts w:ascii="Georgia" w:eastAsia="Georgia" w:hAnsi="Georgia" w:cs="Georgia"/>
        </w:rPr>
        <w:t>We will first update the TF binding non-coding elements from the original FunSeq approach. Here, we will use the better enhancer definition provided by the Epigenome Roadmap</w:t>
      </w:r>
      <w:r w:rsidR="00572B35">
        <w:rPr>
          <w:rFonts w:ascii="Georgia" w:eastAsia="Georgia" w:hAnsi="Georgia" w:cs="Georgia"/>
        </w:rPr>
        <w:fldChar w:fldCharType="begin"/>
      </w:r>
      <w:r w:rsidR="00572B35">
        <w:rPr>
          <w:rFonts w:ascii="Georgia" w:eastAsia="Georgia" w:hAnsi="Georgia" w:cs="Georgia"/>
        </w:rPr>
        <w:instrText xml:space="preserve"> ADDIN cite{25693563,25533951,25693566}</w:instrText>
      </w:r>
      <w:r w:rsidR="00572B35">
        <w:rPr>
          <w:rFonts w:ascii="Georgia" w:eastAsia="Georgia" w:hAnsi="Georgia" w:cs="Georgia"/>
        </w:rPr>
        <w:fldChar w:fldCharType="separate"/>
      </w:r>
      <w:r w:rsidR="00572B35">
        <w:rPr>
          <w:rFonts w:ascii="Times New Roman" w:hAnsi="Times New Roman"/>
          <w:sz w:val="24"/>
          <w:vertAlign w:val="superscript"/>
        </w:rPr>
        <w:t>94, 95, 96</w:t>
      </w:r>
      <w:r w:rsidR="00572B35">
        <w:rPr>
          <w:rFonts w:ascii="Georgia" w:eastAsia="Georgia" w:hAnsi="Georgia" w:cs="Georgia"/>
        </w:rPr>
        <w:fldChar w:fldCharType="end"/>
      </w:r>
      <w:r>
        <w:rPr>
          <w:rFonts w:ascii="Georgia" w:eastAsia="Georgia" w:hAnsi="Georgia" w:cs="Georgia"/>
        </w:rPr>
        <w:t>, and more recently from ENCODE</w:t>
      </w:r>
      <w:r w:rsidR="005178C2">
        <w:rPr>
          <w:rFonts w:ascii="Georgia" w:eastAsia="Georgia" w:hAnsi="Georgia" w:cs="Georgia"/>
        </w:rPr>
        <w:t xml:space="preserve">. </w:t>
      </w:r>
      <w:r>
        <w:rPr>
          <w:rFonts w:ascii="Georgia" w:eastAsia="Georgia" w:hAnsi="Georgia" w:cs="Georgia"/>
        </w:rPr>
        <w:t xml:space="preserve">In particular, we will develop a new </w:t>
      </w:r>
      <w:proofErr w:type="gramStart"/>
      <w:r>
        <w:rPr>
          <w:rFonts w:ascii="Georgia" w:eastAsia="Georgia" w:hAnsi="Georgia" w:cs="Georgia"/>
        </w:rPr>
        <w:t>machine learning</w:t>
      </w:r>
      <w:proofErr w:type="gramEnd"/>
      <w:r>
        <w:rPr>
          <w:rFonts w:ascii="Georgia" w:eastAsia="Georgia" w:hAnsi="Georgia" w:cs="Georgia"/>
        </w:rPr>
        <w:t xml:space="preserve"> framework that utilizes pattern recognition within the signal of various epigenomic features and transcription of enhancer RNA (eRNA) to predict active enhancers across different tissues. </w:t>
      </w:r>
    </w:p>
    <w:p w14:paraId="6236F5A0" w14:textId="6B62E4F8" w:rsidR="00427F75" w:rsidRDefault="00F76E2A">
      <w:pPr>
        <w:pStyle w:val="normal0"/>
        <w:spacing w:line="240" w:lineRule="auto"/>
        <w:ind w:firstLine="720"/>
      </w:pPr>
      <w:r>
        <w:rPr>
          <w:rFonts w:ascii="Georgia" w:eastAsia="Georgia" w:hAnsi="Georgia" w:cs="Georgia"/>
        </w:rPr>
        <w:t>Second, RNA regulatory elements will be added as prioritization features in a way that is consistent with the approach taken for TF binding sites. Specifically, we will mine RNA interactions with proteins/miRNAs from publicly available data, such as CLIP-Seq, CLASH and computational predictions (TargetScan) to create a compendium of biochemical interactions with RNA</w:t>
      </w:r>
      <w:r w:rsidR="00572B35">
        <w:rPr>
          <w:rFonts w:ascii="Georgia" w:eastAsia="Georgia" w:hAnsi="Georgia" w:cs="Georgia"/>
        </w:rPr>
        <w:fldChar w:fldCharType="begin"/>
      </w:r>
      <w:r w:rsidR="00572B35">
        <w:rPr>
          <w:rFonts w:ascii="Georgia" w:eastAsia="Georgia" w:hAnsi="Georgia" w:cs="Georgia"/>
        </w:rPr>
        <w:instrText xml:space="preserve"> ADDIN cite{25416797,24297251,20371350,23622248,21909094}</w:instrText>
      </w:r>
      <w:r w:rsidR="00572B35">
        <w:rPr>
          <w:rFonts w:ascii="Georgia" w:eastAsia="Georgia" w:hAnsi="Georgia" w:cs="Georgia"/>
        </w:rPr>
        <w:fldChar w:fldCharType="separate"/>
      </w:r>
      <w:r w:rsidR="00572B35">
        <w:rPr>
          <w:rFonts w:ascii="Times New Roman" w:hAnsi="Times New Roman"/>
          <w:sz w:val="24"/>
          <w:vertAlign w:val="superscript"/>
        </w:rPr>
        <w:t>97, 98, 99, 100, 101</w:t>
      </w:r>
      <w:r w:rsidR="00572B35">
        <w:rPr>
          <w:rFonts w:ascii="Georgia" w:eastAsia="Georgia" w:hAnsi="Georgia" w:cs="Georgia"/>
        </w:rPr>
        <w:fldChar w:fldCharType="end"/>
      </w:r>
      <w:r w:rsidR="001A0089">
        <w:rPr>
          <w:rFonts w:ascii="Georgia" w:eastAsia="Georgia" w:hAnsi="Georgia" w:cs="Georgia"/>
        </w:rPr>
        <w:t>.</w:t>
      </w:r>
      <w:r>
        <w:rPr>
          <w:rFonts w:ascii="Georgia" w:eastAsia="Georgia" w:hAnsi="Georgia" w:cs="Georgia"/>
        </w:rPr>
        <w:t>Our initial analyses indicate that some binding sites are even more sensitive to variation than coding sequences. In addition, we will incorporate aspects of RNA 3D-structure.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p>
    <w:p w14:paraId="7179F5EE" w14:textId="77777777" w:rsidR="00427F75" w:rsidRDefault="00F76E2A">
      <w:pPr>
        <w:pStyle w:val="normal0"/>
        <w:spacing w:line="240" w:lineRule="auto"/>
      </w:pPr>
      <w:r>
        <w:rPr>
          <w:b/>
        </w:rPr>
        <w:t>D-1-b-</w:t>
      </w:r>
      <w:proofErr w:type="gramStart"/>
      <w:r>
        <w:rPr>
          <w:b/>
        </w:rPr>
        <w:t>ii  Identifying</w:t>
      </w:r>
      <w:proofErr w:type="gramEnd"/>
      <w:r>
        <w:rPr>
          <w:b/>
        </w:rPr>
        <w:t xml:space="preserve"> high-impact mutations: breaking &amp; creating motifs</w:t>
      </w:r>
    </w:p>
    <w:p w14:paraId="6EDCA07F" w14:textId="5AF53F1A" w:rsidR="00427F75" w:rsidRDefault="00F76E2A">
      <w:pPr>
        <w:pStyle w:val="normal0"/>
        <w:spacing w:line="240" w:lineRule="auto"/>
      </w:pPr>
      <w:r>
        <w:rPr>
          <w:rFonts w:ascii="Georgia" w:eastAsia="Georgia" w:hAnsi="Georgia" w:cs="Georgia"/>
        </w:rPr>
        <w:t>For impactful events at TF binding sites, we will use motif breakers and formers to define loss-of- and gain-of-function events, respectively, as these events are more likely to have deleterious consequences</w:t>
      </w:r>
      <w:r w:rsidR="00572B35">
        <w:rPr>
          <w:rFonts w:ascii="Georgia" w:eastAsia="Georgia" w:hAnsi="Georgia" w:cs="Georgia"/>
        </w:rPr>
        <w:fldChar w:fldCharType="begin"/>
      </w:r>
      <w:r w:rsidR="00572B35">
        <w:rPr>
          <w:rFonts w:ascii="Georgia" w:eastAsia="Georgia" w:hAnsi="Georgia" w:cs="Georgia"/>
        </w:rPr>
        <w:instrText xml:space="preserve"> ADDIN cite{23512712,24092746,21596777,23348503,23348506,23530248,23887589}</w:instrText>
      </w:r>
      <w:r w:rsidR="00572B35">
        <w:rPr>
          <w:rFonts w:ascii="Georgia" w:eastAsia="Georgia" w:hAnsi="Georgia" w:cs="Georgia"/>
        </w:rPr>
        <w:fldChar w:fldCharType="separate"/>
      </w:r>
      <w:r w:rsidR="00572B35">
        <w:rPr>
          <w:rFonts w:ascii="Times New Roman" w:hAnsi="Times New Roman"/>
          <w:sz w:val="24"/>
          <w:vertAlign w:val="superscript"/>
        </w:rPr>
        <w:t>14, 15, 74, 88, 102, 103, 104</w:t>
      </w:r>
      <w:r w:rsidR="00572B35">
        <w:rPr>
          <w:rFonts w:ascii="Georgia" w:eastAsia="Georgia" w:hAnsi="Georgia" w:cs="Georgia"/>
        </w:rPr>
        <w:fldChar w:fldCharType="end"/>
      </w:r>
      <w:r>
        <w:rPr>
          <w:rFonts w:ascii="Georgia" w:eastAsia="Georgia" w:hAnsi="Georgia" w:cs="Georgia"/>
        </w:rPr>
        <w:t>.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14:paraId="21061DDA" w14:textId="33102E71" w:rsidR="00427F75" w:rsidRDefault="00F76E2A">
      <w:pPr>
        <w:pStyle w:val="normal0"/>
        <w:spacing w:line="240" w:lineRule="auto"/>
        <w:ind w:firstLine="720"/>
      </w:pPr>
      <w:r>
        <w:rPr>
          <w:rFonts w:ascii="Georgia" w:eastAsia="Georgia" w:hAnsi="Georgia" w:cs="Georgia"/>
        </w:rPr>
        <w:t>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w:t>
      </w:r>
      <w:r w:rsidR="00572B35">
        <w:rPr>
          <w:rFonts w:ascii="Georgia" w:eastAsia="Georgia" w:hAnsi="Georgia" w:cs="Georgia"/>
        </w:rPr>
        <w:fldChar w:fldCharType="begin"/>
      </w:r>
      <w:r w:rsidR="00572B35">
        <w:rPr>
          <w:rFonts w:ascii="Georgia" w:eastAsia="Georgia" w:hAnsi="Georgia" w:cs="Georgia"/>
        </w:rPr>
        <w:instrText xml:space="preserve"> ADDIN cite{18369186}</w:instrText>
      </w:r>
      <w:r w:rsidR="00572B35">
        <w:rPr>
          <w:rFonts w:ascii="Georgia" w:eastAsia="Georgia" w:hAnsi="Georgia" w:cs="Georgia"/>
        </w:rPr>
        <w:fldChar w:fldCharType="separate"/>
      </w:r>
      <w:r w:rsidR="00572B35">
        <w:rPr>
          <w:rFonts w:ascii="Times New Roman" w:hAnsi="Times New Roman"/>
          <w:sz w:val="24"/>
          <w:vertAlign w:val="superscript"/>
        </w:rPr>
        <w:t>105</w:t>
      </w:r>
      <w:r w:rsidR="00572B35">
        <w:rPr>
          <w:rFonts w:ascii="Georgia" w:eastAsia="Georgia" w:hAnsi="Georgia" w:cs="Georgia"/>
        </w:rPr>
        <w:fldChar w:fldCharType="end"/>
      </w:r>
      <w:r>
        <w:rPr>
          <w:rFonts w:ascii="Georgia" w:eastAsia="Georgia" w:hAnsi="Georgia" w:cs="Georgia"/>
        </w:rPr>
        <w:t xml:space="preserve">. We have found that intron-exon junctions, polyadenylation sites, and intron lariat structures are much more sensitive to mutation than other genomic regions, particularly for motif-breaking variants. For miRNA/protein bindings sites, we will likewise use the specific binding sites of the microRNAs and whether the respective mutation moves closer to or further from the canonical pattern. </w:t>
      </w:r>
    </w:p>
    <w:p w14:paraId="02B3F576" w14:textId="77777777" w:rsidR="00427F75" w:rsidRDefault="00F76E2A">
      <w:pPr>
        <w:pStyle w:val="normal0"/>
        <w:spacing w:line="240" w:lineRule="auto"/>
      </w:pPr>
      <w:r>
        <w:rPr>
          <w:b/>
        </w:rPr>
        <w:t>D-1-b-</w:t>
      </w:r>
      <w:proofErr w:type="gramStart"/>
      <w:r>
        <w:rPr>
          <w:b/>
        </w:rPr>
        <w:t>iii  Variant</w:t>
      </w:r>
      <w:proofErr w:type="gramEnd"/>
      <w:r>
        <w:rPr>
          <w:b/>
        </w:rPr>
        <w:t xml:space="preserve"> prioritization based on allelic activity </w:t>
      </w:r>
    </w:p>
    <w:p w14:paraId="4CDC6B5C" w14:textId="5B9F5B5A" w:rsidR="00427F75" w:rsidRDefault="00F76E2A">
      <w:pPr>
        <w:pStyle w:val="normal0"/>
        <w:spacing w:line="240" w:lineRule="auto"/>
      </w:pPr>
      <w:r>
        <w:rPr>
          <w:rFonts w:ascii="Georgia" w:eastAsia="Georgia" w:hAnsi="Georgia" w:cs="Georgia"/>
        </w:rPr>
        <w:t>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w:t>
      </w:r>
      <w:r w:rsidR="00572B35">
        <w:rPr>
          <w:rFonts w:ascii="Georgia" w:eastAsia="Georgia" w:hAnsi="Georgia" w:cs="Georgia"/>
        </w:rPr>
        <w:fldChar w:fldCharType="begin"/>
      </w:r>
      <w:r w:rsidR="00572B35">
        <w:rPr>
          <w:rFonts w:ascii="Georgia" w:eastAsia="Georgia" w:hAnsi="Georgia" w:cs="Georgia"/>
        </w:rPr>
        <w:instrText xml:space="preserve"> ADDIN cite{24037378}</w:instrText>
      </w:r>
      <w:r w:rsidR="00572B35">
        <w:rPr>
          <w:rFonts w:ascii="Georgia" w:eastAsia="Georgia" w:hAnsi="Georgia" w:cs="Georgia"/>
        </w:rPr>
        <w:fldChar w:fldCharType="separate"/>
      </w:r>
      <w:r w:rsidR="00572B35">
        <w:rPr>
          <w:rFonts w:ascii="Times New Roman" w:hAnsi="Times New Roman"/>
          <w:sz w:val="24"/>
          <w:vertAlign w:val="superscript"/>
        </w:rPr>
        <w:t>34</w:t>
      </w:r>
      <w:r w:rsidR="00572B35">
        <w:rPr>
          <w:rFonts w:ascii="Georgia" w:eastAsia="Georgia" w:hAnsi="Georgia" w:cs="Georgia"/>
        </w:rPr>
        <w:fldChar w:fldCharType="end"/>
      </w:r>
      <w:r>
        <w:rPr>
          <w:rFonts w:ascii="Georgia" w:eastAsia="Georgia" w:hAnsi="Georgia" w:cs="Georgia"/>
        </w:rPr>
        <w:t>,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14:paraId="3F0F8ACE" w14:textId="69348492" w:rsidR="00427F75" w:rsidRDefault="00F76E2A">
      <w:pPr>
        <w:pStyle w:val="normal0"/>
        <w:spacing w:line="240" w:lineRule="auto"/>
        <w:ind w:firstLine="720"/>
      </w:pPr>
      <w:r>
        <w:rPr>
          <w:rFonts w:ascii="Georgia" w:eastAsia="Georgia" w:hAnsi="Georgia" w:cs="Georgia"/>
        </w:rPr>
        <w:t>We derive allelic elements by first identifying allelic variants from hundreds of individuals. These individuals will be amassed from The 1000 Genomes Project</w:t>
      </w:r>
      <w:r w:rsidR="00572B35">
        <w:rPr>
          <w:rFonts w:ascii="Georgia" w:eastAsia="Georgia" w:hAnsi="Georgia" w:cs="Georgia"/>
        </w:rPr>
        <w:fldChar w:fldCharType="begin"/>
      </w:r>
      <w:r w:rsidR="00572B35">
        <w:rPr>
          <w:rFonts w:ascii="Georgia" w:eastAsia="Georgia" w:hAnsi="Georgia" w:cs="Georgia"/>
        </w:rPr>
        <w:instrText xml:space="preserve"> ADDIN cite{23128226}</w:instrText>
      </w:r>
      <w:r w:rsidR="00572B35">
        <w:rPr>
          <w:rFonts w:ascii="Georgia" w:eastAsia="Georgia" w:hAnsi="Georgia" w:cs="Georgia"/>
        </w:rPr>
        <w:fldChar w:fldCharType="separate"/>
      </w:r>
      <w:r w:rsidR="00572B35">
        <w:rPr>
          <w:rFonts w:ascii="Times New Roman" w:hAnsi="Times New Roman"/>
          <w:sz w:val="24"/>
          <w:vertAlign w:val="superscript"/>
        </w:rPr>
        <w:t>106</w:t>
      </w:r>
      <w:r w:rsidR="00572B35">
        <w:rPr>
          <w:rFonts w:ascii="Georgia" w:eastAsia="Georgia" w:hAnsi="Georgia" w:cs="Georgia"/>
        </w:rPr>
        <w:fldChar w:fldCharType="end"/>
      </w:r>
      <w:r>
        <w:rPr>
          <w:rFonts w:ascii="Georgia" w:eastAsia="Georgia" w:hAnsi="Georgia" w:cs="Georgia"/>
        </w:rPr>
        <w:t>. We will match them with their corresponding RNA-Seq and ChIP-seq experiments from multiple disparate studies, such as gEUVADIS</w:t>
      </w:r>
      <w:r w:rsidR="00572B35">
        <w:rPr>
          <w:rFonts w:ascii="Georgia" w:eastAsia="Georgia" w:hAnsi="Georgia" w:cs="Georgia"/>
        </w:rPr>
        <w:fldChar w:fldCharType="begin"/>
      </w:r>
      <w:r w:rsidR="00572B35">
        <w:rPr>
          <w:rFonts w:ascii="Georgia" w:eastAsia="Georgia" w:hAnsi="Georgia" w:cs="Georgia"/>
        </w:rPr>
        <w:instrText xml:space="preserve"> ADDIN cite{24037378}</w:instrText>
      </w:r>
      <w:r w:rsidR="00572B35">
        <w:rPr>
          <w:rFonts w:ascii="Georgia" w:eastAsia="Georgia" w:hAnsi="Georgia" w:cs="Georgia"/>
        </w:rPr>
        <w:fldChar w:fldCharType="separate"/>
      </w:r>
      <w:r w:rsidR="00572B35">
        <w:rPr>
          <w:rFonts w:ascii="Times New Roman" w:hAnsi="Times New Roman"/>
          <w:sz w:val="24"/>
          <w:vertAlign w:val="superscript"/>
        </w:rPr>
        <w:t>34</w:t>
      </w:r>
      <w:r w:rsidR="00572B35">
        <w:rPr>
          <w:rFonts w:ascii="Georgia" w:eastAsia="Georgia" w:hAnsi="Georgia" w:cs="Georgia"/>
        </w:rPr>
        <w:fldChar w:fldCharType="end"/>
      </w:r>
      <w:r>
        <w:rPr>
          <w:rFonts w:ascii="Georgia" w:eastAsia="Georgia" w:hAnsi="Georgia" w:cs="Georgia"/>
        </w:rPr>
        <w:t xml:space="preserve"> and ENCODE</w:t>
      </w:r>
      <w:r w:rsidR="00572B35">
        <w:rPr>
          <w:rFonts w:ascii="Georgia" w:eastAsia="Georgia" w:hAnsi="Georgia" w:cs="Georgia"/>
        </w:rPr>
        <w:fldChar w:fldCharType="begin"/>
      </w:r>
      <w:r w:rsidR="00572B35">
        <w:rPr>
          <w:rFonts w:ascii="Georgia" w:eastAsia="Georgia" w:hAnsi="Georgia" w:cs="Georgia"/>
        </w:rPr>
        <w:instrText xml:space="preserve"> ADDIN cite{22955616}</w:instrText>
      </w:r>
      <w:r w:rsidR="00572B35">
        <w:rPr>
          <w:rFonts w:ascii="Georgia" w:eastAsia="Georgia" w:hAnsi="Georgia" w:cs="Georgia"/>
        </w:rPr>
        <w:fldChar w:fldCharType="separate"/>
      </w:r>
      <w:r w:rsidR="00572B35">
        <w:rPr>
          <w:rFonts w:ascii="Times New Roman" w:hAnsi="Times New Roman"/>
          <w:sz w:val="24"/>
          <w:vertAlign w:val="superscript"/>
        </w:rPr>
        <w:t>31</w:t>
      </w:r>
      <w:r w:rsidR="00572B35">
        <w:rPr>
          <w:rFonts w:ascii="Georgia" w:eastAsia="Georgia" w:hAnsi="Georgia" w:cs="Georgia"/>
        </w:rPr>
        <w:fldChar w:fldCharType="end"/>
      </w:r>
      <w:r>
        <w:rPr>
          <w:rFonts w:ascii="Georgia" w:eastAsia="Georgia" w:hAnsi="Georgia" w:cs="Georgia"/>
        </w:rPr>
        <w:t xml:space="preserve">.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w:t>
      </w:r>
      <w:r>
        <w:rPr>
          <w:rFonts w:ascii="Georgia" w:eastAsia="Georgia" w:hAnsi="Georgia" w:cs="Georgia"/>
        </w:rPr>
        <w:lastRenderedPageBreak/>
        <w:t>empirically observed to give a broader, or an ‘overdispersed’, distribution than a binomial distribution</w:t>
      </w:r>
      <w:r w:rsidR="00572B35">
        <w:rPr>
          <w:rFonts w:ascii="Georgia" w:eastAsia="Georgia" w:hAnsi="Georgia" w:cs="Georgia"/>
        </w:rPr>
        <w:fldChar w:fldCharType="begin"/>
      </w:r>
      <w:r w:rsidR="00572B35">
        <w:rPr>
          <w:rFonts w:ascii="Georgia" w:eastAsia="Georgia" w:hAnsi="Georgia" w:cs="Georgia"/>
        </w:rPr>
        <w:instrText xml:space="preserve"> ADDIN cite{25223782,20671027,22499706}</w:instrText>
      </w:r>
      <w:r w:rsidR="00572B35">
        <w:rPr>
          <w:rFonts w:ascii="Georgia" w:eastAsia="Georgia" w:hAnsi="Georgia" w:cs="Georgia"/>
        </w:rPr>
        <w:fldChar w:fldCharType="separate"/>
      </w:r>
      <w:r w:rsidR="00572B35">
        <w:rPr>
          <w:rFonts w:ascii="Times New Roman" w:hAnsi="Times New Roman"/>
          <w:sz w:val="24"/>
          <w:vertAlign w:val="superscript"/>
        </w:rPr>
        <w:t>107, 108, 109</w:t>
      </w:r>
      <w:r w:rsidR="00572B35">
        <w:rPr>
          <w:rFonts w:ascii="Georgia" w:eastAsia="Georgia" w:hAnsi="Georgia" w:cs="Georgia"/>
        </w:rPr>
        <w:fldChar w:fldCharType="end"/>
      </w:r>
      <w:r>
        <w:rPr>
          <w:rFonts w:ascii="Georgia" w:eastAsia="Georgia" w:hAnsi="Georgia" w:cs="Georgia"/>
        </w:rPr>
        <w:t>.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14:paraId="524CDE45" w14:textId="77777777" w:rsidR="00427F75" w:rsidRDefault="00F76E2A">
      <w:pPr>
        <w:pStyle w:val="normal0"/>
        <w:spacing w:line="240" w:lineRule="auto"/>
        <w:ind w:firstLine="720"/>
      </w:pPr>
      <w:r>
        <w:rPr>
          <w:rFonts w:ascii="Georgia" w:eastAsia="Georgia" w:hAnsi="Georgia" w:cs="Georgia"/>
        </w:rPr>
        <w:t xml:space="preserve">Subsequently, allelic variants (rare and common) identified across hundreds of genomes can be aggregated into ‘allelic genomic elements’. Each element will be assigned </w:t>
      </w:r>
      <w:proofErr w:type="gramStart"/>
      <w:r>
        <w:rPr>
          <w:rFonts w:ascii="Georgia" w:eastAsia="Georgia" w:hAnsi="Georgia" w:cs="Georgia"/>
        </w:rPr>
        <w:t>an ‘allelicity’</w:t>
      </w:r>
      <w:proofErr w:type="gramEnd"/>
      <w:r>
        <w:rPr>
          <w:rFonts w:ascii="Georgia" w:eastAsia="Georgia" w:hAnsi="Georgia" w:cs="Georgia"/>
        </w:rPr>
        <w:t xml:space="preserve">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14:paraId="69F7EA4F" w14:textId="77777777" w:rsidR="00427F75" w:rsidRDefault="00F76E2A">
      <w:pPr>
        <w:pStyle w:val="normal0"/>
        <w:spacing w:line="240" w:lineRule="auto"/>
      </w:pPr>
      <w:r>
        <w:rPr>
          <w:b/>
        </w:rPr>
        <w:t>D-1-b-</w:t>
      </w:r>
      <w:proofErr w:type="gramStart"/>
      <w:r>
        <w:rPr>
          <w:b/>
        </w:rPr>
        <w:t>iv  Identifying</w:t>
      </w:r>
      <w:proofErr w:type="gramEnd"/>
      <w:r>
        <w:rPr>
          <w:b/>
        </w:rPr>
        <w:t xml:space="preserve"> likely target genes for distal regulatory elements &amp; assessing the impact of variants on network connectivity</w:t>
      </w:r>
    </w:p>
    <w:p w14:paraId="66E4D275" w14:textId="15F73083" w:rsidR="00427F75" w:rsidRDefault="00F76E2A">
      <w:pPr>
        <w:pStyle w:val="normal0"/>
        <w:spacing w:line="240" w:lineRule="auto"/>
      </w:pPr>
      <w:r>
        <w:rPr>
          <w:rFonts w:ascii="Georgia" w:eastAsia="Georgia" w:hAnsi="Georgia" w:cs="Georgia"/>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w:t>
      </w:r>
      <w:r w:rsidR="00572B35">
        <w:rPr>
          <w:rFonts w:ascii="Georgia" w:eastAsia="Georgia" w:hAnsi="Georgia" w:cs="Georgia"/>
        </w:rPr>
        <w:fldChar w:fldCharType="begin"/>
      </w:r>
      <w:r w:rsidR="00572B35">
        <w:rPr>
          <w:rFonts w:ascii="Georgia" w:eastAsia="Georgia" w:hAnsi="Georgia" w:cs="Georgia"/>
        </w:rPr>
        <w:instrText xml:space="preserve"> ADDIN cite{20126643}</w:instrText>
      </w:r>
      <w:r w:rsidR="00572B35">
        <w:rPr>
          <w:rFonts w:ascii="Georgia" w:eastAsia="Georgia" w:hAnsi="Georgia" w:cs="Georgia"/>
        </w:rPr>
        <w:fldChar w:fldCharType="separate"/>
      </w:r>
      <w:r w:rsidR="00572B35">
        <w:rPr>
          <w:rFonts w:ascii="Times New Roman" w:hAnsi="Times New Roman"/>
          <w:sz w:val="24"/>
          <w:vertAlign w:val="superscript"/>
        </w:rPr>
        <w:t>57</w:t>
      </w:r>
      <w:r w:rsidR="00572B35">
        <w:rPr>
          <w:rFonts w:ascii="Georgia" w:eastAsia="Georgia" w:hAnsi="Georgia" w:cs="Georgia"/>
        </w:rPr>
        <w:fldChar w:fldCharType="end"/>
      </w:r>
      <w:r>
        <w:rPr>
          <w:rFonts w:ascii="Georgia" w:eastAsia="Georgia" w:hAnsi="Georgia" w:cs="Georgia"/>
        </w:rPr>
        <w:t>. A single regulatory variant may affect the expression of multiple genes, either because it directly regulates multiple genes or because the target gene is itself a regulatory factor.</w:t>
      </w:r>
    </w:p>
    <w:p w14:paraId="736AB2B6" w14:textId="114D2551" w:rsidR="00427F75" w:rsidRDefault="00F76E2A">
      <w:pPr>
        <w:pStyle w:val="normal0"/>
        <w:spacing w:line="240" w:lineRule="auto"/>
        <w:ind w:firstLine="720"/>
      </w:pPr>
      <w:r>
        <w:rPr>
          <w:rFonts w:ascii="Georgia" w:eastAsia="Georgia" w:hAnsi="Georgia" w:cs="Georgia"/>
          <w:u w:val="single"/>
        </w:rPr>
        <w:t>We will use the regulatory element-target gene pairs to connect the non-coding variants into a variety of networks</w:t>
      </w:r>
      <w:r>
        <w:rPr>
          <w:rFonts w:ascii="Georgia" w:eastAsia="Georgia" w:hAnsi="Georgia" w:cs="Georgia"/>
        </w:rPr>
        <w:t xml:space="preserve"> -- e.g. regulatory network, metabolic pathways, etc. We will examine their network centralities, such as hubs, bottlenecks and hierarchies, as we know that disruption of highly connected genes or their regulatory elements is more likely to be deleterious</w:t>
      </w:r>
      <w:r w:rsidR="00572B35">
        <w:rPr>
          <w:rFonts w:ascii="Georgia" w:eastAsia="Georgia" w:hAnsi="Georgia" w:cs="Georgia"/>
        </w:rPr>
        <w:fldChar w:fldCharType="begin"/>
      </w:r>
      <w:r w:rsidR="00572B35">
        <w:rPr>
          <w:rFonts w:ascii="Georgia" w:eastAsia="Georgia" w:hAnsi="Georgia" w:cs="Georgia"/>
        </w:rPr>
        <w:instrText xml:space="preserve"> ADDIN cite{23505346,18077332}</w:instrText>
      </w:r>
      <w:r w:rsidR="00572B35">
        <w:rPr>
          <w:rFonts w:ascii="Georgia" w:eastAsia="Georgia" w:hAnsi="Georgia" w:cs="Georgia"/>
        </w:rPr>
        <w:fldChar w:fldCharType="separate"/>
      </w:r>
      <w:r w:rsidR="00572B35">
        <w:rPr>
          <w:rFonts w:ascii="Times New Roman" w:hAnsi="Times New Roman"/>
          <w:sz w:val="24"/>
          <w:vertAlign w:val="superscript"/>
        </w:rPr>
        <w:t>73, 75</w:t>
      </w:r>
      <w:r w:rsidR="00572B35">
        <w:rPr>
          <w:rFonts w:ascii="Georgia" w:eastAsia="Georgia" w:hAnsi="Georgia" w:cs="Georgia"/>
        </w:rPr>
        <w:fldChar w:fldCharType="end"/>
      </w:r>
      <w:r>
        <w:rPr>
          <w:rFonts w:ascii="Georgia" w:eastAsia="Georgia" w:hAnsi="Georgia" w:cs="Georgia"/>
        </w:rPr>
        <w:t>. For RNA regulatory elements,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14:paraId="5B96A1B3" w14:textId="77777777" w:rsidR="001A0089" w:rsidRDefault="00F76E2A">
      <w:pPr>
        <w:pStyle w:val="normal0"/>
        <w:spacing w:line="240" w:lineRule="auto"/>
      </w:pPr>
      <w:r>
        <w:rPr>
          <w:b/>
        </w:rPr>
        <w:t>D-1-b-</w:t>
      </w:r>
      <w:proofErr w:type="gramStart"/>
      <w:r>
        <w:rPr>
          <w:b/>
        </w:rPr>
        <w:t>v  We</w:t>
      </w:r>
      <w:proofErr w:type="gramEnd"/>
      <w:r>
        <w:rPr>
          <w:b/>
        </w:rPr>
        <w:t xml:space="preserve"> will use a unified weighted scoring scheme for combining all eleVAR features to prioritize variants</w:t>
      </w:r>
    </w:p>
    <w:p w14:paraId="32C8DA6D" w14:textId="3CC64836" w:rsidR="00427F75" w:rsidRDefault="00F76E2A">
      <w:pPr>
        <w:pStyle w:val="normal0"/>
        <w:spacing w:line="240" w:lineRule="auto"/>
      </w:pPr>
      <w:r>
        <w:rPr>
          <w:rFonts w:ascii="Georgia" w:eastAsia="Georgia" w:hAnsi="Georgia" w:cs="Georgia"/>
          <w:u w:val="single"/>
        </w:rPr>
        <w:t>To integrate the various features mentioned above, we plan to elaborate the weighting system in FunSeq.</w:t>
      </w:r>
      <w:r w:rsidR="00572B35">
        <w:rPr>
          <w:rFonts w:ascii="Georgia" w:eastAsia="Georgia" w:hAnsi="Georgia" w:cs="Georgia"/>
          <w:u w:val="single"/>
        </w:rPr>
        <w:fldChar w:fldCharType="begin"/>
      </w:r>
      <w:r w:rsidR="00572B35">
        <w:rPr>
          <w:rFonts w:ascii="Georgia" w:eastAsia="Georgia" w:hAnsi="Georgia" w:cs="Georgia"/>
          <w:u w:val="single"/>
        </w:rPr>
        <w:instrText xml:space="preserve"> ADDIN cite{25273974}</w:instrText>
      </w:r>
      <w:r w:rsidR="00572B35">
        <w:rPr>
          <w:rFonts w:ascii="Georgia" w:eastAsia="Georgia" w:hAnsi="Georgia" w:cs="Georgia"/>
          <w:u w:val="single"/>
        </w:rPr>
        <w:fldChar w:fldCharType="separate"/>
      </w:r>
      <w:r w:rsidR="00572B35">
        <w:rPr>
          <w:rFonts w:ascii="Times New Roman" w:hAnsi="Times New Roman"/>
          <w:sz w:val="24"/>
          <w:vertAlign w:val="superscript"/>
        </w:rPr>
        <w:t>4</w:t>
      </w:r>
      <w:r w:rsidR="00572B35">
        <w:rPr>
          <w:rFonts w:ascii="Georgia" w:eastAsia="Georgia" w:hAnsi="Georgia" w:cs="Georgia"/>
          <w:u w:val="single"/>
        </w:rPr>
        <w:fldChar w:fldCharType="end"/>
      </w:r>
      <w:r>
        <w:rPr>
          <w:rFonts w:ascii="Georgia" w:eastAsia="Georgia" w:hAnsi="Georgia" w:cs="Georgia"/>
          <w:u w:val="single"/>
        </w:rPr>
        <w:t xml:space="preserve">. </w:t>
      </w:r>
      <w:r>
        <w:rPr>
          <w:rFonts w:ascii="Georgia" w:eastAsia="Georgia" w:hAnsi="Georgia" w:cs="Georgia"/>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14:paraId="5E7056CC" w14:textId="77777777" w:rsidR="00F76E2A" w:rsidRPr="00A9076C" w:rsidRDefault="00F76E2A" w:rsidP="00F76E2A">
      <w:pPr>
        <w:pStyle w:val="normal0"/>
        <w:spacing w:line="240" w:lineRule="auto"/>
        <w:ind w:firstLine="720"/>
        <w:rPr>
          <w:rFonts w:ascii="Georgia" w:hAnsi="Georgia"/>
          <w:color w:val="auto"/>
        </w:rPr>
      </w:pPr>
      <w:r w:rsidRPr="00A9076C">
        <w:rPr>
          <w:rFonts w:ascii="Georgia" w:eastAsia="Georgia" w:hAnsi="Georgia" w:cs="Georgia"/>
          <w:color w:val="auto"/>
        </w:rPr>
        <w:t xml:space="preserve">For each discrete feature </w:t>
      </w:r>
      <m:oMath>
        <m:r>
          <w:rPr>
            <w:rFonts w:ascii="Cambria Math" w:eastAsia="Georgia" w:hAnsi="Cambria Math" w:cs="Georgia"/>
            <w:color w:val="auto"/>
          </w:rPr>
          <m:t>d</m:t>
        </m:r>
      </m:oMath>
      <w:r w:rsidRPr="00A9076C">
        <w:rPr>
          <w:rFonts w:ascii="Georgia" w:eastAsia="Georgia" w:hAnsi="Georgia" w:cs="Georgia"/>
          <w:color w:val="auto"/>
        </w:rPr>
        <w:t xml:space="preserve">, we calculate the probability </w:t>
      </w:r>
      <m:oMath>
        <m:sSub>
          <m:sSubPr>
            <m:ctrlPr>
              <w:rPr>
                <w:rFonts w:ascii="Cambria Math" w:eastAsia="Georgia" w:hAnsi="Cambria Math" w:cs="Cambria Math"/>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oMath>
      <w:r w:rsidRPr="00A9076C">
        <w:rPr>
          <w:rFonts w:ascii="Georgia" w:eastAsia="Georgia" w:hAnsi="Georgia" w:cs="Georgia"/>
          <w:color w:val="auto"/>
        </w:rPr>
        <w:t xml:space="preserve"> that it overlaps with common polymorphisms. We then calculate the information content to denote its weighted value </w:t>
      </w:r>
      <m:oMath>
        <m:sSub>
          <m:sSubPr>
            <m:ctrlPr>
              <w:rPr>
                <w:rFonts w:ascii="Cambria Math" w:eastAsia="Georgia" w:hAnsi="Cambria Math" w:cs="Georgia"/>
                <w:i/>
                <w:color w:val="auto"/>
              </w:rPr>
            </m:ctrlPr>
          </m:sSubPr>
          <m:e>
            <m:r>
              <w:rPr>
                <w:rFonts w:ascii="Cambria Math" w:eastAsia="Georgia" w:hAnsi="Cambria Math" w:cs="Georgia"/>
                <w:color w:val="auto"/>
              </w:rPr>
              <m:t>w</m:t>
            </m:r>
          </m:e>
          <m:sub>
            <m:r>
              <w:rPr>
                <w:rFonts w:ascii="Cambria Math" w:eastAsia="Georgia" w:hAnsi="Cambria Math" w:cs="Georgia"/>
                <w:color w:val="auto"/>
              </w:rPr>
              <m:t>d</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log</m:t>
            </m:r>
          </m:e>
          <m:sub>
            <m:r>
              <w:rPr>
                <w:rFonts w:ascii="Cambria Math" w:eastAsia="Georgia" w:hAnsi="Cambria Math" w:cs="Georgia"/>
                <w:color w:val="auto"/>
              </w:rPr>
              <m:t>2</m:t>
            </m:r>
          </m:sub>
        </m:sSub>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 *</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Cambria Math"/>
            <w:color w:val="auto"/>
          </w:rPr>
          <m:t>)</m:t>
        </m:r>
      </m:oMath>
      <w:r w:rsidRPr="00A9076C">
        <w:rPr>
          <w:rFonts w:ascii="Georgia" w:eastAsia="Georgia" w:hAnsi="Georgia" w:cs="Georgia"/>
          <w:color w:val="auto"/>
        </w:rPr>
        <w:t xml:space="preserve">. </w:t>
      </w:r>
    </w:p>
    <w:p w14:paraId="16BEA9BA" w14:textId="77777777" w:rsidR="00F76E2A" w:rsidRPr="00A9076C" w:rsidRDefault="00F76E2A" w:rsidP="00F76E2A">
      <w:pPr>
        <w:pStyle w:val="normal0"/>
        <w:spacing w:line="240" w:lineRule="auto"/>
        <w:ind w:firstLine="720"/>
        <w:rPr>
          <w:rFonts w:ascii="Georgia" w:hAnsi="Georgia"/>
          <w:color w:val="auto"/>
        </w:rPr>
      </w:pPr>
      <w:r w:rsidRPr="00A9076C">
        <w:rPr>
          <w:rFonts w:ascii="Georgia" w:eastAsia="Georgia" w:hAnsi="Georgia" w:cs="Georgia"/>
          <w:color w:val="auto"/>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Cambria Math" w:eastAsia="Georgia" w:hAnsi="Cambria Math" w:cs="Georgia"/>
            <w:color w:val="auto"/>
          </w:rPr>
          <m:t>c</m:t>
        </m:r>
      </m:oMath>
      <w:r w:rsidRPr="00A9076C">
        <w:rPr>
          <w:rFonts w:ascii="Georgia" w:eastAsia="Georgia" w:hAnsi="Georgia" w:cs="Georgia"/>
          <w:color w:val="auto"/>
        </w:rPr>
        <w:t xml:space="preserve">, which is associated with a score </w:t>
      </w:r>
      <m:oMath>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Pr="00A9076C">
        <w:rPr>
          <w:rFonts w:ascii="Georgia" w:eastAsia="Georgia" w:hAnsi="Georgia" w:cs="Georgia"/>
          <w:color w:val="auto"/>
        </w:rPr>
        <w:t>, we will calculate feature weights for each</w:t>
      </w:r>
      <m:oMath>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Pr="00A9076C">
        <w:rPr>
          <w:rFonts w:ascii="Georgia" w:eastAsia="Georgia" w:hAnsi="Georgia" w:cs="Georgia"/>
          <w:color w:val="auto"/>
        </w:rPr>
        <w:t xml:space="preserve">. In particular, we discretize at each value and compute </w:t>
      </w:r>
      <m:oMath>
        <m:sSubSup>
          <m:sSubSupPr>
            <m:ctrlPr>
              <w:rPr>
                <w:rFonts w:ascii="Cambria Math" w:eastAsia="Georgia" w:hAnsi="Cambria Math" w:cs="Georgia"/>
                <w:i/>
                <w:color w:val="auto"/>
              </w:rPr>
            </m:ctrlPr>
          </m:sSubSupPr>
          <m:e>
            <m:r>
              <w:rPr>
                <w:rFonts w:ascii="Cambria Math" w:eastAsia="Georgia" w:hAnsi="Cambria Math" w:cs="Cambria Math"/>
                <w:color w:val="auto"/>
              </w:rPr>
              <m:t>w</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oMath>
      <w:r w:rsidRPr="00A9076C">
        <w:rPr>
          <w:rFonts w:ascii="Georgia" w:eastAsia="Georgia" w:hAnsi="Georgia" w:cs="Georgia"/>
          <w:color w:val="auto"/>
        </w:rPr>
        <w:t xml:space="preserve">. Then we fit a smooth curve for all </w:t>
      </w:r>
      <m:oMath>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Pr="00A9076C">
        <w:rPr>
          <w:rFonts w:ascii="Georgia" w:eastAsia="Georgia" w:hAnsi="Georgia" w:cs="Georgia"/>
          <w:color w:val="auto"/>
        </w:rPr>
        <w:t xml:space="preserve"> to obtain continuous </w:t>
      </w:r>
      <m:oMath>
        <m:sSubSup>
          <m:sSubSupPr>
            <m:ctrlPr>
              <w:rPr>
                <w:rFonts w:ascii="Cambria Math" w:eastAsia="Georgia" w:hAnsi="Cambria Math" w:cs="Georgia"/>
                <w:i/>
                <w:color w:val="auto"/>
              </w:rPr>
            </m:ctrlPr>
          </m:sSubSupPr>
          <m:e>
            <m:r>
              <w:rPr>
                <w:rFonts w:ascii="Cambria Math" w:eastAsia="Georgia" w:hAnsi="Cambria Math" w:cs="Cambria Math"/>
                <w:color w:val="auto"/>
              </w:rPr>
              <m:t>w</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 *</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oMath>
      <w:r w:rsidRPr="00A9076C">
        <w:rPr>
          <w:rFonts w:ascii="Georgia" w:eastAsia="Georgia" w:hAnsi="Georgia" w:cs="Georgia"/>
          <w:color w:val="auto"/>
        </w:rPr>
        <w:t>. When we evaluate the continuous feature</w:t>
      </w:r>
      <w:r w:rsidRPr="00A9076C">
        <w:rPr>
          <w:rFonts w:ascii="Georgia" w:eastAsia="Georgia" w:hAnsi="Georgia" w:cs="Georgia"/>
          <w:b/>
          <w:color w:val="auto"/>
        </w:rPr>
        <w:t xml:space="preserve"> </w:t>
      </w:r>
      <w:r w:rsidRPr="00A9076C">
        <w:rPr>
          <w:rFonts w:ascii="Georgia" w:eastAsia="Georgia" w:hAnsi="Georgia" w:cs="Georgia"/>
          <w:color w:val="auto"/>
        </w:rPr>
        <w:t>for a particular variant, we calculate its weighted value using the fitted function.</w:t>
      </w:r>
      <w:r w:rsidRPr="00A9076C">
        <w:rPr>
          <w:rFonts w:ascii="Georgia" w:hAnsi="Georgia"/>
          <w:color w:val="auto"/>
        </w:rPr>
        <w:t xml:space="preserve"> </w:t>
      </w:r>
    </w:p>
    <w:p w14:paraId="2B820157" w14:textId="77777777" w:rsidR="00F76E2A" w:rsidRPr="00A9076C" w:rsidRDefault="00F76E2A" w:rsidP="00F76E2A">
      <w:pPr>
        <w:pStyle w:val="normal0"/>
        <w:spacing w:line="240" w:lineRule="auto"/>
        <w:ind w:firstLine="720"/>
        <w:rPr>
          <w:rFonts w:ascii="Georgia" w:hAnsi="Georgia"/>
          <w:color w:val="auto"/>
        </w:rPr>
      </w:pPr>
      <w:r w:rsidRPr="00A9076C">
        <w:rPr>
          <w:rFonts w:ascii="Georgia" w:eastAsia="Georgia" w:hAnsi="Georgia" w:cs="Georgia"/>
          <w:color w:val="auto"/>
        </w:rPr>
        <w:t>We score each variant by summing up the weighted values of all its features</w:t>
      </w:r>
      <m:oMath>
        <m:r>
          <w:rPr>
            <w:rFonts w:ascii="Cambria Math" w:eastAsia="Georgia" w:hAnsi="Cambria Math" w:cs="Georgia"/>
            <w:color w:val="auto"/>
          </w:rPr>
          <m:t xml:space="preserve"> s=</m:t>
        </m:r>
        <m:nary>
          <m:naryPr>
            <m:chr m:val="∑"/>
            <m:limLoc m:val="undOvr"/>
            <m:supHide m:val="1"/>
            <m:ctrlPr>
              <w:rPr>
                <w:rFonts w:ascii="Cambria Math" w:eastAsia="Georgia" w:hAnsi="Cambria Math" w:cs="Georgia"/>
                <w:i/>
                <w:color w:val="auto"/>
              </w:rPr>
            </m:ctrlPr>
          </m:naryPr>
          <m:sub>
            <m:r>
              <w:rPr>
                <w:rFonts w:ascii="Cambria Math" w:eastAsia="Georgia" w:hAnsi="Cambria Math" w:cs="Georgia"/>
                <w:color w:val="auto"/>
              </w:rPr>
              <m:t>d</m:t>
            </m:r>
          </m:sub>
          <m:sup/>
          <m:e>
            <m:sSub>
              <m:sSubPr>
                <m:ctrlPr>
                  <w:rPr>
                    <w:rFonts w:ascii="Cambria Math" w:eastAsia="Georgia" w:hAnsi="Cambria Math" w:cs="Georgia"/>
                    <w:i/>
                    <w:color w:val="auto"/>
                  </w:rPr>
                </m:ctrlPr>
              </m:sSubPr>
              <m:e>
                <m:r>
                  <w:rPr>
                    <w:rFonts w:ascii="Cambria Math" w:eastAsia="Georgia" w:hAnsi="Cambria Math" w:cs="Georgia"/>
                    <w:color w:val="auto"/>
                  </w:rPr>
                  <m:t>w</m:t>
                </m:r>
              </m:e>
              <m:sub>
                <m:r>
                  <w:rPr>
                    <w:rFonts w:ascii="Cambria Math" w:eastAsia="Georgia" w:hAnsi="Cambria Math" w:cs="Georgia"/>
                    <w:color w:val="auto"/>
                  </w:rPr>
                  <m:t>d</m:t>
                </m:r>
              </m:sub>
            </m:sSub>
          </m:e>
        </m:nary>
        <m:r>
          <w:rPr>
            <w:rFonts w:ascii="Cambria Math" w:eastAsia="Georgia" w:hAnsi="Cambria Math" w:cs="Georgia"/>
            <w:color w:val="auto"/>
          </w:rPr>
          <m:t>+</m:t>
        </m:r>
        <m:nary>
          <m:naryPr>
            <m:chr m:val="∑"/>
            <m:limLoc m:val="undOvr"/>
            <m:supHide m:val="1"/>
            <m:ctrlPr>
              <w:rPr>
                <w:rFonts w:ascii="Cambria Math" w:eastAsia="Georgia" w:hAnsi="Cambria Math" w:cs="Georgia"/>
                <w:i/>
                <w:color w:val="auto"/>
              </w:rPr>
            </m:ctrlPr>
          </m:naryPr>
          <m:sub>
            <m:r>
              <w:rPr>
                <w:rFonts w:ascii="Cambria Math" w:eastAsia="Georgia" w:hAnsi="Cambria Math" w:cs="Cambria Math"/>
                <w:color w:val="auto"/>
              </w:rPr>
              <m:t>c</m:t>
            </m:r>
          </m:sub>
          <m:sup/>
          <m:e>
            <m:sSubSup>
              <m:sSubSupPr>
                <m:ctrlPr>
                  <w:rPr>
                    <w:rFonts w:ascii="Cambria Math" w:eastAsia="Georgia" w:hAnsi="Cambria Math" w:cs="Georgia"/>
                    <w:i/>
                    <w:color w:val="auto"/>
                  </w:rPr>
                </m:ctrlPr>
              </m:sSubSupPr>
              <m:e>
                <m:r>
                  <w:rPr>
                    <w:rFonts w:ascii="Cambria Math" w:eastAsia="Georgia" w:hAnsi="Cambria Math" w:cs="Cambria Math"/>
                    <w:color w:val="auto"/>
                  </w:rPr>
                  <m:t>w</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e>
        </m:nary>
      </m:oMath>
      <w:r w:rsidRPr="00A9076C">
        <w:rPr>
          <w:rFonts w:ascii="Georgia" w:eastAsia="Georgia" w:hAnsi="Georgia" w:cs="Georgia"/>
          <w:color w:val="auto"/>
        </w:rPr>
        <w:t>. We will also consider the feature dependency structure when calculating the scores (e.g., removing redundant features or performing dimension reduction techniques).</w:t>
      </w:r>
    </w:p>
    <w:p w14:paraId="357A25FF" w14:textId="77777777" w:rsidR="00427F75" w:rsidRDefault="00F76E2A">
      <w:pPr>
        <w:pStyle w:val="normal0"/>
        <w:spacing w:line="240" w:lineRule="auto"/>
      </w:pPr>
      <w:r>
        <w:rPr>
          <w:b/>
        </w:rPr>
        <w:t>D-</w:t>
      </w:r>
      <w:proofErr w:type="gramStart"/>
      <w:r>
        <w:rPr>
          <w:b/>
        </w:rPr>
        <w:t>2  Approach</w:t>
      </w:r>
      <w:proofErr w:type="gramEnd"/>
      <w:r>
        <w:rPr>
          <w:b/>
        </w:rPr>
        <w:t xml:space="preserve"> Aim 2: Implement an efficient eleVAR pipeline &amp; develop a workflow for tuning model parameters and assessing performance</w:t>
      </w:r>
    </w:p>
    <w:p w14:paraId="2A1074BD" w14:textId="77777777" w:rsidR="00427F75" w:rsidRDefault="00F76E2A">
      <w:pPr>
        <w:pStyle w:val="normal0"/>
        <w:spacing w:line="240" w:lineRule="auto"/>
      </w:pPr>
      <w:r>
        <w:rPr>
          <w:b/>
        </w:rPr>
        <w:t>D-2-</w:t>
      </w:r>
      <w:proofErr w:type="gramStart"/>
      <w:r>
        <w:rPr>
          <w:b/>
        </w:rPr>
        <w:t>a  Overall</w:t>
      </w:r>
      <w:proofErr w:type="gramEnd"/>
      <w:r>
        <w:rPr>
          <w:b/>
        </w:rPr>
        <w:t xml:space="preserve"> workflow for the project in relation to Aim 2</w:t>
      </w:r>
    </w:p>
    <w:p w14:paraId="545B4CFA" w14:textId="77777777" w:rsidR="00427F75" w:rsidRDefault="00F76E2A">
      <w:pPr>
        <w:pStyle w:val="normal0"/>
        <w:spacing w:line="240" w:lineRule="auto"/>
      </w:pPr>
      <w:r>
        <w:rPr>
          <w:rFonts w:ascii="Georgia" w:eastAsia="Georgia" w:hAnsi="Georgia" w:cs="Georgia"/>
        </w:rPr>
        <w:t xml:space="preserve">As shown in the timeline (Fig 6), we will take our features and weighting scheme (from Aim 1) and construct a practical software pipeline that can be applied on many genomic variants in a high-throughput fashion. We will then collect genomic variants from the existing cancer genomics data. We will run the pipeline on these variants to prioritize many of them. We will then compare the prioritization of the variants to publicly </w:t>
      </w:r>
      <w:r>
        <w:rPr>
          <w:rFonts w:ascii="Georgia" w:eastAsia="Georgia" w:hAnsi="Georgia" w:cs="Georgia"/>
        </w:rPr>
        <w:lastRenderedPageBreak/>
        <w:t xml:space="preserve">accessible validated variants and elements to readjust the parameters in our prioritization scheme. Finally, </w:t>
      </w:r>
      <w:r>
        <w:rPr>
          <w:rFonts w:ascii="Georgia" w:eastAsia="Georgia" w:hAnsi="Georgia" w:cs="Georgia"/>
          <w:u w:val="single"/>
        </w:rPr>
        <w:t xml:space="preserve">we will compare the </w:t>
      </w:r>
      <w:proofErr w:type="gramStart"/>
      <w:r>
        <w:rPr>
          <w:rFonts w:ascii="Georgia" w:eastAsia="Georgia" w:hAnsi="Georgia" w:cs="Georgia"/>
          <w:u w:val="single"/>
        </w:rPr>
        <w:t>newly-prioritized</w:t>
      </w:r>
      <w:proofErr w:type="gramEnd"/>
      <w:r>
        <w:rPr>
          <w:rFonts w:ascii="Georgia" w:eastAsia="Georgia" w:hAnsi="Georgia" w:cs="Georgia"/>
          <w:u w:val="single"/>
        </w:rPr>
        <w:t xml:space="preserve"> variants after this first round with the results of our high-throughput experimental characterization</w:t>
      </w:r>
      <w:r>
        <w:rPr>
          <w:rFonts w:ascii="Georgia" w:eastAsia="Georgia" w:hAnsi="Georgia" w:cs="Georgia"/>
        </w:rPr>
        <w:t>. Finally, we will perform an unbiased testing and pick a number of variants for in-depth evaluation.</w:t>
      </w:r>
    </w:p>
    <w:p w14:paraId="4DA4F640" w14:textId="77777777" w:rsidR="00427F75" w:rsidRDefault="00F76E2A">
      <w:pPr>
        <w:pStyle w:val="normal0"/>
        <w:spacing w:line="240" w:lineRule="auto"/>
      </w:pPr>
      <w:r>
        <w:rPr>
          <w:b/>
        </w:rPr>
        <w:t>D-2-</w:t>
      </w:r>
      <w:proofErr w:type="gramStart"/>
      <w:r>
        <w:rPr>
          <w:b/>
        </w:rPr>
        <w:t>b  Research</w:t>
      </w:r>
      <w:proofErr w:type="gramEnd"/>
      <w:r>
        <w:rPr>
          <w:b/>
        </w:rPr>
        <w:t xml:space="preserve"> plan for Aim 2</w:t>
      </w:r>
    </w:p>
    <w:p w14:paraId="4C87D083" w14:textId="77777777" w:rsidR="00427F75" w:rsidRDefault="00F76E2A">
      <w:pPr>
        <w:pStyle w:val="normal0"/>
        <w:spacing w:line="240" w:lineRule="auto"/>
      </w:pPr>
      <w:r>
        <w:rPr>
          <w:b/>
        </w:rPr>
        <w:t>D-2-b-</w:t>
      </w:r>
      <w:proofErr w:type="gramStart"/>
      <w:r>
        <w:rPr>
          <w:b/>
        </w:rPr>
        <w:t>i  Statistical</w:t>
      </w:r>
      <w:proofErr w:type="gramEnd"/>
      <w:r>
        <w:rPr>
          <w:b/>
        </w:rPr>
        <w:t xml:space="preserve"> framework for parameter tuning using Bayesian updates</w:t>
      </w:r>
    </w:p>
    <w:p w14:paraId="54BCFCDB" w14:textId="77777777" w:rsidR="00F76E2A" w:rsidRPr="005409D2" w:rsidRDefault="00F76E2A" w:rsidP="00F76E2A">
      <w:pPr>
        <w:pStyle w:val="normal0"/>
        <w:spacing w:line="240" w:lineRule="auto"/>
        <w:ind w:firstLine="720"/>
        <w:rPr>
          <w:rFonts w:ascii="Georgia" w:hAnsi="Georgia"/>
          <w:color w:val="auto"/>
        </w:rPr>
      </w:pPr>
      <w:r w:rsidRPr="005409D2">
        <w:rPr>
          <w:rFonts w:ascii="Georgia" w:eastAsia="Georgia" w:hAnsi="Georgia" w:cs="Georgia"/>
          <w:color w:val="auto"/>
        </w:rPr>
        <w:t xml:space="preserve">The initial feature weights </w:t>
      </w:r>
      <m:oMath>
        <m:r>
          <m:rPr>
            <m:sty m:val="bi"/>
          </m:rPr>
          <w:rPr>
            <w:rFonts w:ascii="Cambria Math" w:eastAsia="Georgia" w:hAnsi="Cambria Math" w:cs="Georgia"/>
            <w:color w:val="auto"/>
          </w:rPr>
          <m:t>W</m:t>
        </m:r>
      </m:oMath>
      <w:r w:rsidRPr="005409D2">
        <w:rPr>
          <w:rFonts w:ascii="Georgia" w:eastAsia="Georgia" w:hAnsi="Georgia" w:cs="Georgia"/>
          <w:color w:val="auto"/>
        </w:rPr>
        <w:t xml:space="preserve"> (</w:t>
      </w:r>
      <m:oMath>
        <m:sSub>
          <m:sSubPr>
            <m:ctrlPr>
              <w:rPr>
                <w:rFonts w:ascii="Cambria Math" w:eastAsia="Georgia" w:hAnsi="Cambria Math" w:cs="Georgia"/>
                <w:color w:val="auto"/>
              </w:rPr>
            </m:ctrlPr>
          </m:sSubPr>
          <m:e>
            <m:r>
              <w:rPr>
                <w:rFonts w:ascii="Cambria Math" w:eastAsia="Georgia" w:hAnsi="Cambria Math" w:cs="Cambria Math"/>
                <w:color w:val="auto"/>
              </w:rPr>
              <m:t>w</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w</m:t>
            </m:r>
          </m:e>
          <m:sub>
            <m:r>
              <w:rPr>
                <w:rFonts w:ascii="Cambria Math" w:eastAsia="Georgia" w:hAnsi="Cambria Math" w:cs="Georgia"/>
                <w:color w:val="auto"/>
              </w:rPr>
              <m:t>2</m:t>
            </m:r>
          </m:sub>
        </m:sSub>
        <w:proofErr w:type="gramStart"/>
        <m:r>
          <w:rPr>
            <w:rFonts w:ascii="Cambria Math" w:eastAsia="Georgia" w:hAnsi="Cambria Math" w:cs="Georgia"/>
            <w:color w:val="auto"/>
          </w:rPr>
          <m:t>,…</m:t>
        </m:r>
        <w:proofErr w:type="gramEnd"/>
        <m:sSub>
          <m:sSubPr>
            <m:ctrlPr>
              <w:rPr>
                <w:rFonts w:ascii="Cambria Math" w:eastAsia="Georgia" w:hAnsi="Cambria Math" w:cs="Georgia"/>
                <w:i/>
                <w:color w:val="auto"/>
              </w:rPr>
            </m:ctrlPr>
          </m:sSubPr>
          <m:e>
            <m:r>
              <w:rPr>
                <w:rFonts w:ascii="Cambria Math" w:eastAsia="Georgia" w:hAnsi="Cambria Math" w:cs="Georgia"/>
                <w:color w:val="auto"/>
              </w:rPr>
              <m:t>,w</m:t>
            </m:r>
          </m:e>
          <m:sub>
            <m:r>
              <w:rPr>
                <w:rFonts w:ascii="Cambria Math" w:eastAsia="Georgia" w:hAnsi="Cambria Math" w:cs="Georgia"/>
                <w:color w:val="auto"/>
              </w:rPr>
              <m:t>m</m:t>
            </m:r>
          </m:sub>
        </m:sSub>
      </m:oMath>
      <w:r w:rsidRPr="005409D2">
        <w:rPr>
          <w:rFonts w:ascii="Georgia" w:eastAsia="Georgia" w:hAnsi="Georgia" w:cs="Georgia"/>
          <w:color w:val="auto"/>
        </w:rPr>
        <w:t xml:space="preserve">) (given </w:t>
      </w:r>
      <m:oMath>
        <m:r>
          <w:rPr>
            <w:rFonts w:ascii="Cambria Math" w:eastAsia="Georgia" w:hAnsi="Cambria Math" w:cs="Georgia"/>
            <w:color w:val="auto"/>
          </w:rPr>
          <m:t>m</m:t>
        </m:r>
      </m:oMath>
      <w:r w:rsidRPr="005409D2">
        <w:rPr>
          <w:rFonts w:ascii="Georgia" w:eastAsia="Georgia" w:hAnsi="Georgia" w:cs="Georgia"/>
          <w:color w:val="auto"/>
        </w:rPr>
        <w:t xml:space="preserve"> number of features) assigned in D-1-b-v will be further optimized with newly available “gold standard” datasets. We plan to tune these parameters using an incremental Bayesian learning strategy. For a variant </w:t>
      </w:r>
      <m:oMath>
        <m:r>
          <w:rPr>
            <w:rFonts w:ascii="Cambria Math" w:eastAsia="Georgia" w:hAnsi="Cambria Math" w:cs="Georgia"/>
            <w:color w:val="auto"/>
          </w:rPr>
          <m:t>v</m:t>
        </m:r>
      </m:oMath>
      <w:r w:rsidRPr="005409D2">
        <w:rPr>
          <w:rFonts w:ascii="Georgia" w:eastAsia="Georgia" w:hAnsi="Georgia" w:cs="Georgia"/>
          <w:color w:val="auto"/>
        </w:rPr>
        <w:t xml:space="preserve">, given feature values </w:t>
      </w:r>
      <m:oMath>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w:rPr>
                <w:rFonts w:ascii="Cambria Math" w:eastAsia="Georgia" w:hAnsi="Cambria Math" w:cs="Cambria Math"/>
                <w:color w:val="auto"/>
              </w:rPr>
              <m:t>v</m:t>
            </m:r>
          </m:sub>
        </m:sSub>
        <m:r>
          <m:rPr>
            <m:sty m:val="bi"/>
          </m:rPr>
          <w:rPr>
            <w:rFonts w:ascii="Cambria Math" w:eastAsia="Georgia" w:hAnsi="Cambria Math" w:cs="Georgia"/>
            <w:color w:val="auto"/>
          </w:rPr>
          <m:t xml:space="preserve"> </m:t>
        </m:r>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1</m:t>
            </m:r>
          </m:sub>
        </m:sSub>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2</m:t>
            </m:r>
          </m:sub>
        </m:sSub>
        <w:proofErr w:type="gramStart"/>
        <m:r>
          <w:rPr>
            <w:rFonts w:ascii="Cambria Math" w:eastAsia="Georgia" w:hAnsi="Cambria Math" w:cs="Georgia"/>
            <w:color w:val="auto"/>
          </w:rPr>
          <m:t>,...</m:t>
        </m:r>
        <w:proofErr w:type="gramEnd"/>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 m</m:t>
            </m:r>
          </m:sub>
        </m:sSub>
        <m:r>
          <w:rPr>
            <w:rFonts w:ascii="Cambria Math" w:eastAsia="Georgia" w:hAnsi="Cambria Math" w:cs="Georgia"/>
            <w:color w:val="auto"/>
          </w:rPr>
          <m:t>)</m:t>
        </m:r>
      </m:oMath>
      <w:r w:rsidRPr="005409D2">
        <w:rPr>
          <w:rFonts w:ascii="Georgia" w:eastAsia="Georgia" w:hAnsi="Georgia" w:cs="Georgia"/>
          <w:color w:val="auto"/>
        </w:rPr>
        <w:t xml:space="preserve">, </w:t>
      </w:r>
      <m:oMath>
        <m:r>
          <m:rPr>
            <m:sty m:val="bi"/>
          </m:rPr>
          <w:rPr>
            <w:rFonts w:ascii="Cambria Math" w:eastAsia="Georgia" w:hAnsi="Cambria Math" w:cs="Georgia"/>
            <w:color w:val="auto"/>
          </w:rPr>
          <m:t>W</m:t>
        </m:r>
      </m:oMath>
      <w:r w:rsidRPr="005409D2">
        <w:rPr>
          <w:rFonts w:ascii="Georgia" w:eastAsia="Georgia" w:hAnsi="Georgia" w:cs="Georgia"/>
          <w:color w:val="auto"/>
        </w:rPr>
        <w:t>can be rewritten as (</w:t>
      </w:r>
      <m:oMath>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1</m:t>
            </m:r>
          </m:sub>
        </m:sSub>
        <m:d>
          <m:dPr>
            <m:ctrlPr>
              <w:rPr>
                <w:rFonts w:ascii="Cambria Math" w:eastAsia="Georgia" w:hAnsi="Cambria Math" w:cs="Georgia"/>
                <w:i/>
                <w:color w:val="auto"/>
              </w:rPr>
            </m:ctrlPr>
          </m:dPr>
          <m:e>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1</m:t>
                </m:r>
              </m:sub>
            </m:sSub>
          </m:e>
        </m:d>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2</m:t>
            </m:r>
          </m:sub>
        </m:sSub>
        <m:d>
          <m:dPr>
            <m:ctrlPr>
              <w:rPr>
                <w:rFonts w:ascii="Cambria Math" w:eastAsia="Georgia" w:hAnsi="Cambria Math" w:cs="Georgia"/>
                <w:i/>
                <w:color w:val="auto"/>
              </w:rPr>
            </m:ctrlPr>
          </m:dPr>
          <m:e>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2</m:t>
                </m:r>
              </m:sub>
            </m:sSub>
          </m:e>
        </m:d>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Cambria Math"/>
                <w:color w:val="auto"/>
              </w:rPr>
              <m:t>m</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v</m:t>
            </m:r>
            <m:r>
              <w:rPr>
                <w:rFonts w:ascii="Cambria Math" w:eastAsia="Georgia" w:hAnsi="Cambria Math" w:cs="Georgia"/>
                <w:color w:val="auto"/>
              </w:rPr>
              <m:t>, m</m:t>
            </m:r>
          </m:sub>
        </m:sSub>
        <m:r>
          <w:rPr>
            <w:rFonts w:ascii="Cambria Math" w:eastAsia="Georgia" w:hAnsi="Cambria Math" w:cs="Georgia"/>
            <w:color w:val="auto"/>
          </w:rPr>
          <m:t>)</m:t>
        </m:r>
      </m:oMath>
      <w:r w:rsidRPr="005409D2">
        <w:rPr>
          <w:rFonts w:ascii="Georgia" w:eastAsia="Georgia" w:hAnsi="Georgia" w:cs="Georgia"/>
          <w:color w:val="auto"/>
        </w:rPr>
        <w:t xml:space="preserve">), with functions </w:t>
      </w:r>
      <m:oMath>
        <m:r>
          <m:rPr>
            <m:sty m:val="bi"/>
          </m:rPr>
          <w:rPr>
            <w:rFonts w:ascii="Cambria Math" w:eastAsia="Georgia" w:hAnsi="Cambria Math" w:cs="Georgia"/>
            <w:color w:val="auto"/>
          </w:rPr>
          <m:t>T</m:t>
        </m:r>
      </m:oMath>
      <w:r w:rsidRPr="005409D2">
        <w:rPr>
          <w:rFonts w:ascii="Georgia" w:eastAsia="Georgia" w:hAnsi="Georgia" w:cs="Georgia"/>
          <w:b/>
          <w:color w:val="auto"/>
        </w:rPr>
        <w:t xml:space="preserve"> </w:t>
      </w:r>
      <w:r w:rsidRPr="005409D2">
        <w:rPr>
          <w:rFonts w:ascii="Georgia" w:eastAsia="Georgia" w:hAnsi="Georgia" w:cs="Georgia"/>
          <w:color w:val="auto"/>
        </w:rPr>
        <w:t xml:space="preserve">depicts the relationship between </w:t>
      </w:r>
      <m:oMath>
        <m:r>
          <m:rPr>
            <m:sty m:val="bi"/>
          </m:rPr>
          <w:rPr>
            <w:rFonts w:ascii="Cambria Math" w:eastAsia="Georgia" w:hAnsi="Cambria Math" w:cs="Georgia"/>
            <w:color w:val="auto"/>
          </w:rPr>
          <m:t>W</m:t>
        </m:r>
      </m:oMath>
      <w:r w:rsidRPr="005409D2">
        <w:rPr>
          <w:rFonts w:ascii="Georgia" w:eastAsia="Georgia" w:hAnsi="Georgia" w:cs="Georgia"/>
          <w:color w:val="auto"/>
        </w:rPr>
        <w:t xml:space="preserve">and </w:t>
      </w:r>
      <m:oMath>
        <m:r>
          <m:rPr>
            <m:sty m:val="bi"/>
          </m:rPr>
          <w:rPr>
            <w:rFonts w:ascii="Cambria Math" w:eastAsia="Georgia" w:hAnsi="Cambria Math" w:cs="Georgia"/>
            <w:color w:val="auto"/>
          </w:rPr>
          <m:t>F</m:t>
        </m:r>
      </m:oMath>
      <w:r w:rsidRPr="005409D2">
        <w:rPr>
          <w:rFonts w:ascii="Georgia" w:eastAsia="Georgia" w:hAnsi="Georgia" w:cs="Georgia"/>
          <w:color w:val="auto"/>
        </w:rPr>
        <w:t>. All parameters in</w:t>
      </w:r>
      <w:r w:rsidRPr="005409D2">
        <w:rPr>
          <w:rFonts w:ascii="Georgia" w:eastAsia="Georgia" w:hAnsi="Georgia" w:cs="Georgia"/>
          <w:b/>
          <w:color w:val="auto"/>
        </w:rPr>
        <w:t xml:space="preserve"> </w:t>
      </w:r>
      <m:oMath>
        <m:r>
          <m:rPr>
            <m:sty m:val="bi"/>
          </m:rPr>
          <w:rPr>
            <w:rFonts w:ascii="Cambria Math" w:eastAsia="Georgia" w:hAnsi="Cambria Math" w:cs="Georgia"/>
            <w:color w:val="auto"/>
          </w:rPr>
          <m:t>T</m:t>
        </m:r>
      </m:oMath>
      <w:r w:rsidRPr="005409D2">
        <w:rPr>
          <w:rFonts w:ascii="Georgia" w:eastAsia="Georgia" w:hAnsi="Georgia" w:cs="Georgia"/>
          <w:b/>
          <w:color w:val="auto"/>
        </w:rPr>
        <w:t xml:space="preserve"> </w:t>
      </w:r>
      <w:r w:rsidRPr="005409D2">
        <w:rPr>
          <w:rFonts w:ascii="Georgia" w:eastAsia="Georgia" w:hAnsi="Georgia" w:cs="Georgia"/>
          <w:color w:val="auto"/>
        </w:rPr>
        <w:t xml:space="preserve">are the same for all variants. Given the eleVAR score </w:t>
      </w:r>
      <m:oMath>
        <m:r>
          <w:rPr>
            <w:rFonts w:ascii="Cambria Math" w:eastAsia="Georgia" w:hAnsi="Cambria Math" w:cs="Georgia"/>
            <w:color w:val="auto"/>
          </w:rPr>
          <m:t>s</m:t>
        </m:r>
      </m:oMath>
      <w:r w:rsidRPr="005409D2">
        <w:rPr>
          <w:rFonts w:ascii="Georgia" w:eastAsia="Georgia" w:hAnsi="Georgia" w:cs="Georgia"/>
          <w:color w:val="auto"/>
        </w:rPr>
        <w:t xml:space="preserve"> (equation 3 in D-1-b-v), the probability that </w:t>
      </w:r>
      <m:oMath>
        <m:r>
          <w:rPr>
            <w:rFonts w:ascii="Cambria Math" w:eastAsia="Georgia" w:hAnsi="Cambria Math" w:cs="Georgia"/>
            <w:color w:val="auto"/>
          </w:rPr>
          <m:t>v</m:t>
        </m:r>
      </m:oMath>
      <w:r w:rsidRPr="005409D2">
        <w:rPr>
          <w:rFonts w:ascii="Georgia" w:eastAsia="Georgia" w:hAnsi="Georgia" w:cs="Georgia"/>
          <w:color w:val="auto"/>
        </w:rPr>
        <w:t xml:space="preserve"> is functional (</w:t>
      </w:r>
      <m:oMath>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=1</m:t>
        </m:r>
      </m:oMath>
      <w:r w:rsidRPr="005409D2">
        <w:rPr>
          <w:rFonts w:ascii="Georgia" w:eastAsia="Georgia" w:hAnsi="Georgia" w:cs="Georgia"/>
          <w:color w:val="auto"/>
        </w:rPr>
        <w:t xml:space="preserve"> designates a positive result, whereas </w:t>
      </w:r>
      <m:oMath>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=0</m:t>
        </m:r>
      </m:oMath>
      <w:r w:rsidRPr="005409D2">
        <w:rPr>
          <w:rFonts w:ascii="Georgia" w:eastAsia="Georgia" w:hAnsi="Georgia" w:cs="Georgia"/>
          <w:color w:val="auto"/>
        </w:rPr>
        <w:t xml:space="preserve"> denotes a negative result) follows a logistic function </w:t>
      </w:r>
      <w:proofErr w:type="gramStart"/>
      <m:oMath>
        <m:r>
          <w:rPr>
            <w:rFonts w:ascii="Cambria Math" w:eastAsia="Georgia" w:hAnsi="Cambria Math" w:cs="Cambria Math"/>
            <w:color w:val="auto"/>
          </w:rPr>
          <m:t>P</m:t>
        </m:r>
        <m:r>
          <w:rPr>
            <w:rFonts w:ascii="Cambria Math" w:eastAsia="Georgia" w:hAnsi="Cambria Math" w:cs="Georgia"/>
            <w:color w:val="auto"/>
          </w:rPr>
          <m:t>(</m:t>
        </m:r>
        <w:proofErr w:type="gramEnd"/>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=1|</m:t>
        </m:r>
        <m:r>
          <w:rPr>
            <w:rFonts w:ascii="Cambria Math" w:eastAsia="Georgia" w:hAnsi="Cambria Math" w:cs="Cambria Math"/>
            <w:color w:val="auto"/>
          </w:rPr>
          <m:t>s</m:t>
        </m:r>
        <m:r>
          <w:rPr>
            <w:rFonts w:ascii="Cambria Math" w:eastAsia="Georgia" w:hAnsi="Cambria Math" w:cs="Georgia"/>
            <w:color w:val="auto"/>
          </w:rPr>
          <m:t xml:space="preserve">)= </m:t>
        </m:r>
        <m:f>
          <m:fPr>
            <m:ctrlPr>
              <w:rPr>
                <w:rFonts w:ascii="Cambria Math" w:eastAsia="Georgia" w:hAnsi="Cambria Math" w:cs="Georgia"/>
                <w:color w:val="auto"/>
              </w:rPr>
            </m:ctrlPr>
          </m:fPr>
          <m:num>
            <m:r>
              <w:rPr>
                <w:rFonts w:ascii="Cambria Math" w:eastAsia="Georgia" w:hAnsi="Cambria Math" w:cs="Georgia"/>
                <w:color w:val="auto"/>
              </w:rPr>
              <m:t>1</m:t>
            </m:r>
          </m:num>
          <m:den>
            <m:r>
              <w:rPr>
                <w:rFonts w:ascii="Cambria Math" w:eastAsia="Georgia" w:hAnsi="Cambria Math" w:cs="Georgia"/>
                <w:color w:val="auto"/>
              </w:rPr>
              <m:t xml:space="preserve">1 + </m:t>
            </m:r>
            <m:r>
              <w:rPr>
                <w:rFonts w:ascii="Cambria Math" w:eastAsia="Georgia" w:hAnsi="Cambria Math" w:cs="Cambria Math"/>
                <w:color w:val="auto"/>
              </w:rPr>
              <m:t>exp</m:t>
            </m:r>
            <m:r>
              <w:rPr>
                <w:rFonts w:ascii="Cambria Math" w:eastAsia="Georgia" w:hAnsi="Cambria Math" w:cs="Georgia"/>
                <w:color w:val="auto"/>
              </w:rPr>
              <m:t>(-</m:t>
            </m:r>
            <m:r>
              <w:rPr>
                <w:rFonts w:ascii="Cambria Math" w:eastAsia="Georgia" w:hAnsi="Cambria Math" w:cs="Cambria Math"/>
                <w:color w:val="auto"/>
              </w:rPr>
              <m:t>k</m:t>
            </m:r>
            <m:r>
              <w:rPr>
                <w:rFonts w:ascii="Cambria Math" w:eastAsia="Georgia" w:hAnsi="Cambria Math" w:cs="Georgia"/>
                <w:color w:val="auto"/>
              </w:rPr>
              <m:t xml:space="preserve"> * (</m:t>
            </m:r>
            <m:r>
              <w:rPr>
                <w:rFonts w:ascii="Cambria Math" w:eastAsia="Georgia" w:hAnsi="Cambria Math" w:cs="Cambria Math"/>
                <w:color w:val="auto"/>
              </w:rPr>
              <m:t>s</m:t>
            </m:r>
            <m:r>
              <w:rPr>
                <w:rFonts w:ascii="Cambria Math" w:eastAsia="Georgia" w:hAnsi="Cambria Math" w:cs="Georgia"/>
                <w:color w:val="auto"/>
              </w:rPr>
              <m:t>-</m:t>
            </m:r>
            <m:r>
              <w:rPr>
                <w:rFonts w:ascii="Cambria Math" w:eastAsia="Georgia" w:hAnsi="Cambria Math" w:cs="Cambria Math"/>
                <w:color w:val="auto"/>
              </w:rPr>
              <m:t>a</m:t>
            </m:r>
            <m:r>
              <w:rPr>
                <w:rFonts w:ascii="Cambria Math" w:eastAsia="Georgia" w:hAnsi="Cambria Math" w:cs="Georgia"/>
                <w:color w:val="auto"/>
              </w:rPr>
              <m:t>))</m:t>
            </m:r>
          </m:den>
        </m:f>
      </m:oMath>
      <w:r w:rsidRPr="005409D2">
        <w:rPr>
          <w:rFonts w:ascii="Georgia" w:eastAsia="Georgia" w:hAnsi="Georgia" w:cs="Georgia"/>
          <w:color w:val="auto"/>
        </w:rPr>
        <w:t xml:space="preserve"> (</w:t>
      </w:r>
      <m:oMath>
        <m:r>
          <w:rPr>
            <w:rFonts w:ascii="Cambria Math" w:eastAsia="Georgia" w:hAnsi="Cambria Math" w:cs="Cambria Math"/>
            <w:color w:val="auto"/>
          </w:rPr>
          <m:t>k</m:t>
        </m:r>
        <m:r>
          <w:rPr>
            <w:rFonts w:ascii="Cambria Math" w:eastAsia="Georgia" w:hAnsi="Cambria Math" w:cs="Georgia"/>
            <w:color w:val="auto"/>
          </w:rPr>
          <m:t>,</m:t>
        </m:r>
        <m:r>
          <w:rPr>
            <w:rFonts w:ascii="Cambria Math" w:eastAsia="Georgia" w:hAnsi="Cambria Math" w:cs="Cambria Math"/>
            <w:color w:val="auto"/>
          </w:rPr>
          <m:t>a</m:t>
        </m:r>
      </m:oMath>
      <w:r w:rsidRPr="005409D2">
        <w:rPr>
          <w:rFonts w:ascii="Georgia" w:eastAsia="Georgia" w:hAnsi="Georgia" w:cs="Georgia"/>
          <w:color w:val="auto"/>
        </w:rPr>
        <w:t xml:space="preserve"> are scaling parameters). To update </w:t>
      </w:r>
      <m:oMath>
        <m:r>
          <m:rPr>
            <m:sty m:val="bi"/>
          </m:rPr>
          <w:rPr>
            <w:rFonts w:ascii="Cambria Math" w:eastAsia="Georgia" w:hAnsi="Cambria Math" w:cs="Georgia"/>
            <w:color w:val="auto"/>
          </w:rPr>
          <m:t>W</m:t>
        </m:r>
      </m:oMath>
      <w:r w:rsidRPr="005409D2">
        <w:rPr>
          <w:rFonts w:ascii="Georgia" w:eastAsia="Georgia" w:hAnsi="Georgia" w:cs="Georgia"/>
          <w:b/>
          <w:color w:val="auto"/>
        </w:rPr>
        <w:t xml:space="preserve"> </w:t>
      </w:r>
      <w:r w:rsidRPr="005409D2">
        <w:rPr>
          <w:rFonts w:ascii="Georgia" w:eastAsia="Georgia" w:hAnsi="Georgia" w:cs="Georgia"/>
          <w:color w:val="auto"/>
        </w:rPr>
        <w:t xml:space="preserve">(more specifically, the parameters in functions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with training data </w:t>
      </w:r>
      <m:oMath>
        <m:r>
          <m:rPr>
            <m:sty m:val="bi"/>
          </m:rPr>
          <w:rPr>
            <w:rFonts w:ascii="Cambria Math" w:eastAsia="Georgia" w:hAnsi="Cambria Math" w:cs="Georgia"/>
            <w:color w:val="auto"/>
          </w:rPr>
          <m:t>Y</m:t>
        </m:r>
      </m:oMath>
      <w:r w:rsidRPr="005409D2">
        <w:rPr>
          <w:rFonts w:ascii="Georgia" w:eastAsia="Georgia" w:hAnsi="Georgia" w:cs="Georgia"/>
          <w:color w:val="auto"/>
        </w:rPr>
        <w:t>, we implement Bayes’ rule:</w:t>
      </w:r>
      <m:oMath>
        <m:r>
          <w:rPr>
            <w:rFonts w:ascii="Cambria Math" w:eastAsia="Georgia" w:hAnsi="Cambria Math" w:cs="Georgia"/>
            <w:color w:val="auto"/>
          </w:rPr>
          <m:t xml:space="preserve"> </m:t>
        </m:r>
        <w:proofErr w:type="gramStart"/>
        <m:r>
          <w:rPr>
            <w:rFonts w:ascii="Cambria Math" w:eastAsia="Georgia" w:hAnsi="Cambria Math" w:cs="Cambria Math"/>
            <w:color w:val="auto"/>
          </w:rPr>
          <m:t>P</m:t>
        </m:r>
        <m:r>
          <w:rPr>
            <w:rFonts w:ascii="Cambria Math" w:eastAsia="Georgia" w:hAnsi="Cambria Math" w:cs="Georgia"/>
            <w:color w:val="auto"/>
          </w:rPr>
          <m:t>(</m:t>
        </m:r>
        <w:proofErr w:type="gramEnd"/>
        <m:r>
          <m:rPr>
            <m:sty m:val="bi"/>
          </m:rPr>
          <w:rPr>
            <w:rFonts w:ascii="Cambria Math" w:eastAsia="Georgia" w:hAnsi="Cambria Math" w:cs="Cambria Math"/>
            <w:color w:val="auto"/>
          </w:rPr>
          <m:t>T</m:t>
        </m:r>
        <m:r>
          <m:rPr>
            <m:sty m:val="bi"/>
          </m:rPr>
          <w:rPr>
            <w:rFonts w:ascii="Cambria Math" w:eastAsia="Georgia" w:hAnsi="Cambria Math" w:cs="Georgia"/>
            <w:color w:val="auto"/>
          </w:rPr>
          <m:t>|</m:t>
        </m:r>
        <m:r>
          <m:rPr>
            <m:sty m:val="bi"/>
          </m:rPr>
          <w:rPr>
            <w:rFonts w:ascii="Cambria Math" w:eastAsia="Georgia" w:hAnsi="Cambria Math" w:cs="Cambria Math"/>
            <w:color w:val="auto"/>
          </w:rPr>
          <m:t>Y</m:t>
        </m:r>
        <m:r>
          <m:rPr>
            <m:sty m:val="bi"/>
          </m:rPr>
          <w:rPr>
            <w:rFonts w:ascii="Cambria Math" w:eastAsia="Georgia" w:hAnsi="Cambria Math" w:cs="Georgia"/>
            <w:color w:val="auto"/>
          </w:rPr>
          <m:t>,</m:t>
        </m:r>
        <m:sSub>
          <m:sSubPr>
            <m:ctrlPr>
              <w:rPr>
                <w:rFonts w:ascii="Cambria Math" w:eastAsia="Georgia" w:hAnsi="Cambria Math" w:cs="Georgia"/>
                <w:b/>
                <w:i/>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 xml:space="preserve">) ∝ </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Y</m:t>
        </m:r>
        <m:r>
          <w:rPr>
            <w:rFonts w:ascii="Cambria Math" w:eastAsia="Georgia" w:hAnsi="Cambria Math" w:cs="Georgia"/>
            <w:color w:val="auto"/>
          </w:rPr>
          <m:t>|</m:t>
        </m:r>
        <m:r>
          <m:rPr>
            <m:sty m:val="bi"/>
          </m:rPr>
          <w:rPr>
            <w:rFonts w:ascii="Cambria Math" w:eastAsia="Georgia" w:hAnsi="Cambria Math" w:cs="Cambria Math"/>
            <w:color w:val="auto"/>
          </w:rPr>
          <m:t>T</m:t>
        </m:r>
        <m:r>
          <m:rPr>
            <m:sty m:val="bi"/>
          </m:rPr>
          <w:rPr>
            <w:rFonts w:ascii="Cambria Math" w:eastAsia="Georgia" w:hAnsi="Cambria Math" w:cs="Georgia"/>
            <w:color w:val="auto"/>
          </w:rPr>
          <m:t>,</m:t>
        </m:r>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T</m:t>
        </m:r>
        <m:r>
          <w:rPr>
            <w:rFonts w:ascii="Cambria Math" w:eastAsia="Georgia" w:hAnsi="Cambria Math" w:cs="Georgia"/>
            <w:color w:val="auto"/>
          </w:rPr>
          <m:t>)</m:t>
        </m:r>
      </m:oMath>
      <w:r w:rsidRPr="005409D2">
        <w:rPr>
          <w:rFonts w:ascii="Georgia" w:eastAsia="Georgia" w:hAnsi="Georgia" w:cs="Georgia"/>
          <w:color w:val="auto"/>
        </w:rPr>
        <w:t xml:space="preserve">. The probability of observing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(given </w:t>
      </w:r>
      <m:oMath>
        <m:r>
          <m:rPr>
            <m:sty m:val="bi"/>
          </m:rPr>
          <w:rPr>
            <w:rFonts w:ascii="Cambria Math" w:eastAsia="Georgia" w:hAnsi="Cambria Math" w:cs="Georgia"/>
            <w:color w:val="auto"/>
          </w:rPr>
          <m:t>Y</m:t>
        </m:r>
      </m:oMath>
      <w:r w:rsidRPr="005409D2">
        <w:rPr>
          <w:rFonts w:ascii="Georgia" w:eastAsia="Georgia" w:hAnsi="Georgia" w:cs="Georgia"/>
          <w:color w:val="auto"/>
        </w:rPr>
        <w:t xml:space="preserve"> and</w:t>
      </w:r>
      <w:r w:rsidRPr="005409D2">
        <w:rPr>
          <w:rFonts w:ascii="Georgia" w:eastAsia="Georgia" w:hAnsi="Georgia" w:cs="Georgia"/>
          <w:b/>
          <w:color w:val="auto"/>
        </w:rPr>
        <w:t xml:space="preserve"> </w:t>
      </w:r>
      <w:r w:rsidRPr="005409D2">
        <w:rPr>
          <w:rFonts w:ascii="Georgia" w:eastAsia="Georgia" w:hAnsi="Georgia" w:cs="Georgia"/>
          <w:color w:val="auto"/>
        </w:rPr>
        <w:t xml:space="preserve">feature values </w:t>
      </w:r>
      <m:oMath>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 xml:space="preserve"> </m:t>
        </m:r>
      </m:oMath>
      <w:r w:rsidRPr="005409D2">
        <w:rPr>
          <w:rFonts w:ascii="Georgia" w:eastAsia="Georgia" w:hAnsi="Georgia" w:cs="Georgia"/>
          <w:color w:val="auto"/>
        </w:rPr>
        <w:t xml:space="preserve">corresponding to variants in </w:t>
      </w:r>
      <m:oMath>
        <m:r>
          <m:rPr>
            <m:sty m:val="bi"/>
          </m:rPr>
          <w:rPr>
            <w:rFonts w:ascii="Cambria Math" w:eastAsia="Georgia" w:hAnsi="Cambria Math" w:cs="Georgia"/>
            <w:color w:val="auto"/>
          </w:rPr>
          <m:t>Y</m:t>
        </m:r>
      </m:oMath>
      <w:r w:rsidRPr="005409D2">
        <w:rPr>
          <w:rFonts w:ascii="Georgia" w:eastAsia="Georgia" w:hAnsi="Georgia" w:cs="Georgia"/>
          <w:color w:val="auto"/>
        </w:rPr>
        <w:t xml:space="preserve">) is proportional to the probability of observing </w:t>
      </w:r>
      <m:oMath>
        <m:r>
          <m:rPr>
            <m:sty m:val="bi"/>
          </m:rPr>
          <w:rPr>
            <w:rFonts w:ascii="Cambria Math" w:eastAsia="Georgia" w:hAnsi="Cambria Math" w:cs="Georgia"/>
            <w:color w:val="auto"/>
          </w:rPr>
          <m:t>Y</m:t>
        </m:r>
      </m:oMath>
      <w:r w:rsidRPr="005409D2">
        <w:rPr>
          <w:rFonts w:ascii="Georgia" w:eastAsia="Georgia" w:hAnsi="Georgia" w:cs="Georgia"/>
          <w:b/>
          <w:color w:val="auto"/>
        </w:rPr>
        <w:t xml:space="preserve"> </w:t>
      </w:r>
      <w:r w:rsidRPr="005409D2">
        <w:rPr>
          <w:rFonts w:ascii="Georgia" w:eastAsia="Georgia" w:hAnsi="Georgia" w:cs="Georgia"/>
          <w:color w:val="auto"/>
        </w:rPr>
        <w:t xml:space="preserve">given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and </w:t>
      </w:r>
      <m:oMath>
        <m:sSub>
          <m:sSubPr>
            <m:ctrlPr>
              <w:rPr>
                <w:rFonts w:ascii="Cambria Math" w:eastAsia="Georgia" w:hAnsi="Cambria Math" w:cs="Georgia"/>
                <w:b/>
                <w:i/>
                <w:color w:val="auto"/>
              </w:rPr>
            </m:ctrlPr>
          </m:sSubPr>
          <m:e>
            <m:r>
              <m:rPr>
                <m:sty m:val="bi"/>
              </m:rPr>
              <w:rPr>
                <w:rFonts w:ascii="Cambria Math" w:eastAsia="Georgia" w:hAnsi="Cambria Math" w:cs="Georgia"/>
                <w:color w:val="auto"/>
              </w:rPr>
              <m:t>F</m:t>
            </m:r>
          </m:e>
          <m:sub>
            <m:r>
              <m:rPr>
                <m:sty m:val="bi"/>
              </m:rPr>
              <w:rPr>
                <w:rFonts w:ascii="Cambria Math" w:eastAsia="Georgia" w:hAnsi="Cambria Math" w:cs="Georgia"/>
                <w:color w:val="auto"/>
              </w:rPr>
              <m:t>V</m:t>
            </m:r>
          </m:sub>
        </m:sSub>
      </m:oMath>
      <w:r w:rsidRPr="005409D2">
        <w:rPr>
          <w:rFonts w:ascii="Georgia" w:eastAsia="Georgia" w:hAnsi="Georgia" w:cs="Georgia"/>
          <w:color w:val="auto"/>
        </w:rPr>
        <w:t xml:space="preserve">, multiplied by the prior probability of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Assuming independency between data points in </w:t>
      </w:r>
      <m:oMath>
        <m:r>
          <m:rPr>
            <m:sty m:val="bi"/>
          </m:rPr>
          <w:rPr>
            <w:rFonts w:ascii="Cambria Math" w:eastAsia="Georgia" w:hAnsi="Cambria Math" w:cs="Georgia"/>
            <w:color w:val="auto"/>
          </w:rPr>
          <m:t>Y</m:t>
        </m:r>
      </m:oMath>
      <w:r w:rsidRPr="005409D2">
        <w:rPr>
          <w:rFonts w:ascii="Georgia" w:eastAsia="Georgia" w:hAnsi="Georgia" w:cs="Georgia"/>
          <w:color w:val="auto"/>
        </w:rPr>
        <w:t xml:space="preserve">, which can be achieved by proper training data construction, </w:t>
      </w:r>
      <w:proofErr w:type="gramStart"/>
      <m:oMath>
        <m:r>
          <w:rPr>
            <w:rFonts w:ascii="Cambria Math" w:eastAsia="Georgia" w:hAnsi="Cambria Math" w:cs="Cambria Math"/>
            <w:color w:val="auto"/>
          </w:rPr>
          <m:t>P</m:t>
        </m:r>
        <m:r>
          <w:rPr>
            <w:rFonts w:ascii="Cambria Math" w:eastAsia="Georgia" w:hAnsi="Cambria Math" w:cs="Georgia"/>
            <w:color w:val="auto"/>
          </w:rPr>
          <m:t>(</m:t>
        </m:r>
        <w:proofErr w:type="gramEnd"/>
        <m:r>
          <m:rPr>
            <m:sty m:val="bi"/>
          </m:rPr>
          <w:rPr>
            <w:rFonts w:ascii="Cambria Math" w:eastAsia="Georgia" w:hAnsi="Cambria Math" w:cs="Cambria Math"/>
            <w:color w:val="auto"/>
          </w:rPr>
          <m:t>Y</m:t>
        </m:r>
        <m:r>
          <w:rPr>
            <w:rFonts w:ascii="Cambria Math" w:eastAsia="Georgia" w:hAnsi="Cambria Math" w:cs="Georgia"/>
            <w:color w:val="auto"/>
          </w:rPr>
          <m:t>|</m:t>
        </m:r>
        <m:r>
          <m:rPr>
            <m:sty m:val="bi"/>
          </m:rPr>
          <w:rPr>
            <w:rFonts w:ascii="Cambria Math" w:eastAsia="Georgia" w:hAnsi="Cambria Math" w:cs="Cambria Math"/>
            <w:color w:val="auto"/>
          </w:rPr>
          <m:t>T</m:t>
        </m:r>
        <m:r>
          <m:rPr>
            <m:sty m:val="bi"/>
          </m:rPr>
          <w:rPr>
            <w:rFonts w:ascii="Cambria Math" w:eastAsia="Georgia" w:hAnsi="Cambria Math" w:cs="Georgia"/>
            <w:color w:val="auto"/>
          </w:rPr>
          <m:t>,</m:t>
        </m:r>
        <m:sSub>
          <m:sSubPr>
            <m:ctrlPr>
              <w:rPr>
                <w:rFonts w:ascii="Cambria Math" w:eastAsia="Georgia" w:hAnsi="Cambria Math" w:cs="Georgia"/>
                <w:b/>
                <w:color w:val="auto"/>
              </w:rPr>
            </m:ctrlPr>
          </m:sSubPr>
          <m:e>
            <m:r>
              <m:rPr>
                <m:sty m:val="bi"/>
              </m:rPr>
              <w:rPr>
                <w:rFonts w:ascii="Cambria Math" w:eastAsia="Georgia" w:hAnsi="Cambria Math" w:cs="Cambria Math"/>
                <w:color w:val="auto"/>
              </w:rPr>
              <m:t>F</m:t>
            </m:r>
          </m:e>
          <m:sub>
            <m:r>
              <m:rPr>
                <m:sty m:val="bi"/>
              </m:rPr>
              <w:rPr>
                <w:rFonts w:ascii="Cambria Math" w:eastAsia="Georgia" w:hAnsi="Cambria Math" w:cs="Cambria Math"/>
                <w:color w:val="auto"/>
              </w:rPr>
              <m:t>V</m:t>
            </m:r>
          </m:sub>
        </m:sSub>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T</m:t>
        </m:r>
        <m:r>
          <w:rPr>
            <w:rFonts w:ascii="Cambria Math" w:eastAsia="Georgia" w:hAnsi="Cambria Math" w:cs="Georgia"/>
            <w:color w:val="auto"/>
          </w:rPr>
          <m:t>)=</m:t>
        </m:r>
        <m:nary>
          <m:naryPr>
            <m:chr m:val="∏"/>
            <m:ctrlPr>
              <w:rPr>
                <w:rFonts w:ascii="Cambria Math" w:eastAsia="Georgia" w:hAnsi="Cambria Math" w:cs="Georgia"/>
                <w:color w:val="auto"/>
              </w:rPr>
            </m:ctrlPr>
          </m:naryPr>
          <m:sub>
            <m:r>
              <w:rPr>
                <w:rFonts w:ascii="Cambria Math" w:eastAsia="Georgia" w:hAnsi="Cambria Math" w:cs="Cambria Math"/>
                <w:color w:val="auto"/>
              </w:rPr>
              <m:t>i</m:t>
            </m:r>
            <m:r>
              <w:rPr>
                <w:rFonts w:ascii="Cambria Math" w:eastAsia="Georgia" w:hAnsi="Cambria Math" w:cs="Georgia"/>
                <w:color w:val="auto"/>
              </w:rPr>
              <m:t>=1</m:t>
            </m:r>
          </m:sub>
          <m:sup>
            <m:r>
              <w:rPr>
                <w:rFonts w:ascii="Cambria Math" w:eastAsia="Georgia" w:hAnsi="Cambria Math" w:cs="Cambria Math"/>
                <w:color w:val="auto"/>
              </w:rPr>
              <m:t>n</m:t>
            </m:r>
          </m:sup>
          <m:e>
            <m:r>
              <w:rPr>
                <w:rFonts w:ascii="Cambria Math" w:eastAsia="Georgia" w:hAnsi="Cambria Math" w:cs="Cambria Math"/>
                <w:color w:val="auto"/>
              </w:rPr>
              <m:t>P</m:t>
            </m:r>
          </m:e>
        </m:nary>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y</m:t>
            </m:r>
          </m:e>
          <m:sub>
            <m:r>
              <w:rPr>
                <w:rFonts w:ascii="Cambria Math" w:eastAsia="Georgia" w:hAnsi="Cambria Math" w:cs="Cambria Math"/>
                <w:color w:val="auto"/>
              </w:rPr>
              <m:t>i</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Georgia"/>
                <w:color w:val="auto"/>
              </w:rPr>
              <m:t>t</m:t>
            </m:r>
          </m:e>
          <m:sub>
            <m:r>
              <w:rPr>
                <w:rFonts w:ascii="Cambria Math" w:eastAsia="Georgia" w:hAnsi="Cambria Math" w:cs="Georgia"/>
                <w:color w:val="auto"/>
              </w:rPr>
              <m:t>m</m:t>
            </m:r>
          </m:sub>
        </m:sSub>
        <m:r>
          <w:rPr>
            <w:rFonts w:ascii="Cambria Math" w:eastAsia="Georgia" w:hAnsi="Cambria Math" w:cs="Georgia"/>
            <w:color w:val="auto"/>
          </w:rPr>
          <m:t xml:space="preserve">, </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i</m:t>
            </m:r>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i</m:t>
            </m:r>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f</m:t>
            </m:r>
          </m:e>
          <m:sub>
            <m:r>
              <w:rPr>
                <w:rFonts w:ascii="Cambria Math" w:eastAsia="Georgia" w:hAnsi="Cambria Math" w:cs="Cambria Math"/>
                <w:color w:val="auto"/>
              </w:rPr>
              <m:t>i,m</m:t>
            </m:r>
          </m:sub>
        </m:sSub>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color w:val="auto"/>
              </w:rPr>
            </m:ctrlPr>
          </m:sSubPr>
          <m:e>
            <m:r>
              <w:rPr>
                <w:rFonts w:ascii="Cambria Math" w:eastAsia="Georgia" w:hAnsi="Cambria Math" w:cs="Cambria Math"/>
                <w:color w:val="auto"/>
              </w:rPr>
              <m:t>,t</m:t>
            </m:r>
          </m:e>
          <m:sub>
            <m:r>
              <w:rPr>
                <w:rFonts w:ascii="Cambria Math" w:eastAsia="Georgia" w:hAnsi="Cambria Math" w:cs="Cambria Math"/>
                <w:color w:val="auto"/>
              </w:rPr>
              <m:t>m</m:t>
            </m:r>
          </m:sub>
        </m:sSub>
        <m:r>
          <w:rPr>
            <w:rFonts w:ascii="Cambria Math" w:eastAsia="Georgia" w:hAnsi="Cambria Math" w:cs="Georgia"/>
            <w:color w:val="auto"/>
          </w:rPr>
          <m:t xml:space="preserve">) </m:t>
        </m:r>
      </m:oMath>
      <w:r w:rsidRPr="005409D2">
        <w:rPr>
          <w:rFonts w:ascii="Georgia" w:eastAsia="Georgia" w:hAnsi="Georgia" w:cs="Georgia"/>
          <w:color w:val="auto"/>
        </w:rPr>
        <w:t xml:space="preserve">, given </w:t>
      </w:r>
      <m:oMath>
        <m:r>
          <w:rPr>
            <w:rFonts w:ascii="Cambria Math" w:eastAsia="Georgia" w:hAnsi="Cambria Math" w:cs="Georgia"/>
            <w:color w:val="auto"/>
          </w:rPr>
          <m:t>n</m:t>
        </m:r>
      </m:oMath>
      <w:r w:rsidRPr="005409D2">
        <w:rPr>
          <w:rFonts w:ascii="Georgia" w:eastAsia="Georgia" w:hAnsi="Georgia" w:cs="Georgia"/>
          <w:color w:val="auto"/>
        </w:rPr>
        <w:t xml:space="preserve"> observations in </w:t>
      </w:r>
      <m:oMath>
        <m:r>
          <m:rPr>
            <m:sty m:val="bi"/>
          </m:rPr>
          <w:rPr>
            <w:rFonts w:ascii="Cambria Math" w:eastAsia="Georgia" w:hAnsi="Cambria Math" w:cs="Georgia"/>
            <w:color w:val="auto"/>
          </w:rPr>
          <m:t>Y</m:t>
        </m:r>
      </m:oMath>
      <w:r w:rsidRPr="005409D2">
        <w:rPr>
          <w:rFonts w:ascii="Georgia" w:eastAsia="Georgia" w:hAnsi="Georgia" w:cs="Georgia"/>
          <w:color w:val="auto"/>
        </w:rPr>
        <w:t>.</w:t>
      </w:r>
    </w:p>
    <w:p w14:paraId="713D32E6" w14:textId="77777777" w:rsidR="00F76E2A" w:rsidRPr="005409D2" w:rsidRDefault="00F76E2A" w:rsidP="00F76E2A">
      <w:pPr>
        <w:pStyle w:val="normal0"/>
        <w:spacing w:line="240" w:lineRule="auto"/>
        <w:ind w:firstLine="720"/>
        <w:rPr>
          <w:rFonts w:ascii="Georgia" w:hAnsi="Georgia"/>
          <w:color w:val="auto"/>
        </w:rPr>
      </w:pPr>
      <w:r w:rsidRPr="005409D2">
        <w:rPr>
          <w:rFonts w:ascii="Georgia" w:eastAsia="Georgia" w:hAnsi="Georgia" w:cs="Georgia"/>
          <w:color w:val="auto"/>
        </w:rPr>
        <w:t xml:space="preserve">Using the training data, we will maximize this function to find the most probable functions </w:t>
      </w:r>
      <m:oMath>
        <m:r>
          <m:rPr>
            <m:sty m:val="bi"/>
          </m:rPr>
          <w:rPr>
            <w:rFonts w:ascii="Cambria Math" w:eastAsia="Georgia" w:hAnsi="Cambria Math" w:cs="Georgia"/>
            <w:color w:val="auto"/>
          </w:rPr>
          <m:t>T</m:t>
        </m:r>
      </m:oMath>
      <w:r w:rsidRPr="005409D2">
        <w:rPr>
          <w:rFonts w:ascii="Georgia" w:eastAsia="Georgia" w:hAnsi="Georgia" w:cs="Georgia"/>
          <w:color w:val="auto"/>
        </w:rPr>
        <w:t>, and these will be</w:t>
      </w:r>
      <w:r>
        <w:rPr>
          <w:rFonts w:ascii="Georgia" w:eastAsia="Georgia" w:hAnsi="Georgia" w:cs="Georgia"/>
          <w:color w:val="auto"/>
        </w:rPr>
        <w:t xml:space="preserve"> used as our updated parameters. </w:t>
      </w:r>
      <w:r w:rsidRPr="005409D2">
        <w:rPr>
          <w:rFonts w:ascii="Georgia" w:eastAsia="Georgia" w:hAnsi="Georgia" w:cs="Georgia"/>
          <w:color w:val="auto"/>
        </w:rPr>
        <w:t xml:space="preserve">The updated </w:t>
      </w:r>
      <m:oMath>
        <m:r>
          <m:rPr>
            <m:sty m:val="bi"/>
          </m:rPr>
          <w:rPr>
            <w:rFonts w:ascii="Cambria Math" w:eastAsia="Georgia" w:hAnsi="Cambria Math" w:cs="Georgia"/>
            <w:color w:val="auto"/>
          </w:rPr>
          <m:t>T</m:t>
        </m:r>
      </m:oMath>
      <w:r w:rsidRPr="005409D2">
        <w:rPr>
          <w:rFonts w:ascii="Georgia" w:eastAsia="Georgia" w:hAnsi="Georgia" w:cs="Georgia"/>
          <w:color w:val="auto"/>
        </w:rPr>
        <w:t xml:space="preserve"> will then be used as tuned parameters in eleVAR to prioritize variants. The procedure will be iterated in several rounds. In the first round of tuning, feature weights obtained in D-1-b-v will be used to construct priors </w:t>
      </w:r>
      <w:proofErr w:type="gramStart"/>
      <m:oMath>
        <m:r>
          <w:rPr>
            <w:rFonts w:ascii="Cambria Math" w:eastAsia="Georgia" w:hAnsi="Cambria Math" w:cs="Cambria Math"/>
            <w:color w:val="auto"/>
          </w:rPr>
          <m:t>P</m:t>
        </m:r>
        <m:r>
          <w:rPr>
            <w:rFonts w:ascii="Cambria Math" w:eastAsia="Georgia" w:hAnsi="Cambria Math" w:cs="Georgia"/>
            <w:color w:val="auto"/>
          </w:rPr>
          <m:t>(</m:t>
        </m:r>
        <w:proofErr w:type="gramEnd"/>
        <m:r>
          <m:rPr>
            <m:sty m:val="bi"/>
          </m:rPr>
          <w:rPr>
            <w:rFonts w:ascii="Cambria Math" w:eastAsia="Georgia" w:hAnsi="Cambria Math" w:cs="Cambria Math"/>
            <w:color w:val="auto"/>
          </w:rPr>
          <m:t>T</m:t>
        </m:r>
        <m:r>
          <w:rPr>
            <w:rFonts w:ascii="Cambria Math" w:eastAsia="Georgia" w:hAnsi="Cambria Math" w:cs="Georgia"/>
            <w:color w:val="auto"/>
          </w:rPr>
          <m:t>)</m:t>
        </m:r>
      </m:oMath>
      <w:r w:rsidRPr="005409D2">
        <w:rPr>
          <w:rFonts w:ascii="Georgia" w:eastAsia="Georgia" w:hAnsi="Georgia" w:cs="Georgia"/>
          <w:color w:val="auto"/>
        </w:rPr>
        <w:t>. In subsequent rounds, the updated weights will be set as new priors.</w:t>
      </w:r>
    </w:p>
    <w:p w14:paraId="53D69D7C" w14:textId="77777777" w:rsidR="00427F75" w:rsidRDefault="00F76E2A">
      <w:pPr>
        <w:pStyle w:val="normal0"/>
        <w:spacing w:line="240" w:lineRule="auto"/>
      </w:pPr>
      <w:r>
        <w:rPr>
          <w:b/>
        </w:rPr>
        <w:t>D-2-b-</w:t>
      </w:r>
      <w:proofErr w:type="gramStart"/>
      <w:r>
        <w:rPr>
          <w:b/>
        </w:rPr>
        <w:t>ii  Software</w:t>
      </w:r>
      <w:proofErr w:type="gramEnd"/>
      <w:r>
        <w:rPr>
          <w:b/>
        </w:rPr>
        <w:t xml:space="preserve"> implementation using an explicit data context &amp; dependency graph</w:t>
      </w:r>
    </w:p>
    <w:p w14:paraId="6B6488AB" w14:textId="77777777" w:rsidR="00427F75" w:rsidRDefault="00F76E2A">
      <w:pPr>
        <w:pStyle w:val="normal0"/>
        <w:spacing w:line="240" w:lineRule="auto"/>
      </w:pPr>
      <w:r>
        <w:rPr>
          <w:rFonts w:ascii="Georgia" w:eastAsia="Georgia" w:hAnsi="Georgia" w:cs="Georgia"/>
          <w:u w:val="single"/>
        </w:rPr>
        <w:t>We will develop an efficient, robust and yet flexible software suite for eleVAR for users to parameterize and customize for their own research projects.</w:t>
      </w:r>
      <w:r>
        <w:rPr>
          <w:rFonts w:ascii="Georgia" w:eastAsia="Georgia" w:hAnsi="Georgia" w:cs="Georgia"/>
        </w:rPr>
        <w:t xml:space="preserve"> 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We will also use NoSQL databases, such as MongoDB to maximize our data model flexibility. In particular, users will be able slightly perturb the data context with the addition of a single targeted functional genomics experiment or even a new data type.</w:t>
      </w:r>
    </w:p>
    <w:p w14:paraId="0ADBF42C" w14:textId="77777777" w:rsidR="00427F75" w:rsidRDefault="00F76E2A">
      <w:pPr>
        <w:pStyle w:val="normal0"/>
        <w:spacing w:line="240" w:lineRule="auto"/>
        <w:ind w:firstLine="720"/>
      </w:pPr>
      <w:r>
        <w:rPr>
          <w:rFonts w:ascii="Georgia" w:eastAsia="Georgia" w:hAnsi="Georgia" w:cs="Georgia"/>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 </w:t>
      </w:r>
    </w:p>
    <w:p w14:paraId="43B1D832" w14:textId="77777777" w:rsidR="00427F75" w:rsidRDefault="00F76E2A">
      <w:pPr>
        <w:pStyle w:val="normal0"/>
        <w:spacing w:line="240" w:lineRule="auto"/>
      </w:pPr>
      <w:r>
        <w:rPr>
          <w:b/>
        </w:rPr>
        <w:t>D-2-b-</w:t>
      </w:r>
      <w:proofErr w:type="gramStart"/>
      <w:r>
        <w:rPr>
          <w:b/>
        </w:rPr>
        <w:t>iii  Generating</w:t>
      </w:r>
      <w:proofErr w:type="gramEnd"/>
      <w:r>
        <w:rPr>
          <w:b/>
        </w:rPr>
        <w:t xml:space="preserve"> an initial list of prioritized variants &amp; then running them through eleVAR</w:t>
      </w:r>
    </w:p>
    <w:p w14:paraId="18BFCA76" w14:textId="7B6F2784" w:rsidR="00427F75" w:rsidRDefault="00F76E2A">
      <w:pPr>
        <w:pStyle w:val="normal0"/>
        <w:spacing w:line="240" w:lineRule="auto"/>
      </w:pPr>
      <w:r>
        <w:rPr>
          <w:rFonts w:ascii="Georgia" w:eastAsia="Georgia" w:hAnsi="Georgia" w:cs="Georgia"/>
        </w:rPr>
        <w:t>The PCAWG-8 group will be generating high-quality germline call sets (comprising SNPs, Indels, and SVs) for relatively high-coverage whole-genome datasets. The germline SNP call sets will be generated by four of the most state-of-the-art variant callers, including the GATK HaplotypeCaller</w:t>
      </w:r>
      <w:r w:rsidR="00572B35">
        <w:rPr>
          <w:rFonts w:ascii="Georgia" w:eastAsia="Georgia" w:hAnsi="Georgia" w:cs="Georgia"/>
        </w:rPr>
        <w:fldChar w:fldCharType="begin"/>
      </w:r>
      <w:r w:rsidR="00572B35">
        <w:rPr>
          <w:rFonts w:ascii="Georgia" w:eastAsia="Georgia" w:hAnsi="Georgia" w:cs="Georgia"/>
        </w:rPr>
        <w:instrText xml:space="preserve"> ADDIN cite{21478889}</w:instrText>
      </w:r>
      <w:r w:rsidR="00572B35">
        <w:rPr>
          <w:rFonts w:ascii="Georgia" w:eastAsia="Georgia" w:hAnsi="Georgia" w:cs="Georgia"/>
        </w:rPr>
        <w:fldChar w:fldCharType="separate"/>
      </w:r>
      <w:r w:rsidR="00572B35">
        <w:rPr>
          <w:rFonts w:ascii="Times New Roman" w:hAnsi="Times New Roman"/>
          <w:sz w:val="24"/>
          <w:vertAlign w:val="superscript"/>
        </w:rPr>
        <w:t>110</w:t>
      </w:r>
      <w:r w:rsidR="00572B35">
        <w:rPr>
          <w:rFonts w:ascii="Georgia" w:eastAsia="Georgia" w:hAnsi="Georgia" w:cs="Georgia"/>
        </w:rPr>
        <w:fldChar w:fldCharType="end"/>
      </w:r>
      <w:r>
        <w:rPr>
          <w:rFonts w:ascii="Georgia" w:eastAsia="Georgia" w:hAnsi="Georgia" w:cs="Georgia"/>
        </w:rPr>
        <w:t>, which is run by the Broad Institute, and Caveman</w:t>
      </w:r>
      <w:r w:rsidR="00572B35">
        <w:rPr>
          <w:rFonts w:ascii="Georgia" w:eastAsia="Georgia" w:hAnsi="Georgia" w:cs="Georgia"/>
        </w:rPr>
        <w:fldChar w:fldCharType="begin"/>
      </w:r>
      <w:r w:rsidR="00572B35">
        <w:rPr>
          <w:rFonts w:ascii="Georgia" w:eastAsia="Georgia" w:hAnsi="Georgia" w:cs="Georgia"/>
        </w:rPr>
        <w:instrText xml:space="preserve"> ADDIN cite{21995386}</w:instrText>
      </w:r>
      <w:r w:rsidR="00572B35">
        <w:rPr>
          <w:rFonts w:ascii="Georgia" w:eastAsia="Georgia" w:hAnsi="Georgia" w:cs="Georgia"/>
        </w:rPr>
        <w:fldChar w:fldCharType="separate"/>
      </w:r>
      <w:r w:rsidR="00572B35">
        <w:rPr>
          <w:rFonts w:ascii="Times New Roman" w:hAnsi="Times New Roman"/>
          <w:sz w:val="24"/>
          <w:vertAlign w:val="superscript"/>
        </w:rPr>
        <w:t>111</w:t>
      </w:r>
      <w:r w:rsidR="00572B35">
        <w:rPr>
          <w:rFonts w:ascii="Georgia" w:eastAsia="Georgia" w:hAnsi="Georgia" w:cs="Georgia"/>
        </w:rPr>
        <w:fldChar w:fldCharType="end"/>
      </w:r>
      <w:r>
        <w:rPr>
          <w:rFonts w:ascii="Georgia" w:eastAsia="Georgia" w:hAnsi="Georgia" w:cs="Georgia"/>
        </w:rPr>
        <w:t>, which is run by the Wellcome Trust Sanger Institute. These call sets will then be integrated with the tool FreeBayes</w:t>
      </w:r>
      <w:r w:rsidR="00572B35">
        <w:rPr>
          <w:rFonts w:ascii="Georgia" w:eastAsia="Georgia" w:hAnsi="Georgia" w:cs="Georgia"/>
        </w:rPr>
        <w:fldChar w:fldCharType="begin"/>
      </w:r>
      <w:r w:rsidR="00572B35">
        <w:rPr>
          <w:rFonts w:ascii="Georgia" w:eastAsia="Georgia" w:hAnsi="Georgia" w:cs="Georgia"/>
        </w:rPr>
        <w:instrText xml:space="preserve"> ADDIN cite{0000011}</w:instrText>
      </w:r>
      <w:r w:rsidR="00572B35">
        <w:rPr>
          <w:rFonts w:ascii="Georgia" w:eastAsia="Georgia" w:hAnsi="Georgia" w:cs="Georgia"/>
        </w:rPr>
        <w:fldChar w:fldCharType="separate"/>
      </w:r>
      <w:r w:rsidR="00572B35">
        <w:rPr>
          <w:rFonts w:ascii="Times New Roman" w:hAnsi="Times New Roman"/>
          <w:sz w:val="24"/>
          <w:vertAlign w:val="superscript"/>
        </w:rPr>
        <w:t>92</w:t>
      </w:r>
      <w:r w:rsidR="00572B35">
        <w:rPr>
          <w:rFonts w:ascii="Georgia" w:eastAsia="Georgia" w:hAnsi="Georgia" w:cs="Georgia"/>
        </w:rPr>
        <w:fldChar w:fldCharType="end"/>
      </w:r>
      <w:r>
        <w:rPr>
          <w:rFonts w:ascii="Georgia" w:eastAsia="Georgia" w:hAnsi="Georgia" w:cs="Georgia"/>
        </w:rPr>
        <w:t>, which will generate the final call set for further downstream analyses. As we will be focussing on prostate cancer, we will add to this list a number of other whole-genome sequences of prostate cancers (tumor and normal)</w:t>
      </w:r>
      <w:r w:rsidR="00572B35">
        <w:rPr>
          <w:rFonts w:ascii="Georgia" w:eastAsia="Georgia" w:hAnsi="Georgia" w:cs="Georgia"/>
        </w:rPr>
        <w:fldChar w:fldCharType="begin"/>
      </w:r>
      <w:r w:rsidR="00572B35">
        <w:rPr>
          <w:rFonts w:ascii="Georgia" w:eastAsia="Georgia" w:hAnsi="Georgia" w:cs="Georgia"/>
        </w:rPr>
        <w:instrText xml:space="preserve"> ADDIN cite{23622249,21307934}</w:instrText>
      </w:r>
      <w:r w:rsidR="00572B35">
        <w:rPr>
          <w:rFonts w:ascii="Georgia" w:eastAsia="Georgia" w:hAnsi="Georgia" w:cs="Georgia"/>
        </w:rPr>
        <w:fldChar w:fldCharType="separate"/>
      </w:r>
      <w:r w:rsidR="00572B35">
        <w:rPr>
          <w:rFonts w:ascii="Times New Roman" w:hAnsi="Times New Roman"/>
          <w:sz w:val="24"/>
          <w:vertAlign w:val="superscript"/>
        </w:rPr>
        <w:t>112, 113</w:t>
      </w:r>
      <w:r w:rsidR="00572B35">
        <w:rPr>
          <w:rFonts w:ascii="Georgia" w:eastAsia="Georgia" w:hAnsi="Georgia" w:cs="Georgia"/>
        </w:rPr>
        <w:fldChar w:fldCharType="end"/>
      </w:r>
      <w:r>
        <w:rPr>
          <w:rFonts w:ascii="Georgia" w:eastAsia="Georgia" w:hAnsi="Georgia" w:cs="Georgia"/>
        </w:rPr>
        <w:t xml:space="preserve">. We will call the variants in these genomes in a way that is </w:t>
      </w:r>
      <w:r>
        <w:rPr>
          <w:rFonts w:ascii="Georgia" w:eastAsia="Georgia" w:hAnsi="Georgia" w:cs="Georgia"/>
        </w:rPr>
        <w:lastRenderedPageBreak/>
        <w:t>consistent with what is done in PCAWG. At the start of the project, we estimate that we will have at least a total of 250 prostate cancer genomes. We will call this set of genomes and variants the “prostate compendium.”</w:t>
      </w:r>
    </w:p>
    <w:p w14:paraId="10C6D19C" w14:textId="2BF401D7" w:rsidR="00427F75" w:rsidRDefault="00F76E2A">
      <w:pPr>
        <w:pStyle w:val="normal0"/>
        <w:spacing w:line="240" w:lineRule="auto"/>
        <w:ind w:firstLine="720"/>
      </w:pPr>
      <w:r>
        <w:rPr>
          <w:rFonts w:ascii="Georgia" w:eastAsia="Georgia" w:hAnsi="Georgia" w:cs="Georgia"/>
        </w:rPr>
        <w:t>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w:t>
      </w:r>
      <w:r w:rsidR="00572B35">
        <w:rPr>
          <w:rFonts w:ascii="Georgia" w:eastAsia="Georgia" w:hAnsi="Georgia" w:cs="Georgia"/>
        </w:rPr>
        <w:fldChar w:fldCharType="begin"/>
      </w:r>
      <w:r w:rsidR="00572B35">
        <w:rPr>
          <w:rFonts w:ascii="Georgia" w:eastAsia="Georgia" w:hAnsi="Georgia" w:cs="Georgia"/>
        </w:rPr>
        <w:instrText xml:space="preserve"> ADDIN cite{25915600}</w:instrText>
      </w:r>
      <w:r w:rsidR="00572B35">
        <w:rPr>
          <w:rFonts w:ascii="Georgia" w:eastAsia="Georgia" w:hAnsi="Georgia" w:cs="Georgia"/>
        </w:rPr>
        <w:fldChar w:fldCharType="separate"/>
      </w:r>
      <w:r w:rsidR="00572B35">
        <w:rPr>
          <w:rFonts w:ascii="Times New Roman" w:hAnsi="Times New Roman"/>
          <w:sz w:val="24"/>
          <w:vertAlign w:val="superscript"/>
        </w:rPr>
        <w:t>114</w:t>
      </w:r>
      <w:r w:rsidR="00572B35">
        <w:rPr>
          <w:rFonts w:ascii="Georgia" w:eastAsia="Georgia" w:hAnsi="Georgia" w:cs="Georgia"/>
        </w:rPr>
        <w:fldChar w:fldCharType="end"/>
      </w:r>
      <w:r>
        <w:rPr>
          <w:rFonts w:ascii="Georgia" w:eastAsia="Georgia" w:hAnsi="Georgia" w:cs="Georgia"/>
        </w:rPr>
        <w:t xml:space="preserve">.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w:t>
      </w:r>
    </w:p>
    <w:p w14:paraId="3663FEC0" w14:textId="77777777" w:rsidR="00427F75" w:rsidRDefault="00F76E2A">
      <w:pPr>
        <w:pStyle w:val="normal0"/>
        <w:spacing w:line="240" w:lineRule="auto"/>
      </w:pPr>
      <w:r>
        <w:rPr>
          <w:b/>
        </w:rPr>
        <w:t>D-2-b-</w:t>
      </w:r>
      <w:proofErr w:type="gramStart"/>
      <w:r>
        <w:rPr>
          <w:b/>
        </w:rPr>
        <w:t>iv  Round</w:t>
      </w:r>
      <w:proofErr w:type="gramEnd"/>
      <w:r>
        <w:rPr>
          <w:b/>
        </w:rPr>
        <w:t xml:space="preserve"> 1 of tuning based on publicly available datasets </w:t>
      </w:r>
    </w:p>
    <w:p w14:paraId="2FBF4536" w14:textId="77777777" w:rsidR="00427F75" w:rsidRDefault="00F76E2A">
      <w:pPr>
        <w:pStyle w:val="normal0"/>
        <w:spacing w:line="240" w:lineRule="auto"/>
      </w:pPr>
      <w:r>
        <w:rPr>
          <w:rFonts w:ascii="Georgia" w:eastAsia="Georgia" w:hAnsi="Georgia" w:cs="Georgia"/>
        </w:rPr>
        <w:t>To perform the initial round of performance assessment and parameter tuning, we plan to use publicly available datasets from various resources. These datasets include known disease-causing mutations from molecular studies, high throughput reporter assays on enhancer activities and recurrence of cancer rare mutations in the region of interest involving germline and potentially somatic variants.</w:t>
      </w:r>
    </w:p>
    <w:p w14:paraId="57CEEADA" w14:textId="552D22E8" w:rsidR="00427F75" w:rsidRDefault="00F76E2A">
      <w:pPr>
        <w:pStyle w:val="normal0"/>
        <w:spacing w:line="240" w:lineRule="auto"/>
        <w:ind w:firstLine="720"/>
      </w:pPr>
      <w:proofErr w:type="gramStart"/>
      <w:r>
        <w:rPr>
          <w:rFonts w:ascii="Georgia" w:eastAsia="Georgia" w:hAnsi="Georgia" w:cs="Georgia"/>
        </w:rPr>
        <w:t>The Human Gene Mutation Database (HGMD)</w:t>
      </w:r>
      <w:r w:rsidR="00572B35">
        <w:rPr>
          <w:rFonts w:ascii="Georgia" w:eastAsia="Georgia" w:hAnsi="Georgia" w:cs="Georgia"/>
        </w:rPr>
        <w:fldChar w:fldCharType="begin"/>
      </w:r>
      <w:r w:rsidR="00572B35">
        <w:rPr>
          <w:rFonts w:ascii="Georgia" w:eastAsia="Georgia" w:hAnsi="Georgia" w:cs="Georgia"/>
        </w:rPr>
        <w:instrText xml:space="preserve"> ADDIN cite{12754702}</w:instrText>
      </w:r>
      <w:r w:rsidR="00572B35">
        <w:rPr>
          <w:rFonts w:ascii="Georgia" w:eastAsia="Georgia" w:hAnsi="Georgia" w:cs="Georgia"/>
        </w:rPr>
        <w:fldChar w:fldCharType="separate"/>
      </w:r>
      <w:r w:rsidR="00572B35">
        <w:rPr>
          <w:rFonts w:ascii="Times New Roman" w:hAnsi="Times New Roman"/>
          <w:sz w:val="24"/>
          <w:vertAlign w:val="superscript"/>
        </w:rPr>
        <w:t>115</w:t>
      </w:r>
      <w:r w:rsidR="00572B35">
        <w:rPr>
          <w:rFonts w:ascii="Georgia" w:eastAsia="Georgia" w:hAnsi="Georgia" w:cs="Georgia"/>
        </w:rPr>
        <w:fldChar w:fldCharType="end"/>
      </w:r>
      <w:r>
        <w:rPr>
          <w:rFonts w:ascii="Georgia" w:eastAsia="Georgia" w:hAnsi="Georgia" w:cs="Georgia"/>
        </w:rPr>
        <w:t xml:space="preserve"> and ClinVar</w:t>
      </w:r>
      <w:r w:rsidR="00572B35">
        <w:rPr>
          <w:rFonts w:ascii="Georgia" w:eastAsia="Georgia" w:hAnsi="Georgia" w:cs="Georgia"/>
        </w:rPr>
        <w:fldChar w:fldCharType="begin"/>
      </w:r>
      <w:r w:rsidR="00572B35">
        <w:rPr>
          <w:rFonts w:ascii="Georgia" w:eastAsia="Georgia" w:hAnsi="Georgia" w:cs="Georgia"/>
        </w:rPr>
        <w:instrText xml:space="preserve"> ADDIN cite{24234437}</w:instrText>
      </w:r>
      <w:r w:rsidR="00572B35">
        <w:rPr>
          <w:rFonts w:ascii="Georgia" w:eastAsia="Georgia" w:hAnsi="Georgia" w:cs="Georgia"/>
        </w:rPr>
        <w:fldChar w:fldCharType="separate"/>
      </w:r>
      <w:r w:rsidR="00572B35">
        <w:rPr>
          <w:rFonts w:ascii="Times New Roman" w:hAnsi="Times New Roman"/>
          <w:sz w:val="24"/>
          <w:vertAlign w:val="superscript"/>
        </w:rPr>
        <w:t>116</w:t>
      </w:r>
      <w:r w:rsidR="00572B35">
        <w:rPr>
          <w:rFonts w:ascii="Georgia" w:eastAsia="Georgia" w:hAnsi="Georgia" w:cs="Georgia"/>
        </w:rPr>
        <w:fldChar w:fldCharType="end"/>
      </w:r>
      <w:r>
        <w:rPr>
          <w:rFonts w:ascii="Georgia" w:eastAsia="Georgia" w:hAnsi="Georgia" w:cs="Georgia"/>
        </w:rPr>
        <w:t xml:space="preserve"> catalogue large numbers of regulatory disease-causing mutations discovered in molecular studies.</w:t>
      </w:r>
      <w:proofErr w:type="gramEnd"/>
      <w:r>
        <w:rPr>
          <w:rFonts w:ascii="Georgia" w:eastAsia="Georgia" w:hAnsi="Georgia" w:cs="Georgia"/>
        </w:rPr>
        <w:t xml:space="preserve"> Several high-throughput technologies have also been developed to test the phenotypic impacts of non-coding genomic variants. For example, Kwasnieski et al used CRE-seq</w:t>
      </w:r>
      <w:r w:rsidR="00572B35">
        <w:rPr>
          <w:rFonts w:ascii="Georgia" w:eastAsia="Georgia" w:hAnsi="Georgia" w:cs="Georgia"/>
        </w:rPr>
        <w:fldChar w:fldCharType="begin"/>
      </w:r>
      <w:r w:rsidR="00572B35">
        <w:rPr>
          <w:rFonts w:ascii="Georgia" w:eastAsia="Georgia" w:hAnsi="Georgia" w:cs="Georgia"/>
        </w:rPr>
        <w:instrText xml:space="preserve"> ADDIN cite{23129659}</w:instrText>
      </w:r>
      <w:r w:rsidR="00572B35">
        <w:rPr>
          <w:rFonts w:ascii="Georgia" w:eastAsia="Georgia" w:hAnsi="Georgia" w:cs="Georgia"/>
        </w:rPr>
        <w:fldChar w:fldCharType="separate"/>
      </w:r>
      <w:r w:rsidR="00572B35">
        <w:rPr>
          <w:rFonts w:ascii="Times New Roman" w:hAnsi="Times New Roman"/>
          <w:sz w:val="24"/>
          <w:vertAlign w:val="superscript"/>
        </w:rPr>
        <w:t>117</w:t>
      </w:r>
      <w:r w:rsidR="00572B35">
        <w:rPr>
          <w:rFonts w:ascii="Georgia" w:eastAsia="Georgia" w:hAnsi="Georgia" w:cs="Georgia"/>
        </w:rPr>
        <w:fldChar w:fldCharType="end"/>
      </w:r>
      <w:r>
        <w:rPr>
          <w:rFonts w:ascii="Georgia" w:eastAsia="Georgia" w:hAnsi="Georgia" w:cs="Georgia"/>
        </w:rPr>
        <w:t xml:space="preserve"> to assay over 1,000 single- and double-nucleotide mutations in promoter regions. Kheradpour et al.</w:t>
      </w:r>
      <w:r w:rsidR="00572B35">
        <w:rPr>
          <w:rFonts w:ascii="Georgia" w:eastAsia="Georgia" w:hAnsi="Georgia" w:cs="Georgia"/>
        </w:rPr>
        <w:fldChar w:fldCharType="begin"/>
      </w:r>
      <w:r w:rsidR="00572B35">
        <w:rPr>
          <w:rFonts w:ascii="Georgia" w:eastAsia="Georgia" w:hAnsi="Georgia" w:cs="Georgia"/>
        </w:rPr>
        <w:instrText xml:space="preserve"> ADDIN cite{23512712}</w:instrText>
      </w:r>
      <w:r w:rsidR="00572B35">
        <w:rPr>
          <w:rFonts w:ascii="Georgia" w:eastAsia="Georgia" w:hAnsi="Georgia" w:cs="Georgia"/>
        </w:rPr>
        <w:fldChar w:fldCharType="separate"/>
      </w:r>
      <w:r w:rsidR="00572B35">
        <w:rPr>
          <w:rFonts w:ascii="Times New Roman" w:hAnsi="Times New Roman"/>
          <w:sz w:val="24"/>
          <w:vertAlign w:val="superscript"/>
        </w:rPr>
        <w:t>102</w:t>
      </w:r>
      <w:r w:rsidR="00572B35">
        <w:rPr>
          <w:rFonts w:ascii="Georgia" w:eastAsia="Georgia" w:hAnsi="Georgia" w:cs="Georgia"/>
        </w:rPr>
        <w:fldChar w:fldCharType="end"/>
      </w:r>
      <w:r>
        <w:rPr>
          <w:rFonts w:ascii="Georgia" w:eastAsia="Georgia" w:hAnsi="Georgia" w:cs="Georgia"/>
        </w:rPr>
        <w:t xml:space="preserve"> used MPRA to test variants affecting regulatory motifs in over 2,000 human enhancers. We will utilize these datasets to perform comparisons with other variant prioritization methods, such as CADD</w:t>
      </w:r>
      <w:r w:rsidR="00572B35">
        <w:rPr>
          <w:rFonts w:ascii="Georgia" w:eastAsia="Georgia" w:hAnsi="Georgia" w:cs="Georgia"/>
        </w:rPr>
        <w:fldChar w:fldCharType="begin"/>
      </w:r>
      <w:r w:rsidR="00572B35">
        <w:rPr>
          <w:rFonts w:ascii="Georgia" w:eastAsia="Georgia" w:hAnsi="Georgia" w:cs="Georgia"/>
        </w:rPr>
        <w:instrText xml:space="preserve"> ADDIN cite{24487276}</w:instrText>
      </w:r>
      <w:r w:rsidR="00572B35">
        <w:rPr>
          <w:rFonts w:ascii="Georgia" w:eastAsia="Georgia" w:hAnsi="Georgia" w:cs="Georgia"/>
        </w:rPr>
        <w:fldChar w:fldCharType="separate"/>
      </w:r>
      <w:r w:rsidR="00572B35">
        <w:rPr>
          <w:rFonts w:ascii="Times New Roman" w:hAnsi="Times New Roman"/>
          <w:sz w:val="24"/>
          <w:vertAlign w:val="superscript"/>
        </w:rPr>
        <w:t>118</w:t>
      </w:r>
      <w:r w:rsidR="00572B35">
        <w:rPr>
          <w:rFonts w:ascii="Georgia" w:eastAsia="Georgia" w:hAnsi="Georgia" w:cs="Georgia"/>
        </w:rPr>
        <w:fldChar w:fldCharType="end"/>
      </w:r>
      <w:r>
        <w:rPr>
          <w:rFonts w:ascii="Georgia" w:eastAsia="Georgia" w:hAnsi="Georgia" w:cs="Georgia"/>
        </w:rPr>
        <w:t>, to obtain a preliminary evaluation of method performance. We will then tune our parameters using the scheme described above.</w:t>
      </w:r>
    </w:p>
    <w:p w14:paraId="38149CEA" w14:textId="0FE98796" w:rsidR="00427F75" w:rsidRDefault="00F76E2A">
      <w:pPr>
        <w:pStyle w:val="normal0"/>
        <w:spacing w:line="240" w:lineRule="auto"/>
        <w:ind w:firstLine="720"/>
      </w:pPr>
      <w:r>
        <w:rPr>
          <w:rFonts w:ascii="Georgia" w:eastAsia="Georgia" w:hAnsi="Georgia" w:cs="Georgia"/>
        </w:rPr>
        <w:t>We will further compare the germline mutation burden of healthy individuals with those suffering from cancer. Specifically, we will use over 2500 normal samples from The 1000 Genomes Project as the control data, and run a mutation burden test using available software such as SKAT</w:t>
      </w:r>
      <w:r w:rsidR="00572B35">
        <w:rPr>
          <w:rFonts w:ascii="Georgia" w:eastAsia="Georgia" w:hAnsi="Georgia" w:cs="Georgia"/>
        </w:rPr>
        <w:fldChar w:fldCharType="begin"/>
      </w:r>
      <w:r w:rsidR="00572B35">
        <w:rPr>
          <w:rFonts w:ascii="Georgia" w:eastAsia="Georgia" w:hAnsi="Georgia" w:cs="Georgia"/>
        </w:rPr>
        <w:instrText xml:space="preserve"> ADDIN cite{23684009}</w:instrText>
      </w:r>
      <w:r w:rsidR="00572B35">
        <w:rPr>
          <w:rFonts w:ascii="Georgia" w:eastAsia="Georgia" w:hAnsi="Georgia" w:cs="Georgia"/>
        </w:rPr>
        <w:fldChar w:fldCharType="separate"/>
      </w:r>
      <w:r w:rsidR="00572B35">
        <w:rPr>
          <w:rFonts w:ascii="Times New Roman" w:hAnsi="Times New Roman"/>
          <w:sz w:val="24"/>
          <w:vertAlign w:val="superscript"/>
        </w:rPr>
        <w:t>119</w:t>
      </w:r>
      <w:r w:rsidR="00572B35">
        <w:rPr>
          <w:rFonts w:ascii="Georgia" w:eastAsia="Georgia" w:hAnsi="Georgia" w:cs="Georgia"/>
        </w:rPr>
        <w:fldChar w:fldCharType="end"/>
      </w:r>
      <w:r>
        <w:rPr>
          <w:rFonts w:ascii="Georgia" w:eastAsia="Georgia" w:hAnsi="Georgia" w:cs="Georgia"/>
        </w:rPr>
        <w:t>. (If it is necessary to expand the controls for rarer variants, we could use deeply sequenced trios from the 1000 Genomes Project</w:t>
      </w:r>
      <w:r w:rsidR="00572B35">
        <w:rPr>
          <w:rFonts w:ascii="Georgia" w:eastAsia="Georgia" w:hAnsi="Georgia" w:cs="Georgia"/>
        </w:rPr>
        <w:fldChar w:fldCharType="begin"/>
      </w:r>
      <w:r w:rsidR="00572B35">
        <w:rPr>
          <w:rFonts w:ascii="Georgia" w:eastAsia="Georgia" w:hAnsi="Georgia" w:cs="Georgia"/>
        </w:rPr>
        <w:instrText xml:space="preserve"> ADDIN cite{0000006}</w:instrText>
      </w:r>
      <w:r w:rsidR="00572B35">
        <w:rPr>
          <w:rFonts w:ascii="Georgia" w:eastAsia="Georgia" w:hAnsi="Georgia" w:cs="Georgia"/>
        </w:rPr>
        <w:fldChar w:fldCharType="separate"/>
      </w:r>
      <w:r w:rsidR="00572B35">
        <w:rPr>
          <w:rFonts w:ascii="Times New Roman" w:hAnsi="Times New Roman"/>
          <w:sz w:val="24"/>
          <w:vertAlign w:val="superscript"/>
        </w:rPr>
        <w:t>120</w:t>
      </w:r>
      <w:r w:rsidR="00572B35">
        <w:rPr>
          <w:rFonts w:ascii="Georgia" w:eastAsia="Georgia" w:hAnsi="Georgia" w:cs="Georgia"/>
        </w:rPr>
        <w:fldChar w:fldCharType="end"/>
      </w:r>
      <w:r>
        <w:rPr>
          <w:rFonts w:ascii="Georgia" w:eastAsia="Georgia" w:hAnsi="Georgia" w:cs="Georgia"/>
        </w:rPr>
        <w:t>, 500 individuals with Complete Genomics sequencing also from 1000 Genomes</w:t>
      </w:r>
      <w:r w:rsidR="00572B35">
        <w:rPr>
          <w:rFonts w:ascii="Georgia" w:eastAsia="Georgia" w:hAnsi="Georgia" w:cs="Georgia"/>
        </w:rPr>
        <w:fldChar w:fldCharType="begin"/>
      </w:r>
      <w:r w:rsidR="00572B35">
        <w:rPr>
          <w:rFonts w:ascii="Georgia" w:eastAsia="Georgia" w:hAnsi="Georgia" w:cs="Georgia"/>
        </w:rPr>
        <w:instrText xml:space="preserve"> ADDIN cite{0000007}</w:instrText>
      </w:r>
      <w:r w:rsidR="00572B35">
        <w:rPr>
          <w:rFonts w:ascii="Georgia" w:eastAsia="Georgia" w:hAnsi="Georgia" w:cs="Georgia"/>
        </w:rPr>
        <w:fldChar w:fldCharType="separate"/>
      </w:r>
      <w:r w:rsidR="00572B35">
        <w:rPr>
          <w:rFonts w:ascii="Times New Roman" w:hAnsi="Times New Roman"/>
          <w:sz w:val="24"/>
          <w:vertAlign w:val="superscript"/>
        </w:rPr>
        <w:t>121</w:t>
      </w:r>
      <w:r w:rsidR="00572B35">
        <w:rPr>
          <w:rFonts w:ascii="Georgia" w:eastAsia="Georgia" w:hAnsi="Georgia" w:cs="Georgia"/>
        </w:rPr>
        <w:fldChar w:fldCharType="end"/>
      </w:r>
      <w:r>
        <w:rPr>
          <w:rFonts w:ascii="Georgia" w:eastAsia="Georgia" w:hAnsi="Georgia" w:cs="Georgia"/>
        </w:rPr>
        <w:t xml:space="preserve"> and healthy individual from the UK10K project</w:t>
      </w:r>
      <w:r w:rsidR="00572B35">
        <w:rPr>
          <w:rFonts w:ascii="Georgia" w:eastAsia="Georgia" w:hAnsi="Georgia" w:cs="Georgia"/>
        </w:rPr>
        <w:fldChar w:fldCharType="begin"/>
      </w:r>
      <w:r w:rsidR="00572B35">
        <w:rPr>
          <w:rFonts w:ascii="Georgia" w:eastAsia="Georgia" w:hAnsi="Georgia" w:cs="Georgia"/>
        </w:rPr>
        <w:instrText xml:space="preserve"> ADDIN cite{0000008}</w:instrText>
      </w:r>
      <w:r w:rsidR="00572B35">
        <w:rPr>
          <w:rFonts w:ascii="Georgia" w:eastAsia="Georgia" w:hAnsi="Georgia" w:cs="Georgia"/>
        </w:rPr>
        <w:fldChar w:fldCharType="separate"/>
      </w:r>
      <w:r w:rsidR="00572B35">
        <w:rPr>
          <w:rFonts w:ascii="Times New Roman" w:hAnsi="Times New Roman"/>
          <w:sz w:val="24"/>
          <w:vertAlign w:val="superscript"/>
        </w:rPr>
        <w:t>122</w:t>
      </w:r>
      <w:r w:rsidR="00572B35">
        <w:rPr>
          <w:rFonts w:ascii="Georgia" w:eastAsia="Georgia" w:hAnsi="Georgia" w:cs="Georgia"/>
        </w:rPr>
        <w:fldChar w:fldCharType="end"/>
      </w:r>
      <w:r>
        <w:rPr>
          <w:rFonts w:ascii="Georgia" w:eastAsia="Georgia" w:hAnsi="Georgia" w:cs="Georgia"/>
        </w:rPr>
        <w:t xml:space="preserve">.) In contrast to the binning process generally used in burden testing, which is relatively </w:t>
      </w:r>
      <w:r>
        <w:rPr>
          <w:rFonts w:ascii="Georgia" w:eastAsia="Georgia" w:hAnsi="Georgia" w:cs="Georgia"/>
          <w:i/>
        </w:rPr>
        <w:t>ad hoc</w:t>
      </w:r>
      <w:r>
        <w:rPr>
          <w:rFonts w:ascii="Georgia" w:eastAsia="Georgia" w:hAnsi="Georgia" w:cs="Georgia"/>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w:t>
      </w:r>
    </w:p>
    <w:p w14:paraId="09D4902F" w14:textId="42A3B272" w:rsidR="00427F75" w:rsidRDefault="00F76E2A">
      <w:pPr>
        <w:pStyle w:val="normal0"/>
        <w:spacing w:line="240" w:lineRule="auto"/>
        <w:ind w:firstLine="720"/>
      </w:pPr>
      <w:r>
        <w:rPr>
          <w:rFonts w:ascii="Georgia" w:eastAsia="Georgia" w:hAnsi="Georgia" w:cs="Georgia"/>
          <w:u w:val="single"/>
        </w:rPr>
        <w:t>The interplay between germline and somatic variants may increase cancer risk, but they are not frequently analyzed in cancer studies.</w:t>
      </w:r>
      <w:r>
        <w:rPr>
          <w:rFonts w:ascii="Georgia" w:eastAsia="Georgia" w:hAnsi="Georgia" w:cs="Georgia"/>
        </w:rPr>
        <w:t xml:space="preserve"> For example, germline and somatic mutations in the promoter regions of some genes have been associated with particular cancers (e.g., telomerase reverse transcriptase (TERT) promoter mutations in cutaneous melanoma</w:t>
      </w:r>
      <w:r w:rsidR="00572B35">
        <w:rPr>
          <w:rFonts w:ascii="Georgia" w:eastAsia="Georgia" w:hAnsi="Georgia" w:cs="Georgia"/>
        </w:rPr>
        <w:fldChar w:fldCharType="begin"/>
      </w:r>
      <w:r w:rsidR="00572B35">
        <w:rPr>
          <w:rFonts w:ascii="Georgia" w:eastAsia="Georgia" w:hAnsi="Georgia" w:cs="Georgia"/>
        </w:rPr>
        <w:instrText xml:space="preserve"> ADDIN cite{23348503,22265402,19617566}</w:instrText>
      </w:r>
      <w:r w:rsidR="00572B35">
        <w:rPr>
          <w:rFonts w:ascii="Georgia" w:eastAsia="Georgia" w:hAnsi="Georgia" w:cs="Georgia"/>
        </w:rPr>
        <w:fldChar w:fldCharType="separate"/>
      </w:r>
      <w:r w:rsidR="00572B35">
        <w:rPr>
          <w:rFonts w:ascii="Times New Roman" w:hAnsi="Times New Roman"/>
          <w:sz w:val="24"/>
          <w:vertAlign w:val="superscript"/>
        </w:rPr>
        <w:t>15, 123, 124</w:t>
      </w:r>
      <w:r w:rsidR="00572B35">
        <w:rPr>
          <w:rFonts w:ascii="Georgia" w:eastAsia="Georgia" w:hAnsi="Georgia" w:cs="Georgia"/>
        </w:rPr>
        <w:fldChar w:fldCharType="end"/>
      </w:r>
      <w:r>
        <w:rPr>
          <w:rFonts w:ascii="Georgia" w:eastAsia="Georgia" w:hAnsi="Georgia" w:cs="Georgia"/>
        </w:rPr>
        <w:t xml:space="preserve">). In our study, we will also analyze the somatic mutation burden in our feature list. </w:t>
      </w:r>
      <w:r>
        <w:rPr>
          <w:rFonts w:ascii="Georgia" w:eastAsia="Georgia" w:hAnsi="Georgia" w:cs="Georgia"/>
          <w:u w:val="single"/>
        </w:rPr>
        <w:t>Different from the germline mutation burden test, our novel computational framework (called LARVA) is used to directly evaluate the somatic mutation burden in cancer samples.</w:t>
      </w:r>
      <w:r>
        <w:rPr>
          <w:rFonts w:ascii="Georgia" w:eastAsia="Georgia" w:hAnsi="Georgia" w:cs="Georgia"/>
        </w:rPr>
        <w:t xml:space="preserve"> LARVA incorporates a comprehensive list of confounding covariates, which includes replication timing, histone modification marks, chromosome accessibility, and GC content, to precisely calculate a local background mutation rate for somatic burden evaluation. Accordingly, it provides a list of heavily mutated non-coding regulatory regions, and we will compare these results with the germline mutation burden test. Regions that are heavily mutated by both germline and somatic variants should be up-weighted in eleVAR.</w:t>
      </w:r>
    </w:p>
    <w:p w14:paraId="3AAC0004" w14:textId="77777777" w:rsidR="00427F75" w:rsidRDefault="00F76E2A">
      <w:pPr>
        <w:pStyle w:val="normal0"/>
        <w:spacing w:line="240" w:lineRule="auto"/>
      </w:pPr>
      <w:r>
        <w:rPr>
          <w:b/>
        </w:rPr>
        <w:t>D-2-b-</w:t>
      </w:r>
      <w:proofErr w:type="gramStart"/>
      <w:r>
        <w:rPr>
          <w:b/>
        </w:rPr>
        <w:t>v  Round</w:t>
      </w:r>
      <w:proofErr w:type="gramEnd"/>
      <w:r>
        <w:rPr>
          <w:b/>
        </w:rPr>
        <w:t xml:space="preserve"> 2 of tuning using high-throughput experiments done in this project</w:t>
      </w:r>
    </w:p>
    <w:p w14:paraId="738961FB" w14:textId="62E83B29" w:rsidR="00427F75" w:rsidRDefault="00F76E2A">
      <w:pPr>
        <w:pStyle w:val="normal0"/>
        <w:spacing w:line="240" w:lineRule="auto"/>
      </w:pPr>
      <w:r>
        <w:rPr>
          <w:rFonts w:ascii="Georgia" w:eastAsia="Georgia" w:hAnsi="Georgia" w:cs="Georgia"/>
        </w:rPr>
        <w:t>We expect an average of ~40K rare germline variants per genome</w:t>
      </w:r>
      <w:r w:rsidR="00572B35">
        <w:rPr>
          <w:rFonts w:ascii="Georgia" w:eastAsia="Georgia" w:hAnsi="Georgia" w:cs="Georgia"/>
        </w:rPr>
        <w:fldChar w:fldCharType="begin"/>
      </w:r>
      <w:r w:rsidR="00572B35">
        <w:rPr>
          <w:rFonts w:ascii="Georgia" w:eastAsia="Georgia" w:hAnsi="Georgia" w:cs="Georgia"/>
        </w:rPr>
        <w:instrText xml:space="preserve"> ADDIN cite{23128226}</w:instrText>
      </w:r>
      <w:r w:rsidR="00572B35">
        <w:rPr>
          <w:rFonts w:ascii="Georgia" w:eastAsia="Georgia" w:hAnsi="Georgia" w:cs="Georgia"/>
        </w:rPr>
        <w:fldChar w:fldCharType="separate"/>
      </w:r>
      <w:r w:rsidR="00572B35">
        <w:rPr>
          <w:rFonts w:ascii="Times New Roman" w:hAnsi="Times New Roman"/>
          <w:sz w:val="24"/>
          <w:vertAlign w:val="superscript"/>
        </w:rPr>
        <w:t>106</w:t>
      </w:r>
      <w:r w:rsidR="00572B35">
        <w:rPr>
          <w:rFonts w:ascii="Georgia" w:eastAsia="Georgia" w:hAnsi="Georgia" w:cs="Georgia"/>
        </w:rPr>
        <w:fldChar w:fldCharType="end"/>
      </w:r>
      <w:r>
        <w:rPr>
          <w:rFonts w:ascii="Georgia" w:eastAsia="Georgia" w:hAnsi="Georgia" w:cs="Georgia"/>
        </w:rPr>
        <w:t xml:space="preserve">. Since they rarely recur at the exact same position, we anticipate a prioritized list of ~8M variants (=40K * 250 genomes, based on the the expected size of the prostate compendium). We will select 500 functional regions of appreciable size that contain highly 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lower impact. Specifically, we will have a total of 1000 variants (500 with a high impact and 500 with a low impact). Subsequent tuning and refinement of the eleVAR parameters will be based on further experimental characterization of these 1000 variants (500 highly prioritized and 500 lowly, respectively). We will validate these variants through functional genomic screens </w:t>
      </w:r>
      <w:r>
        <w:rPr>
          <w:rFonts w:ascii="Georgia" w:eastAsia="Georgia" w:hAnsi="Georgia" w:cs="Georgia"/>
        </w:rPr>
        <w:lastRenderedPageBreak/>
        <w:t>using the Clone-Seq technology coupled with luciferase reporter assays. Overall, this refinement will be accomplished in two rounds, each round per year, as detailed in Aim 3 and the timeline (Fig 6). Finally, during the last year of the proposed work,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14:paraId="7880D3CA" w14:textId="77777777" w:rsidR="00427F75" w:rsidRDefault="00F76E2A">
      <w:pPr>
        <w:pStyle w:val="normal0"/>
        <w:spacing w:line="240" w:lineRule="auto"/>
      </w:pPr>
      <w:r>
        <w:rPr>
          <w:b/>
        </w:rPr>
        <w:t>D-</w:t>
      </w:r>
      <w:proofErr w:type="gramStart"/>
      <w:r>
        <w:rPr>
          <w:b/>
        </w:rPr>
        <w:t>3  Approach</w:t>
      </w:r>
      <w:proofErr w:type="gramEnd"/>
      <w:r>
        <w:rPr>
          <w:b/>
        </w:rPr>
        <w:t xml:space="preserve"> Aim 3: High-throughput experimental characterization of the prioritized variants</w:t>
      </w:r>
    </w:p>
    <w:p w14:paraId="0149E519" w14:textId="77777777" w:rsidR="00427F75" w:rsidRDefault="00F76E2A">
      <w:pPr>
        <w:pStyle w:val="normal0"/>
        <w:spacing w:line="240" w:lineRule="auto"/>
      </w:pPr>
      <w:r>
        <w:rPr>
          <w:rFonts w:ascii="Georgia" w:eastAsia="Georgia" w:hAnsi="Georgia" w:cs="Georgia"/>
          <w:u w:val="single"/>
        </w:rPr>
        <w:t xml:space="preserve">We will use our </w:t>
      </w:r>
      <w:proofErr w:type="gramStart"/>
      <w:r>
        <w:rPr>
          <w:rFonts w:ascii="Georgia" w:eastAsia="Georgia" w:hAnsi="Georgia" w:cs="Georgia"/>
          <w:u w:val="single"/>
        </w:rPr>
        <w:t>massively-parallel</w:t>
      </w:r>
      <w:proofErr w:type="gramEnd"/>
      <w:r>
        <w:rPr>
          <w:rFonts w:ascii="Georgia" w:eastAsia="Georgia" w:hAnsi="Georgia" w:cs="Georgia"/>
          <w:u w:val="single"/>
        </w:rPr>
        <w:t xml:space="preserve"> Clone-seq pipeline and high-throughput luciferase reporter assays to clone and examine 1200 SNVs on 600 enhancer elements to experimentally characterize their impact on gene regulation to fine tune and validate our eleVAR pipeline.</w:t>
      </w:r>
    </w:p>
    <w:p w14:paraId="0AE6952D" w14:textId="77777777" w:rsidR="00427F75" w:rsidRDefault="00F76E2A">
      <w:pPr>
        <w:pStyle w:val="normal0"/>
        <w:spacing w:line="240" w:lineRule="auto"/>
      </w:pPr>
      <w:r>
        <w:rPr>
          <w:b/>
        </w:rPr>
        <w:t>D-3-</w:t>
      </w:r>
      <w:proofErr w:type="gramStart"/>
      <w:r>
        <w:rPr>
          <w:b/>
        </w:rPr>
        <w:t>a  Preliminary</w:t>
      </w:r>
      <w:proofErr w:type="gramEnd"/>
      <w:r>
        <w:rPr>
          <w:b/>
        </w:rPr>
        <w:t xml:space="preserve"> results related to experimental characterization</w:t>
      </w:r>
    </w:p>
    <w:p w14:paraId="4AF58F74" w14:textId="77777777" w:rsidR="00427F75" w:rsidRDefault="00F76E2A">
      <w:pPr>
        <w:pStyle w:val="normal0"/>
        <w:spacing w:line="240" w:lineRule="auto"/>
      </w:pPr>
      <w:r>
        <w:rPr>
          <w:b/>
        </w:rPr>
        <w:t>D-3-a-</w:t>
      </w:r>
      <w:proofErr w:type="gramStart"/>
      <w:r>
        <w:rPr>
          <w:b/>
        </w:rPr>
        <w:t>i  Performance</w:t>
      </w:r>
      <w:proofErr w:type="gramEnd"/>
      <w:r>
        <w:rPr>
          <w:b/>
        </w:rPr>
        <w:t>, throughput, and cost of our Clone-Seq pipeline</w:t>
      </w:r>
    </w:p>
    <w:p w14:paraId="498D2BA5" w14:textId="7A9F23A8" w:rsidR="00427F75" w:rsidRDefault="00F76E2A">
      <w:pPr>
        <w:pStyle w:val="normal0"/>
        <w:spacing w:after="40" w:line="240" w:lineRule="auto"/>
      </w:pPr>
      <w:r>
        <w:rPr>
          <w:rFonts w:ascii="Georgia" w:eastAsia="Georgia" w:hAnsi="Georgia" w:cs="Georgia"/>
        </w:rPr>
        <w:t xml:space="preserve">To set up our Clone-Seq pipeline (Fig 5), we attempted to generate clones for 1034 mutations on 223 genes, including 40 mutations for </w:t>
      </w:r>
      <w:r>
        <w:rPr>
          <w:rFonts w:ascii="Georgia" w:eastAsia="Georgia" w:hAnsi="Georgia" w:cs="Georgia"/>
          <w:i/>
        </w:rPr>
        <w:t>MLH1</w:t>
      </w:r>
      <w:r>
        <w:rPr>
          <w:rFonts w:ascii="Georgia" w:eastAsia="Georgia" w:hAnsi="Georgia" w:cs="Georgia"/>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Pr>
          <w:rFonts w:ascii="Georgia" w:eastAsia="Georgia" w:hAnsi="Georgia" w:cs="Georgia"/>
          <w:i/>
        </w:rPr>
        <w:t>MLH1</w:t>
      </w:r>
      <w:r>
        <w:rPr>
          <w:rFonts w:ascii="Georgia" w:eastAsia="Georgia" w:hAnsi="Georgia" w:cs="Georgia"/>
        </w:rPr>
        <w:t xml:space="preserve"> mutations. Normally 100× sequencing coverage is sufficient for even a conservative variant calling pipeline to identify mutations with high confidence</w:t>
      </w:r>
      <w:r w:rsidR="00572B35">
        <w:rPr>
          <w:rFonts w:ascii="Georgia" w:eastAsia="Georgia" w:hAnsi="Georgia" w:cs="Georgia"/>
        </w:rPr>
        <w:fldChar w:fldCharType="begin"/>
      </w:r>
      <w:r w:rsidR="00572B35">
        <w:rPr>
          <w:rFonts w:ascii="Georgia" w:eastAsia="Georgia" w:hAnsi="Georgia" w:cs="Georgia"/>
        </w:rPr>
        <w:instrText xml:space="preserve"> ADDIN cite{23201682,23128226}</w:instrText>
      </w:r>
      <w:r w:rsidR="00572B35">
        <w:rPr>
          <w:rFonts w:ascii="Georgia" w:eastAsia="Georgia" w:hAnsi="Georgia" w:cs="Georgia"/>
        </w:rPr>
        <w:fldChar w:fldCharType="separate"/>
      </w:r>
      <w:r w:rsidR="00572B35">
        <w:rPr>
          <w:rFonts w:ascii="Times New Roman" w:hAnsi="Times New Roman"/>
          <w:sz w:val="24"/>
          <w:vertAlign w:val="superscript"/>
        </w:rPr>
        <w:t>106, 125</w:t>
      </w:r>
      <w:r w:rsidR="00572B35">
        <w:rPr>
          <w:rFonts w:ascii="Georgia" w:eastAsia="Georgia" w:hAnsi="Georgia" w:cs="Georgia"/>
        </w:rPr>
        <w:fldChar w:fldCharType="end"/>
      </w:r>
      <w:r>
        <w:rPr>
          <w:rFonts w:ascii="Georgia" w:eastAsia="Georgia" w:hAnsi="Georgia" w:cs="Georgia"/>
        </w:rPr>
        <w:t xml:space="preserve">. The average coverage of these 1034 alleles is &gt; 300×. Therefore, </w:t>
      </w:r>
      <w:r>
        <w:rPr>
          <w:rFonts w:ascii="Georgia" w:eastAsia="Georgia" w:hAnsi="Georgia" w:cs="Georgia"/>
          <w:u w:val="single"/>
        </w:rPr>
        <w:t>our Clone-Seq pipeline has the capacity to generate &gt; 3,000 mutations in one full lane of a HiSeq run with 1×100 bp reads, drastically improving the throughput and decreasing overall sequencing costs by at least 10-fold</w:t>
      </w:r>
      <w:r w:rsidR="00572B35">
        <w:rPr>
          <w:rFonts w:ascii="Georgia" w:eastAsia="Georgia" w:hAnsi="Georgia" w:cs="Georgia"/>
          <w:u w:val="single"/>
        </w:rPr>
        <w:fldChar w:fldCharType="begin"/>
      </w:r>
      <w:r w:rsidR="00572B35">
        <w:rPr>
          <w:rFonts w:ascii="Georgia" w:eastAsia="Georgia" w:hAnsi="Georgia" w:cs="Georgia"/>
          <w:u w:val="single"/>
        </w:rPr>
        <w:instrText xml:space="preserve"> ADDIN cite{25502805}</w:instrText>
      </w:r>
      <w:r w:rsidR="00572B35">
        <w:rPr>
          <w:rFonts w:ascii="Georgia" w:eastAsia="Georgia" w:hAnsi="Georgia" w:cs="Georgia"/>
          <w:u w:val="single"/>
        </w:rPr>
        <w:fldChar w:fldCharType="separate"/>
      </w:r>
      <w:r w:rsidR="00572B35">
        <w:rPr>
          <w:rFonts w:ascii="Times New Roman" w:hAnsi="Times New Roman"/>
          <w:sz w:val="24"/>
          <w:vertAlign w:val="superscript"/>
        </w:rPr>
        <w:t>1</w:t>
      </w:r>
      <w:r w:rsidR="00572B35">
        <w:rPr>
          <w:rFonts w:ascii="Georgia" w:eastAsia="Georgia" w:hAnsi="Georgia" w:cs="Georgia"/>
          <w:u w:val="single"/>
        </w:rPr>
        <w:fldChar w:fldCharType="end"/>
      </w:r>
      <w:r>
        <w:rPr>
          <w:rFonts w:ascii="Georgia" w:eastAsia="Georgia" w:hAnsi="Georgia" w:cs="Georgia"/>
          <w:u w:val="single"/>
        </w:rPr>
        <w:t>.</w:t>
      </w:r>
    </w:p>
    <w:p w14:paraId="47D03AA6" w14:textId="74E6D09C" w:rsidR="00427F75" w:rsidRDefault="00F76E2A">
      <w:pPr>
        <w:pStyle w:val="normal0"/>
        <w:spacing w:after="40" w:line="240" w:lineRule="auto"/>
        <w:ind w:firstLine="720"/>
      </w:pPr>
      <w:r>
        <w:rPr>
          <w:rFonts w:ascii="Georgia" w:eastAsia="Georgia" w:hAnsi="Georgia" w:cs="Georgia"/>
        </w:rPr>
        <w:t>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w:t>
      </w:r>
      <w:r w:rsidR="00572B35">
        <w:rPr>
          <w:rFonts w:ascii="Georgia" w:eastAsia="Georgia" w:hAnsi="Georgia" w:cs="Georgia"/>
        </w:rPr>
        <w:fldChar w:fldCharType="begin"/>
      </w:r>
      <w:r w:rsidR="00572B35">
        <w:rPr>
          <w:rFonts w:ascii="Georgia" w:eastAsia="Georgia" w:hAnsi="Georgia" w:cs="Georgia"/>
        </w:rPr>
        <w:instrText xml:space="preserve"> ADDIN cite{21906038}</w:instrText>
      </w:r>
      <w:r w:rsidR="00572B35">
        <w:rPr>
          <w:rFonts w:ascii="Georgia" w:eastAsia="Georgia" w:hAnsi="Georgia" w:cs="Georgia"/>
        </w:rPr>
        <w:fldChar w:fldCharType="separate"/>
      </w:r>
      <w:r w:rsidR="00572B35">
        <w:rPr>
          <w:rFonts w:ascii="Times New Roman" w:hAnsi="Times New Roman"/>
          <w:sz w:val="24"/>
          <w:vertAlign w:val="superscript"/>
        </w:rPr>
        <w:t>126</w:t>
      </w:r>
      <w:r w:rsidR="00572B35">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The detection of unwanted mutations, especially those distant from the mutation of interest, is achieved in traditional site-directed mutagenesis pipelines by Sanger sequencing through the gene of interest</w:t>
      </w:r>
      <w:proofErr w:type="gramEnd"/>
      <w:r>
        <w:rPr>
          <w:rFonts w:ascii="Georgia" w:eastAsia="Georgia" w:hAnsi="Georgia" w:cs="Georgia"/>
        </w:rPr>
        <w:t>. This is costly and labor-intensive, especially because multiple sequencing runs and internal primers are needed for one long gene.</w:t>
      </w:r>
    </w:p>
    <w:p w14:paraId="1A66C6C0" w14:textId="77777777" w:rsidR="00427F75" w:rsidRDefault="00F76E2A">
      <w:pPr>
        <w:pStyle w:val="normal0"/>
        <w:spacing w:after="40" w:line="240" w:lineRule="auto"/>
        <w:ind w:firstLine="720"/>
      </w:pPr>
      <w:r>
        <w:rPr>
          <w:rFonts w:ascii="Georgia" w:eastAsia="Georgia" w:hAnsi="Georgia" w:cs="Georgia"/>
          <w:u w:val="single"/>
        </w:rPr>
        <w:t>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p>
    <w:p w14:paraId="73E3826C" w14:textId="77777777" w:rsidR="00427F75" w:rsidRDefault="00F76E2A">
      <w:pPr>
        <w:pStyle w:val="normal0"/>
        <w:spacing w:after="40" w:line="240" w:lineRule="auto"/>
      </w:pPr>
      <w:r>
        <w:rPr>
          <w:b/>
        </w:rPr>
        <w:t>D-3-a-</w:t>
      </w:r>
      <w:proofErr w:type="gramStart"/>
      <w:r>
        <w:rPr>
          <w:b/>
        </w:rPr>
        <w:t>ii  Experience</w:t>
      </w:r>
      <w:proofErr w:type="gramEnd"/>
      <w:r>
        <w:rPr>
          <w:b/>
        </w:rPr>
        <w:t xml:space="preserve"> with luciferase reporter assays confirming validity of </w:t>
      </w:r>
      <w:r>
        <w:rPr>
          <w:b/>
          <w:i/>
        </w:rPr>
        <w:t>in silico</w:t>
      </w:r>
      <w:r>
        <w:rPr>
          <w:b/>
        </w:rPr>
        <w:t xml:space="preserve"> TF binding sites</w:t>
      </w:r>
    </w:p>
    <w:p w14:paraId="7A0F5ECB" w14:textId="658CEA3A" w:rsidR="00427F75" w:rsidRDefault="00F76E2A">
      <w:pPr>
        <w:pStyle w:val="normal0"/>
        <w:spacing w:line="240" w:lineRule="auto"/>
      </w:pPr>
      <w:r>
        <w:rPr>
          <w:rFonts w:ascii="Georgia" w:eastAsia="Georgia" w:hAnsi="Georgia" w:cs="Georgia"/>
        </w:rPr>
        <w:t>We have a great amount of experience with developing reporte</w:t>
      </w:r>
      <w:r w:rsidR="00AF2A36">
        <w:rPr>
          <w:rFonts w:ascii="Georgia" w:eastAsia="Georgia" w:hAnsi="Georgia" w:cs="Georgia"/>
        </w:rPr>
        <w:t xml:space="preserve">r assays for TF binding </w:t>
      </w:r>
      <w:r w:rsidR="00572B35">
        <w:rPr>
          <w:rFonts w:ascii="Georgia" w:eastAsia="Georgia" w:hAnsi="Georgia" w:cs="Georgia"/>
        </w:rPr>
        <w:fldChar w:fldCharType="begin"/>
      </w:r>
      <w:r w:rsidR="00572B35">
        <w:rPr>
          <w:rFonts w:ascii="Georgia" w:eastAsia="Georgia" w:hAnsi="Georgia" w:cs="Georgia"/>
        </w:rPr>
        <w:instrText xml:space="preserve"> ADDIN cite{25415230,22086908,18559538}</w:instrText>
      </w:r>
      <w:r w:rsidR="00572B35">
        <w:rPr>
          <w:rFonts w:ascii="Georgia" w:eastAsia="Georgia" w:hAnsi="Georgia" w:cs="Georgia"/>
        </w:rPr>
        <w:fldChar w:fldCharType="separate"/>
      </w:r>
      <w:r w:rsidR="00572B35">
        <w:rPr>
          <w:rFonts w:ascii="Times New Roman" w:hAnsi="Times New Roman"/>
          <w:sz w:val="24"/>
          <w:vertAlign w:val="superscript"/>
        </w:rPr>
        <w:t>127, 128, 129</w:t>
      </w:r>
      <w:r w:rsidR="00572B35">
        <w:rPr>
          <w:rFonts w:ascii="Georgia" w:eastAsia="Georgia" w:hAnsi="Georgia" w:cs="Georgia"/>
        </w:rPr>
        <w:fldChar w:fldCharType="end"/>
      </w:r>
      <w:r>
        <w:rPr>
          <w:rFonts w:ascii="Georgia" w:eastAsia="Georgia" w:hAnsi="Georgia" w:cs="Georgia"/>
        </w:rPr>
        <w:t xml:space="preserve">. In particular, we have done an earlier study where we have used luciferase reporter assays to demonstrate the transcriptional regulation of several prostate cancer genes by ERα and </w:t>
      </w:r>
      <w:r w:rsidR="00AF2A36">
        <w:rPr>
          <w:rFonts w:ascii="Georgia" w:eastAsia="Georgia" w:hAnsi="Georgia" w:cs="Georgia"/>
        </w:rPr>
        <w:t>the long non-coding RNA, NEAT1</w:t>
      </w:r>
      <w:r w:rsidR="00572B35">
        <w:rPr>
          <w:rFonts w:ascii="Georgia" w:eastAsia="Georgia" w:hAnsi="Georgia" w:cs="Georgia"/>
        </w:rPr>
        <w:fldChar w:fldCharType="begin"/>
      </w:r>
      <w:r w:rsidR="00572B35">
        <w:rPr>
          <w:rFonts w:ascii="Georgia" w:eastAsia="Georgia" w:hAnsi="Georgia" w:cs="Georgia"/>
        </w:rPr>
        <w:instrText xml:space="preserve"> ADDIN cite{25415230}</w:instrText>
      </w:r>
      <w:r w:rsidR="00572B35">
        <w:rPr>
          <w:rFonts w:ascii="Georgia" w:eastAsia="Georgia" w:hAnsi="Georgia" w:cs="Georgia"/>
        </w:rPr>
        <w:fldChar w:fldCharType="separate"/>
      </w:r>
      <w:r w:rsidR="00572B35">
        <w:rPr>
          <w:rFonts w:ascii="Times New Roman" w:hAnsi="Times New Roman"/>
          <w:sz w:val="24"/>
          <w:vertAlign w:val="superscript"/>
        </w:rPr>
        <w:t>127</w:t>
      </w:r>
      <w:r w:rsidR="00572B35">
        <w:rPr>
          <w:rFonts w:ascii="Georgia" w:eastAsia="Georgia" w:hAnsi="Georgia" w:cs="Georgia"/>
        </w:rPr>
        <w:fldChar w:fldCharType="end"/>
      </w:r>
      <w:r>
        <w:rPr>
          <w:rFonts w:ascii="Georgia" w:eastAsia="Georgia" w:hAnsi="Georgia" w:cs="Georgia"/>
        </w:rPr>
        <w:t>. 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7).</w:t>
      </w:r>
    </w:p>
    <w:p w14:paraId="3AB491CD" w14:textId="77777777" w:rsidR="00427F75" w:rsidRDefault="00F76E2A">
      <w:pPr>
        <w:pStyle w:val="normal0"/>
        <w:spacing w:line="240" w:lineRule="auto"/>
      </w:pPr>
      <w:r>
        <w:rPr>
          <w:b/>
        </w:rPr>
        <w:t>D-3-</w:t>
      </w:r>
      <w:proofErr w:type="gramStart"/>
      <w:r>
        <w:rPr>
          <w:b/>
        </w:rPr>
        <w:t>b  Research</w:t>
      </w:r>
      <w:proofErr w:type="gramEnd"/>
      <w:r>
        <w:rPr>
          <w:b/>
        </w:rPr>
        <w:t xml:space="preserve"> plan related to validation</w:t>
      </w:r>
    </w:p>
    <w:p w14:paraId="3C4A2949" w14:textId="77777777" w:rsidR="00427F75" w:rsidRDefault="00F76E2A">
      <w:pPr>
        <w:pStyle w:val="normal0"/>
        <w:spacing w:line="240" w:lineRule="auto"/>
      </w:pPr>
      <w:r>
        <w:rPr>
          <w:b/>
        </w:rPr>
        <w:t>D-3-b-</w:t>
      </w:r>
      <w:proofErr w:type="gramStart"/>
      <w:r>
        <w:rPr>
          <w:b/>
        </w:rPr>
        <w:t>i  Overview</w:t>
      </w:r>
      <w:proofErr w:type="gramEnd"/>
      <w:r>
        <w:rPr>
          <w:b/>
        </w:rPr>
        <w:t xml:space="preserve"> of validation strategy</w:t>
      </w:r>
    </w:p>
    <w:p w14:paraId="041E97C3" w14:textId="77777777" w:rsidR="00427F75" w:rsidRDefault="00F76E2A">
      <w:pPr>
        <w:pStyle w:val="normal0"/>
        <w:spacing w:line="240" w:lineRule="auto"/>
      </w:pPr>
      <w:r>
        <w:rPr>
          <w:rFonts w:ascii="Georgia" w:eastAsia="Georgia" w:hAnsi="Georgia" w:cs="Georgia"/>
        </w:rPr>
        <w:t xml:space="preserve">Because of the throughput of our Clone-Seq and luciferase reporter assays, we will perform iterative learning and validation in three rounds. In each of the first two rounds, we will select and clone 250 enhancer elements and two variants on each </w:t>
      </w:r>
      <w:proofErr w:type="gramStart"/>
      <w:r>
        <w:rPr>
          <w:rFonts w:ascii="Georgia" w:eastAsia="Georgia" w:hAnsi="Georgia" w:cs="Georgia"/>
        </w:rPr>
        <w:t>elements</w:t>
      </w:r>
      <w:proofErr w:type="gramEnd"/>
      <w:r>
        <w:rPr>
          <w:rFonts w:ascii="Georgia" w:eastAsia="Georgia" w:hAnsi="Georgia" w:cs="Georgia"/>
        </w:rPr>
        <w:t xml:space="preserve"> that have high and low eleVAR scores, respectively (500 variants total per round). Based on the reporter assay results, we will fine-tune the parameters of the learning algorithm (as described in </w:t>
      </w:r>
      <w:r>
        <w:rPr>
          <w:rFonts w:ascii="Georgia" w:eastAsia="Georgia" w:hAnsi="Georgia" w:cs="Georgia"/>
          <w:b/>
        </w:rPr>
        <w:t>Aim 2</w:t>
      </w:r>
      <w:r>
        <w:rPr>
          <w:rFonts w:ascii="Georgia" w:eastAsia="Georgia" w:hAnsi="Georgia" w:cs="Georgia"/>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Pr>
          <w:rFonts w:ascii="Georgia" w:eastAsia="Georgia" w:hAnsi="Georgia" w:cs="Georgia"/>
          <w:i/>
        </w:rPr>
        <w:t>in vivo</w:t>
      </w:r>
      <w:r>
        <w:rPr>
          <w:rFonts w:ascii="Georgia" w:eastAsia="Georgia" w:hAnsi="Georgia" w:cs="Georgia"/>
        </w:rPr>
        <w:t xml:space="preserve"> validations, as described in </w:t>
      </w:r>
      <w:r>
        <w:rPr>
          <w:rFonts w:ascii="Georgia" w:eastAsia="Georgia" w:hAnsi="Georgia" w:cs="Georgia"/>
          <w:b/>
        </w:rPr>
        <w:t>Aim 4</w:t>
      </w:r>
      <w:r>
        <w:rPr>
          <w:rFonts w:ascii="Georgia" w:eastAsia="Georgia" w:hAnsi="Georgia" w:cs="Georgia"/>
        </w:rPr>
        <w:t>.</w:t>
      </w:r>
    </w:p>
    <w:p w14:paraId="24B0B6D5" w14:textId="77777777" w:rsidR="00427F75" w:rsidRDefault="00F76E2A">
      <w:pPr>
        <w:pStyle w:val="normal0"/>
        <w:spacing w:line="240" w:lineRule="auto"/>
      </w:pPr>
      <w:r>
        <w:rPr>
          <w:b/>
        </w:rPr>
        <w:t>D-3-b-i</w:t>
      </w:r>
      <w:proofErr w:type="gramStart"/>
      <w:r>
        <w:rPr>
          <w:b/>
        </w:rPr>
        <w:t>-(</w:t>
      </w:r>
      <w:proofErr w:type="gramEnd"/>
      <w:r>
        <w:rPr>
          <w:b/>
        </w:rPr>
        <w:t>1)  High-throughput cloning of ~600 WT enhancer elements</w:t>
      </w:r>
    </w:p>
    <w:p w14:paraId="2A62DC8D" w14:textId="65077BE9" w:rsidR="00427F75" w:rsidRDefault="00F76E2A">
      <w:pPr>
        <w:pStyle w:val="normal0"/>
        <w:spacing w:line="240" w:lineRule="auto"/>
      </w:pPr>
      <w:r>
        <w:rPr>
          <w:rFonts w:ascii="Georgia" w:eastAsia="Georgia" w:hAnsi="Georgia" w:cs="Georgia"/>
        </w:rPr>
        <w:t>WT enhancer elements will be amplified using human genomic DNA as template with forward and reverse sequence-specific primers that are combined with attB1 and attB2 sequences, respectively</w:t>
      </w:r>
      <w:r w:rsidR="00572B35">
        <w:rPr>
          <w:rFonts w:ascii="Georgia" w:eastAsia="Georgia" w:hAnsi="Georgia" w:cs="Georgia"/>
        </w:rPr>
        <w:fldChar w:fldCharType="begin"/>
      </w:r>
      <w:r w:rsidR="00572B35">
        <w:rPr>
          <w:rFonts w:ascii="Georgia" w:eastAsia="Georgia" w:hAnsi="Georgia" w:cs="Georgia"/>
        </w:rPr>
        <w:instrText xml:space="preserve"> ADDIN cite{17207965}</w:instrText>
      </w:r>
      <w:r w:rsidR="00572B35">
        <w:rPr>
          <w:rFonts w:ascii="Georgia" w:eastAsia="Georgia" w:hAnsi="Georgia" w:cs="Georgia"/>
        </w:rPr>
        <w:fldChar w:fldCharType="separate"/>
      </w:r>
      <w:r w:rsidR="00572B35">
        <w:rPr>
          <w:rFonts w:ascii="Times New Roman" w:hAnsi="Times New Roman"/>
          <w:sz w:val="24"/>
          <w:vertAlign w:val="superscript"/>
        </w:rPr>
        <w:t>130</w:t>
      </w:r>
      <w:r w:rsidR="00572B35">
        <w:rPr>
          <w:rFonts w:ascii="Georgia" w:eastAsia="Georgia" w:hAnsi="Georgia" w:cs="Georgia"/>
        </w:rPr>
        <w:fldChar w:fldCharType="end"/>
      </w:r>
      <w:r>
        <w:rPr>
          <w:rFonts w:ascii="Georgia" w:eastAsia="Georgia" w:hAnsi="Georgia" w:cs="Georgia"/>
        </w:rPr>
        <w:t xml:space="preserve">. We will perform </w:t>
      </w:r>
      <w:r>
        <w:rPr>
          <w:rFonts w:ascii="Georgia" w:eastAsia="Georgia" w:hAnsi="Georgia" w:cs="Georgia"/>
        </w:rPr>
        <w:lastRenderedPageBreak/>
        <w:t xml:space="preserve">large-scale Gateway BP reactions to clone each PCR product into a pDONR223 vector. High-throughput </w:t>
      </w:r>
      <w:r>
        <w:rPr>
          <w:rFonts w:ascii="Georgia" w:eastAsia="Georgia" w:hAnsi="Georgia" w:cs="Georgia"/>
          <w:i/>
        </w:rPr>
        <w:t xml:space="preserve">E. coli </w:t>
      </w:r>
      <w:r>
        <w:rPr>
          <w:rFonts w:ascii="Georgia" w:eastAsia="Georgia" w:hAnsi="Georgia" w:cs="Georgia"/>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 </w:t>
      </w:r>
    </w:p>
    <w:p w14:paraId="2DB3D887" w14:textId="77777777" w:rsidR="00427F75" w:rsidRDefault="00F76E2A">
      <w:pPr>
        <w:pStyle w:val="normal0"/>
        <w:spacing w:line="240" w:lineRule="auto"/>
      </w:pPr>
      <w:r>
        <w:rPr>
          <w:b/>
        </w:rPr>
        <w:t>D-3-b-i</w:t>
      </w:r>
      <w:proofErr w:type="gramStart"/>
      <w:r>
        <w:rPr>
          <w:b/>
        </w:rPr>
        <w:t>-(</w:t>
      </w:r>
      <w:proofErr w:type="gramEnd"/>
      <w:r>
        <w:rPr>
          <w:b/>
        </w:rPr>
        <w:t>2)  Illumina library preparation and HiSeq sequencing</w:t>
      </w:r>
    </w:p>
    <w:p w14:paraId="67867B92" w14:textId="77777777" w:rsidR="00427F75" w:rsidRDefault="00F76E2A">
      <w:pPr>
        <w:pStyle w:val="normal0"/>
        <w:spacing w:line="240" w:lineRule="auto"/>
      </w:pP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rPr>
        <w:t xml:space="preserve"> cells for all four colonies of all WT alleles are individually cultured in 96-well deepwell plates overnight to the same OD</w:t>
      </w:r>
      <w:r>
        <w:rPr>
          <w:rFonts w:ascii="Georgia" w:eastAsia="Georgia" w:hAnsi="Georgia" w:cs="Georgia"/>
          <w:vertAlign w:val="subscript"/>
        </w:rPr>
        <w:t>600</w:t>
      </w:r>
      <w:r>
        <w:rPr>
          <w:rFonts w:ascii="Georgia" w:eastAsia="Georgia" w:hAnsi="Georgia" w:cs="Georgia"/>
        </w:rPr>
        <w:t>.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14:paraId="2D3F89A6" w14:textId="77777777" w:rsidR="00427F75" w:rsidRDefault="00F76E2A">
      <w:pPr>
        <w:pStyle w:val="normal0"/>
        <w:spacing w:line="240" w:lineRule="auto"/>
      </w:pPr>
      <w:r>
        <w:rPr>
          <w:b/>
        </w:rPr>
        <w:t>D-3-b-i</w:t>
      </w:r>
      <w:proofErr w:type="gramStart"/>
      <w:r>
        <w:rPr>
          <w:b/>
        </w:rPr>
        <w:t>-(</w:t>
      </w:r>
      <w:proofErr w:type="gramEnd"/>
      <w:r>
        <w:rPr>
          <w:b/>
        </w:rPr>
        <w:t>3)  High-throughput cloning of ~1200 mutant enhancers using Clone-Seq</w:t>
      </w:r>
    </w:p>
    <w:p w14:paraId="79907793" w14:textId="07261A1E" w:rsidR="00427F75" w:rsidRDefault="00F76E2A">
      <w:pPr>
        <w:pStyle w:val="normal0"/>
        <w:spacing w:line="240" w:lineRule="auto"/>
      </w:pPr>
      <w:r>
        <w:rPr>
          <w:rFonts w:ascii="Georgia" w:eastAsia="Georgia" w:hAnsi="Georgia" w:cs="Georgia"/>
        </w:rPr>
        <w:t>Primers for site-directed mutagenesis are designed by our automated web tool</w:t>
      </w:r>
      <w:r w:rsidR="00572B35">
        <w:rPr>
          <w:rFonts w:ascii="Georgia" w:eastAsia="Georgia" w:hAnsi="Georgia" w:cs="Georgia"/>
        </w:rPr>
        <w:fldChar w:fldCharType="begin"/>
      </w:r>
      <w:r w:rsidR="00572B35">
        <w:rPr>
          <w:rFonts w:ascii="Georgia" w:eastAsia="Georgia" w:hAnsi="Georgia" w:cs="Georgia"/>
        </w:rPr>
        <w:instrText xml:space="preserve"> ADDIN cite{0000012}</w:instrText>
      </w:r>
      <w:r w:rsidR="00572B35">
        <w:rPr>
          <w:rFonts w:ascii="Georgia" w:eastAsia="Georgia" w:hAnsi="Georgia" w:cs="Georgia"/>
        </w:rPr>
        <w:fldChar w:fldCharType="separate"/>
      </w:r>
      <w:r w:rsidR="00572B35">
        <w:rPr>
          <w:rFonts w:ascii="Times New Roman" w:hAnsi="Times New Roman"/>
          <w:sz w:val="24"/>
          <w:vertAlign w:val="superscript"/>
        </w:rPr>
        <w:t>131</w:t>
      </w:r>
      <w:r w:rsidR="00572B35">
        <w:rPr>
          <w:rFonts w:ascii="Georgia" w:eastAsia="Georgia" w:hAnsi="Georgia" w:cs="Georgia"/>
        </w:rPr>
        <w:fldChar w:fldCharType="end"/>
      </w:r>
      <w:r>
        <w:rPr>
          <w:rFonts w:ascii="Georgia" w:eastAsia="Georgia" w:hAnsi="Georgia" w:cs="Georgia"/>
        </w:rPr>
        <w:t xml:space="preserve">. 50 µL mutagenesis PCR reactions are set up on ice in 96-well PCR plates using Phusion polymerase. </w:t>
      </w:r>
      <w:r>
        <w:rPr>
          <w:rFonts w:ascii="Georgia" w:eastAsia="Georgia" w:hAnsi="Georgia" w:cs="Georgia"/>
          <w:i/>
        </w:rPr>
        <w:t>DpnI</w:t>
      </w:r>
      <w:r>
        <w:rPr>
          <w:rFonts w:ascii="Georgia" w:eastAsia="Georgia" w:hAnsi="Georgia" w:cs="Georgia"/>
        </w:rPr>
        <w:t xml:space="preserve">-digested PCR products are used for </w:t>
      </w:r>
      <w:r>
        <w:rPr>
          <w:rFonts w:ascii="Georgia" w:eastAsia="Georgia" w:hAnsi="Georgia" w:cs="Georgia"/>
          <w:i/>
        </w:rPr>
        <w:t>E. coli</w:t>
      </w:r>
      <w:r>
        <w:rPr>
          <w:rFonts w:ascii="Georgia" w:eastAsia="Georgia" w:hAnsi="Georgia" w:cs="Georgia"/>
        </w:rPr>
        <w:t xml:space="preserve"> transformation as described above. The next day, four colonies per allele are picked for Illumina sequencing.</w:t>
      </w:r>
    </w:p>
    <w:p w14:paraId="36482D2D" w14:textId="77777777" w:rsidR="00427F75" w:rsidRDefault="00F76E2A">
      <w:pPr>
        <w:pStyle w:val="normal0"/>
        <w:spacing w:line="240" w:lineRule="auto"/>
      </w:pPr>
      <w:r>
        <w:rPr>
          <w:b/>
        </w:rPr>
        <w:t>D-3-b-i</w:t>
      </w:r>
      <w:proofErr w:type="gramStart"/>
      <w:r>
        <w:rPr>
          <w:b/>
        </w:rPr>
        <w:t>-(</w:t>
      </w:r>
      <w:proofErr w:type="gramEnd"/>
      <w:r>
        <w:rPr>
          <w:b/>
        </w:rPr>
        <w:t>4)  Functional consequences: luciferase reporter assays</w:t>
      </w:r>
    </w:p>
    <w:p w14:paraId="09F9EB0C" w14:textId="77777777" w:rsidR="00427F75" w:rsidRDefault="00F76E2A">
      <w:pPr>
        <w:pStyle w:val="normal0"/>
        <w:spacing w:line="240" w:lineRule="auto"/>
      </w:pPr>
      <w:r>
        <w:rPr>
          <w:rFonts w:ascii="Georgia" w:eastAsia="Georgia" w:hAnsi="Georgia" w:cs="Georgia"/>
        </w:rPr>
        <w:t xml:space="preserve">Reporter assays that employ either luciferase or next-generation reporter vectors can provide direct insight into the functional relevance of SNPs on target genes. We use a Gateway-compatible version of the firefly luciferase reporter vector, pGL4.23-GW (Addgene 60323). All WT and mutant enhancer constructs will be cloned into pGL4.23-GW through large-scale Gateway LR reactions. After </w:t>
      </w:r>
      <w:r>
        <w:rPr>
          <w:rFonts w:ascii="Georgia" w:eastAsia="Georgia" w:hAnsi="Georgia" w:cs="Georgia"/>
          <w:i/>
        </w:rPr>
        <w:t>E. coli</w:t>
      </w:r>
      <w:r>
        <w:rPr>
          <w:rFonts w:ascii="Georgia" w:eastAsia="Georgia" w:hAnsi="Georgia" w:cs="Georgia"/>
        </w:rPr>
        <w:t xml:space="preserve"> transformation, individual DNA plasmids for all WT and mutant clones are mini prepped using our </w:t>
      </w:r>
      <w:proofErr w:type="gramStart"/>
      <w:r>
        <w:rPr>
          <w:rFonts w:ascii="Georgia" w:eastAsia="Georgia" w:hAnsi="Georgia" w:cs="Georgia"/>
        </w:rPr>
        <w:t>fully-automated</w:t>
      </w:r>
      <w:proofErr w:type="gramEnd"/>
      <w:r>
        <w:rPr>
          <w:rFonts w:ascii="Georgia" w:eastAsia="Georgia" w:hAnsi="Georgia" w:cs="Georgia"/>
        </w:rPr>
        <w:t xml:space="preserve"> 96-well miniprep pipeline.</w:t>
      </w:r>
    </w:p>
    <w:p w14:paraId="53BADAB7" w14:textId="77777777" w:rsidR="00427F75" w:rsidRDefault="00F76E2A">
      <w:pPr>
        <w:pStyle w:val="normal0"/>
        <w:spacing w:line="240" w:lineRule="auto"/>
        <w:ind w:firstLine="720"/>
      </w:pPr>
      <w:r>
        <w:rPr>
          <w:rFonts w:ascii="Georgia" w:eastAsia="Georgia" w:hAnsi="Georgia" w:cs="Georgia"/>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the manufacturer’s instructions (Promega E2940). Assay values will be normalized using internal renilla luciferase as a control. Our expectation is that </w:t>
      </w:r>
      <w:r>
        <w:rPr>
          <w:rFonts w:ascii="Georgia" w:eastAsia="Georgia" w:hAnsi="Georgia" w:cs="Georgia"/>
          <w:i/>
        </w:rPr>
        <w:t>in vitro</w:t>
      </w:r>
      <w:r>
        <w:rPr>
          <w:rFonts w:ascii="Georgia" w:eastAsia="Georgia" w:hAnsi="Georgia" w:cs="Georgia"/>
        </w:rPr>
        <w:t xml:space="preserve"> luciferase assays will inform us if a particular mutation had any effect on transcription.</w:t>
      </w:r>
    </w:p>
    <w:p w14:paraId="42657087" w14:textId="77777777" w:rsidR="00427F75" w:rsidRDefault="00F76E2A">
      <w:pPr>
        <w:pStyle w:val="normal0"/>
        <w:spacing w:line="240" w:lineRule="auto"/>
      </w:pPr>
      <w:r>
        <w:rPr>
          <w:b/>
        </w:rPr>
        <w:t>D-</w:t>
      </w:r>
      <w:proofErr w:type="gramStart"/>
      <w:r>
        <w:rPr>
          <w:b/>
        </w:rPr>
        <w:t>4  Detailed</w:t>
      </w:r>
      <w:proofErr w:type="gramEnd"/>
      <w:r>
        <w:rPr>
          <w:b/>
        </w:rPr>
        <w:t xml:space="preserve"> validation of specific variants </w:t>
      </w:r>
    </w:p>
    <w:p w14:paraId="489AC0E9" w14:textId="77777777" w:rsidR="00427F75" w:rsidRDefault="00F76E2A">
      <w:pPr>
        <w:pStyle w:val="normal0"/>
        <w:spacing w:line="240" w:lineRule="auto"/>
      </w:pPr>
      <w:r>
        <w:rPr>
          <w:rFonts w:ascii="Georgia" w:eastAsia="Georgia" w:hAnsi="Georgia" w:cs="Georgia"/>
        </w:rPr>
        <w:t xml:space="preserve">We strive to examine in detail 6 variants that we find as positives through the high-throughput experimental characterization. The luciferase assays in Aim 3 are often considered as </w:t>
      </w:r>
      <w:r>
        <w:rPr>
          <w:rFonts w:ascii="Georgia" w:eastAsia="Georgia" w:hAnsi="Georgia" w:cs="Georgia"/>
          <w:i/>
        </w:rPr>
        <w:t>in vitro</w:t>
      </w:r>
      <w:r>
        <w:rPr>
          <w:rFonts w:ascii="Georgia" w:eastAsia="Georgia" w:hAnsi="Georgia" w:cs="Georgia"/>
        </w:rPr>
        <w:t xml:space="preserve">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w:t>
      </w:r>
      <w:r>
        <w:rPr>
          <w:rFonts w:ascii="Georgia" w:eastAsia="Georgia" w:hAnsi="Georgia" w:cs="Georgia"/>
          <w:i/>
        </w:rPr>
        <w:t>in vivo</w:t>
      </w:r>
      <w:r>
        <w:rPr>
          <w:rFonts w:ascii="Georgia" w:eastAsia="Georgia" w:hAnsi="Georgia" w:cs="Georgia"/>
        </w:rPr>
        <w:t xml:space="preserve">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p>
    <w:p w14:paraId="73E78AA0" w14:textId="77777777" w:rsidR="00427F75" w:rsidRDefault="00F76E2A">
      <w:pPr>
        <w:pStyle w:val="normal0"/>
        <w:spacing w:line="240" w:lineRule="auto"/>
      </w:pPr>
      <w:r>
        <w:rPr>
          <w:b/>
        </w:rPr>
        <w:t>D-4-</w:t>
      </w:r>
      <w:proofErr w:type="gramStart"/>
      <w:r>
        <w:rPr>
          <w:b/>
        </w:rPr>
        <w:t>a  Preliminary</w:t>
      </w:r>
      <w:proofErr w:type="gramEnd"/>
      <w:r>
        <w:rPr>
          <w:b/>
        </w:rPr>
        <w:t xml:space="preserve"> results related to detailed validation</w:t>
      </w:r>
    </w:p>
    <w:p w14:paraId="14BE101E" w14:textId="77777777" w:rsidR="00427F75" w:rsidRDefault="00F76E2A">
      <w:pPr>
        <w:pStyle w:val="normal0"/>
        <w:spacing w:line="240" w:lineRule="auto"/>
      </w:pPr>
      <w:r>
        <w:rPr>
          <w:b/>
        </w:rPr>
        <w:t>D-4-a-</w:t>
      </w:r>
      <w:proofErr w:type="gramStart"/>
      <w:r>
        <w:rPr>
          <w:b/>
        </w:rPr>
        <w:t>i  We</w:t>
      </w:r>
      <w:proofErr w:type="gramEnd"/>
      <w:r>
        <w:rPr>
          <w:b/>
        </w:rPr>
        <w:t xml:space="preserve"> have experience with prostate cancer cohorts</w:t>
      </w:r>
    </w:p>
    <w:p w14:paraId="5A7D0944" w14:textId="513A3C84" w:rsidR="00427F75" w:rsidRDefault="00F76E2A">
      <w:pPr>
        <w:pStyle w:val="normal0"/>
        <w:spacing w:line="240" w:lineRule="auto"/>
      </w:pPr>
      <w:r>
        <w:rPr>
          <w:rFonts w:ascii="Georgia" w:eastAsia="Georgia" w:hAnsi="Georgia" w:cs="Georgia"/>
        </w:rPr>
        <w:t>We have much experience with prostate cancer cohorts. Relevant to this our group recently performed a large scale profiling study for 2,000 individuals from the Tyrol Early Prostate Cancer Detection Program</w:t>
      </w:r>
      <w:r w:rsidR="00572B35">
        <w:rPr>
          <w:rFonts w:ascii="Georgia" w:eastAsia="Georgia" w:hAnsi="Georgia" w:cs="Georgia"/>
        </w:rPr>
        <w:fldChar w:fldCharType="begin"/>
      </w:r>
      <w:r w:rsidR="00572B35">
        <w:rPr>
          <w:rFonts w:ascii="Georgia" w:eastAsia="Georgia" w:hAnsi="Georgia" w:cs="Georgia"/>
        </w:rPr>
        <w:instrText xml:space="preserve"> ADDIN cite{18321314,16829552}</w:instrText>
      </w:r>
      <w:r w:rsidR="00572B35">
        <w:rPr>
          <w:rFonts w:ascii="Georgia" w:eastAsia="Georgia" w:hAnsi="Georgia" w:cs="Georgia"/>
        </w:rPr>
        <w:fldChar w:fldCharType="separate"/>
      </w:r>
      <w:r w:rsidR="00572B35">
        <w:rPr>
          <w:rFonts w:ascii="Times New Roman" w:hAnsi="Times New Roman"/>
          <w:sz w:val="24"/>
          <w:vertAlign w:val="superscript"/>
        </w:rPr>
        <w:t>132, 133</w:t>
      </w:r>
      <w:r w:rsidR="00572B35">
        <w:rPr>
          <w:rFonts w:ascii="Georgia" w:eastAsia="Georgia" w:hAnsi="Georgia" w:cs="Georgia"/>
        </w:rPr>
        <w:fldChar w:fldCharType="end"/>
      </w:r>
      <w:r>
        <w:rPr>
          <w:rFonts w:ascii="Georgia" w:eastAsia="Georgia" w:hAnsi="Georgia" w:cs="Georgia"/>
        </w:rPr>
        <w:t>cohort. This cohort is part of a population-based prostate cancer-screening program started in 1993 and intended to evaluate the utility of intensive PSA screening in reducing prostate cancer specific death. We are also involved in the Early Detection Research Network (EDRN)</w:t>
      </w:r>
      <w:r w:rsidR="00572B35">
        <w:rPr>
          <w:rFonts w:ascii="Georgia" w:eastAsia="Georgia" w:hAnsi="Georgia" w:cs="Georgia"/>
        </w:rPr>
        <w:fldChar w:fldCharType="begin"/>
      </w:r>
      <w:r w:rsidR="00572B35">
        <w:rPr>
          <w:rFonts w:ascii="Georgia" w:eastAsia="Georgia" w:hAnsi="Georgia" w:cs="Georgia"/>
        </w:rPr>
        <w:instrText xml:space="preserve"> ADDIN cite{0000005}</w:instrText>
      </w:r>
      <w:r w:rsidR="00572B35">
        <w:rPr>
          <w:rFonts w:ascii="Georgia" w:eastAsia="Georgia" w:hAnsi="Georgia" w:cs="Georgia"/>
        </w:rPr>
        <w:fldChar w:fldCharType="separate"/>
      </w:r>
      <w:r w:rsidR="00572B35">
        <w:rPr>
          <w:rFonts w:ascii="Times New Roman" w:hAnsi="Times New Roman"/>
          <w:sz w:val="24"/>
          <w:vertAlign w:val="superscript"/>
        </w:rPr>
        <w:t>134</w:t>
      </w:r>
      <w:r w:rsidR="00572B35">
        <w:rPr>
          <w:rFonts w:ascii="Georgia" w:eastAsia="Georgia" w:hAnsi="Georgia" w:cs="Georgia"/>
        </w:rPr>
        <w:fldChar w:fldCharType="end"/>
      </w:r>
      <w:r>
        <w:rPr>
          <w:rFonts w:ascii="Georgia" w:eastAsia="Georgia" w:hAnsi="Georgia" w:cs="Georgia"/>
        </w:rPr>
        <w:t xml:space="preserve"> prostate cancer cohort. 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Together, these two cohorts provide us with samples from thousands of prostate cancer patients and normal controls. </w:t>
      </w:r>
    </w:p>
    <w:p w14:paraId="09D962A7" w14:textId="77777777" w:rsidR="00427F75" w:rsidRDefault="00F76E2A">
      <w:pPr>
        <w:pStyle w:val="Heading4"/>
        <w:keepNext w:val="0"/>
        <w:keepLines w:val="0"/>
        <w:spacing w:before="0" w:after="40" w:line="240" w:lineRule="auto"/>
        <w:contextualSpacing w:val="0"/>
      </w:pPr>
      <w:bookmarkStart w:id="5" w:name="h.fycmwvevxi0o" w:colFirst="0" w:colLast="0"/>
      <w:bookmarkEnd w:id="5"/>
      <w:r>
        <w:rPr>
          <w:rFonts w:ascii="Arial" w:eastAsia="Arial" w:hAnsi="Arial" w:cs="Arial"/>
          <w:b/>
          <w:color w:val="000000"/>
          <w:u w:val="none"/>
        </w:rPr>
        <w:t>D-4-a-</w:t>
      </w:r>
      <w:proofErr w:type="gramStart"/>
      <w:r>
        <w:rPr>
          <w:rFonts w:ascii="Arial" w:eastAsia="Arial" w:hAnsi="Arial" w:cs="Arial"/>
          <w:b/>
          <w:color w:val="000000"/>
          <w:u w:val="none"/>
        </w:rPr>
        <w:t>ii  We</w:t>
      </w:r>
      <w:proofErr w:type="gramEnd"/>
      <w:r>
        <w:rPr>
          <w:rFonts w:ascii="Arial" w:eastAsia="Arial" w:hAnsi="Arial" w:cs="Arial"/>
          <w:b/>
          <w:color w:val="000000"/>
          <w:u w:val="none"/>
        </w:rPr>
        <w:t xml:space="preserve"> have experience in the detailed validation of SNVs within enhancer elements</w:t>
      </w:r>
    </w:p>
    <w:p w14:paraId="73AA5830" w14:textId="2C39F986" w:rsidR="00427F75" w:rsidRDefault="00F76E2A">
      <w:pPr>
        <w:pStyle w:val="normal0"/>
        <w:spacing w:line="240" w:lineRule="auto"/>
      </w:pPr>
      <w:r>
        <w:rPr>
          <w:rFonts w:ascii="Georgia" w:eastAsia="Georgia" w:hAnsi="Georgia" w:cs="Georgia"/>
        </w:rPr>
        <w:t xml:space="preserve">In order to study the potential role of inherited genetic variants within regulatory intergenic elements in the context of hormone dependent human tumors, we recently performed an unbiased computational search for AR/ERα bound enhancers elements containing SNVs followed by </w:t>
      </w:r>
      <w:r>
        <w:rPr>
          <w:rFonts w:ascii="Georgia" w:eastAsia="Georgia" w:hAnsi="Georgia" w:cs="Georgia"/>
          <w:i/>
        </w:rPr>
        <w:t>in vitro</w:t>
      </w:r>
      <w:r>
        <w:rPr>
          <w:rFonts w:ascii="Georgia" w:eastAsia="Georgia" w:hAnsi="Georgia" w:cs="Georgia"/>
        </w:rPr>
        <w:t xml:space="preserve"> characterization of two selected variants </w:t>
      </w:r>
      <w:r w:rsidR="00572B35">
        <w:rPr>
          <w:rFonts w:ascii="Georgia" w:eastAsia="Georgia" w:hAnsi="Georgia" w:cs="Georgia"/>
        </w:rPr>
        <w:fldChar w:fldCharType="begin"/>
      </w:r>
      <w:r w:rsidR="00572B35">
        <w:rPr>
          <w:rFonts w:ascii="Georgia" w:eastAsia="Georgia" w:hAnsi="Georgia" w:cs="Georgia"/>
        </w:rPr>
        <w:instrText xml:space="preserve"> ADDIN cite{25693204}</w:instrText>
      </w:r>
      <w:r w:rsidR="00572B35">
        <w:rPr>
          <w:rFonts w:ascii="Georgia" w:eastAsia="Georgia" w:hAnsi="Georgia" w:cs="Georgia"/>
        </w:rPr>
        <w:fldChar w:fldCharType="separate"/>
      </w:r>
      <w:r w:rsidR="00572B35">
        <w:rPr>
          <w:rFonts w:ascii="Times New Roman" w:hAnsi="Times New Roman"/>
          <w:sz w:val="24"/>
          <w:vertAlign w:val="superscript"/>
        </w:rPr>
        <w:t>135</w:t>
      </w:r>
      <w:r w:rsidR="00572B35">
        <w:rPr>
          <w:rFonts w:ascii="Georgia" w:eastAsia="Georgia" w:hAnsi="Georgia" w:cs="Georgia"/>
        </w:rPr>
        <w:fldChar w:fldCharType="end"/>
      </w:r>
      <w:r>
        <w:rPr>
          <w:rFonts w:ascii="Georgia" w:eastAsia="Georgia" w:hAnsi="Georgia" w:cs="Georgia"/>
        </w:rPr>
        <w:t xml:space="preserve">. After a series of filters, two were selected for </w:t>
      </w:r>
      <w:r>
        <w:rPr>
          <w:rFonts w:ascii="Georgia" w:eastAsia="Georgia" w:hAnsi="Georgia" w:cs="Georgia"/>
          <w:i/>
        </w:rPr>
        <w:t>in vitro</w:t>
      </w:r>
      <w:r>
        <w:rPr>
          <w:rFonts w:ascii="Georgia" w:eastAsia="Georgia" w:hAnsi="Georgia" w:cs="Georgia"/>
        </w:rPr>
        <w:t xml:space="preserve"> characterization (on 1q21.3, rs2242193 MAF=0.038 and 13q34, rs9521825 MAF=0.235), here referred to as Locus 1 and Locus 2. </w:t>
      </w:r>
    </w:p>
    <w:p w14:paraId="69061A21" w14:textId="77777777" w:rsidR="00427F75" w:rsidRDefault="00F76E2A">
      <w:pPr>
        <w:pStyle w:val="normal0"/>
        <w:spacing w:line="240" w:lineRule="auto"/>
        <w:ind w:firstLine="720"/>
      </w:pPr>
      <w:r>
        <w:rPr>
          <w:rFonts w:ascii="Georgia" w:eastAsia="Georgia" w:hAnsi="Georgia" w:cs="Georgia"/>
        </w:rPr>
        <w:lastRenderedPageBreak/>
        <w:t xml:space="preserve">Selected loci were cloned in pGL4.26 plasmid (plasmid with alternative allele was also generated) and then validated and characterized </w:t>
      </w:r>
      <w:r>
        <w:rPr>
          <w:rFonts w:ascii="Georgia" w:eastAsia="Georgia" w:hAnsi="Georgia" w:cs="Georgia"/>
          <w:i/>
        </w:rPr>
        <w:t>in vitro</w:t>
      </w:r>
      <w:r>
        <w:rPr>
          <w:rFonts w:ascii="Georgia" w:eastAsia="Georgia" w:hAnsi="Georgia" w:cs="Georgia"/>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(Fig 8). </w:t>
      </w:r>
    </w:p>
    <w:p w14:paraId="2A254506" w14:textId="1FF45ECB" w:rsidR="00427F75" w:rsidRDefault="00F76E2A">
      <w:pPr>
        <w:pStyle w:val="normal0"/>
        <w:spacing w:line="240" w:lineRule="auto"/>
      </w:pPr>
      <w:r>
        <w:rPr>
          <w:rFonts w:ascii="Georgia" w:eastAsia="Georgia" w:hAnsi="Georgia" w:cs="Georgia"/>
        </w:rPr>
        <w:t xml:space="preserve">Further, ChIP assays with AR antibody (or with normal IgG as a control) using MCF7 cells that are heterozygous at rs2242193 in Locus 1, but homozygous for the reference allele at Locus 2, showed AR binding to both selected loci in MCF7 cells transiently over-expressing AR (Fig 9). Moreover, to assess whether AR showed allele-specific DNA binding at rs2242193, we amplified AR-enriched Locus 1 region by standard PCR followed by double-strand direct DNA </w:t>
      </w:r>
      <w:r w:rsidR="00AF2A36">
        <w:rPr>
          <w:rFonts w:ascii="Georgia" w:eastAsia="Georgia" w:hAnsi="Georgia" w:cs="Georgia"/>
        </w:rPr>
        <w:t xml:space="preserve">sequencing analysis </w:t>
      </w:r>
      <w:r w:rsidR="00572B35">
        <w:rPr>
          <w:rFonts w:ascii="Georgia" w:eastAsia="Georgia" w:hAnsi="Georgia" w:cs="Georgia"/>
        </w:rPr>
        <w:fldChar w:fldCharType="begin"/>
      </w:r>
      <w:r w:rsidR="00572B35">
        <w:rPr>
          <w:rFonts w:ascii="Georgia" w:eastAsia="Georgia" w:hAnsi="Georgia" w:cs="Georgia"/>
        </w:rPr>
        <w:instrText xml:space="preserve"> ADDIN cite{25693204}</w:instrText>
      </w:r>
      <w:r w:rsidR="00572B35">
        <w:rPr>
          <w:rFonts w:ascii="Georgia" w:eastAsia="Georgia" w:hAnsi="Georgia" w:cs="Georgia"/>
        </w:rPr>
        <w:fldChar w:fldCharType="separate"/>
      </w:r>
      <w:r w:rsidR="00572B35">
        <w:rPr>
          <w:rFonts w:ascii="Times New Roman" w:hAnsi="Times New Roman"/>
          <w:sz w:val="24"/>
          <w:vertAlign w:val="superscript"/>
        </w:rPr>
        <w:t>135</w:t>
      </w:r>
      <w:r w:rsidR="00572B35">
        <w:rPr>
          <w:rFonts w:ascii="Georgia" w:eastAsia="Georgia" w:hAnsi="Georgia" w:cs="Georgia"/>
        </w:rPr>
        <w:fldChar w:fldCharType="end"/>
      </w:r>
      <w:r>
        <w:rPr>
          <w:rFonts w:ascii="Georgia" w:eastAsia="Georgia" w:hAnsi="Georgia" w:cs="Georgia"/>
        </w:rPr>
        <w:t>.</w:t>
      </w:r>
    </w:p>
    <w:p w14:paraId="72D5B345" w14:textId="77777777" w:rsidR="00427F75" w:rsidRDefault="00F76E2A">
      <w:pPr>
        <w:pStyle w:val="normal0"/>
        <w:spacing w:line="240" w:lineRule="auto"/>
        <w:ind w:firstLine="720"/>
      </w:pPr>
      <w:r>
        <w:rPr>
          <w:rFonts w:ascii="Georgia" w:eastAsia="Georgia" w:hAnsi="Georgia" w:cs="Georgia"/>
        </w:rPr>
        <w:t xml:space="preserve">Altogether, our results show that unbiased genome-wide search for </w:t>
      </w:r>
      <w:r>
        <w:rPr>
          <w:rFonts w:ascii="Georgia" w:eastAsia="Georgia" w:hAnsi="Georgia" w:cs="Georgia"/>
          <w:u w:val="single"/>
        </w:rPr>
        <w:t>p</w:t>
      </w:r>
      <w:r>
        <w:rPr>
          <w:rFonts w:ascii="Georgia" w:eastAsia="Georgia" w:hAnsi="Georgia" w:cs="Georgia"/>
        </w:rPr>
        <w:t xml:space="preserve">olymorphic </w:t>
      </w:r>
      <w:r>
        <w:rPr>
          <w:rFonts w:ascii="Georgia" w:eastAsia="Georgia" w:hAnsi="Georgia" w:cs="Georgia"/>
          <w:u w:val="single"/>
        </w:rPr>
        <w:t>r</w:t>
      </w:r>
      <w:r>
        <w:rPr>
          <w:rFonts w:ascii="Georgia" w:eastAsia="Georgia" w:hAnsi="Georgia" w:cs="Georgia"/>
        </w:rPr>
        <w:t xml:space="preserve">egulatory </w:t>
      </w:r>
      <w:r>
        <w:rPr>
          <w:rFonts w:ascii="Georgia" w:eastAsia="Georgia" w:hAnsi="Georgia" w:cs="Georgia"/>
          <w:u w:val="single"/>
        </w:rPr>
        <w:t>r</w:t>
      </w:r>
      <w:r>
        <w:rPr>
          <w:rFonts w:ascii="Georgia" w:eastAsia="Georgia" w:hAnsi="Georgia" w:cs="Georgia"/>
        </w:rPr>
        <w:t>egions (PRRs) is an efficient methodology to discover new functional cis-elements relevant to hormone driven diseases and beyond by providing experimental evidence for selected variants mapping to regulatory regions.</w:t>
      </w:r>
    </w:p>
    <w:p w14:paraId="0B4B51D6" w14:textId="77777777" w:rsidR="00427F75" w:rsidRDefault="00F76E2A">
      <w:pPr>
        <w:pStyle w:val="normal0"/>
        <w:spacing w:line="240" w:lineRule="auto"/>
      </w:pPr>
      <w:r>
        <w:rPr>
          <w:b/>
        </w:rPr>
        <w:t>D-4-a-</w:t>
      </w:r>
      <w:proofErr w:type="gramStart"/>
      <w:r>
        <w:rPr>
          <w:b/>
        </w:rPr>
        <w:t>iii  We</w:t>
      </w:r>
      <w:proofErr w:type="gramEnd"/>
      <w:r>
        <w:rPr>
          <w:b/>
        </w:rPr>
        <w:t xml:space="preserve"> have experience modeling mutations in cell lines using the CRISPR/Cas-9 system</w:t>
      </w:r>
    </w:p>
    <w:p w14:paraId="638F2448" w14:textId="34604ABB" w:rsidR="00427F75" w:rsidRDefault="00F76E2A">
      <w:pPr>
        <w:pStyle w:val="normal0"/>
        <w:spacing w:line="240" w:lineRule="auto"/>
      </w:pPr>
      <w:r>
        <w:rPr>
          <w:rFonts w:ascii="Georgia" w:eastAsia="Georgia" w:hAnsi="Georgia" w:cs="Georgia"/>
        </w:rPr>
        <w:t>We have successfully used the CRISPR/Cas-9 system to generate mutations and deletions in genes. We detected a somatic mutation in the MAP3K7 gene in hypertrophic keloid patients. In order to determine the functionality of the mutation we used the CRISPR/Cas-9 system to generate the mutation in cell lines. We successfully introduced the cancer-specific MAP3K7 mutation in Hek 293 cells using the CRISPR/Cas-9 system. Sequencing of cell lines confirme</w:t>
      </w:r>
      <w:r w:rsidR="004833CB">
        <w:rPr>
          <w:rFonts w:ascii="Georgia" w:eastAsia="Georgia" w:hAnsi="Georgia" w:cs="Georgia"/>
        </w:rPr>
        <w:t>d the mutation (data not shown)</w:t>
      </w:r>
      <w:r>
        <w:rPr>
          <w:rFonts w:ascii="Georgia" w:eastAsia="Georgia" w:hAnsi="Georgia" w:cs="Georgia"/>
        </w:rPr>
        <w:t>. Another example is the deletion of the FANCA gene evidenced in 16% of localized prostate adenocarcinomas (11 of 69 cases) and 14% of advanced prostate cancers (4 of 29 cases). In some patients deletion of FANCA was associated with increased cisplatin sensitivity. We used the CRISPR/Cas-9 system to generate FANCA deletion in prostate cancer cell line 22RV1. Briefly, the CRISPR/Cas-9 plasmid (Px459) was obtained from Addgene (Cambridge</w:t>
      </w:r>
      <w:proofErr w:type="gramStart"/>
      <w:r>
        <w:rPr>
          <w:rFonts w:ascii="Georgia" w:eastAsia="Georgia" w:hAnsi="Georgia" w:cs="Georgia"/>
        </w:rPr>
        <w:t>,MA</w:t>
      </w:r>
      <w:proofErr w:type="gramEnd"/>
      <w:r>
        <w:rPr>
          <w:rFonts w:ascii="Georgia" w:eastAsia="Georgia" w:hAnsi="Georgia" w:cs="Georgia"/>
        </w:rPr>
        <w:t xml:space="preserve">). Using a previously published protocol </w:t>
      </w:r>
      <w:r w:rsidR="00572B35">
        <w:rPr>
          <w:rFonts w:ascii="Georgia" w:eastAsia="Georgia" w:hAnsi="Georgia" w:cs="Georgia"/>
        </w:rPr>
        <w:fldChar w:fldCharType="begin"/>
      </w:r>
      <w:r w:rsidR="00572B35">
        <w:rPr>
          <w:rFonts w:ascii="Georgia" w:eastAsia="Georgia" w:hAnsi="Georgia" w:cs="Georgia"/>
        </w:rPr>
        <w:instrText xml:space="preserve"> ADDIN cite{24157548}</w:instrText>
      </w:r>
      <w:r w:rsidR="00572B35">
        <w:rPr>
          <w:rFonts w:ascii="Georgia" w:eastAsia="Georgia" w:hAnsi="Georgia" w:cs="Georgia"/>
        </w:rPr>
        <w:fldChar w:fldCharType="separate"/>
      </w:r>
      <w:r w:rsidR="00572B35">
        <w:rPr>
          <w:rFonts w:ascii="Times New Roman" w:hAnsi="Times New Roman"/>
          <w:sz w:val="24"/>
          <w:vertAlign w:val="superscript"/>
        </w:rPr>
        <w:t>136</w:t>
      </w:r>
      <w:r w:rsidR="00572B35">
        <w:rPr>
          <w:rFonts w:ascii="Georgia" w:eastAsia="Georgia" w:hAnsi="Georgia" w:cs="Georgia"/>
        </w:rPr>
        <w:fldChar w:fldCharType="end"/>
      </w:r>
      <w:r>
        <w:rPr>
          <w:rFonts w:ascii="Georgia" w:eastAsia="Georgia" w:hAnsi="Georgia" w:cs="Georgia"/>
        </w:rPr>
        <w:t xml:space="preserve"> we determined a FANCA CRISPR DNA target sequence using publicly available algorithms </w:t>
      </w:r>
      <w:r w:rsidR="00572B35">
        <w:rPr>
          <w:rFonts w:ascii="Georgia" w:eastAsia="Georgia" w:hAnsi="Georgia" w:cs="Georgia"/>
        </w:rPr>
        <w:fldChar w:fldCharType="begin"/>
      </w:r>
      <w:r w:rsidR="00572B35">
        <w:rPr>
          <w:rFonts w:ascii="Georgia" w:eastAsia="Georgia" w:hAnsi="Georgia" w:cs="Georgia"/>
        </w:rPr>
        <w:instrText xml:space="preserve"> ADDIN cite{23873081}</w:instrText>
      </w:r>
      <w:r w:rsidR="00572B35">
        <w:rPr>
          <w:rFonts w:ascii="Georgia" w:eastAsia="Georgia" w:hAnsi="Georgia" w:cs="Georgia"/>
        </w:rPr>
        <w:fldChar w:fldCharType="separate"/>
      </w:r>
      <w:r w:rsidR="00572B35">
        <w:rPr>
          <w:rFonts w:ascii="Times New Roman" w:hAnsi="Times New Roman"/>
          <w:sz w:val="24"/>
          <w:vertAlign w:val="superscript"/>
        </w:rPr>
        <w:t>137</w:t>
      </w:r>
      <w:r w:rsidR="00572B35">
        <w:rPr>
          <w:rFonts w:ascii="Georgia" w:eastAsia="Georgia" w:hAnsi="Georgia" w:cs="Georgia"/>
        </w:rPr>
        <w:fldChar w:fldCharType="end"/>
      </w:r>
      <w:r>
        <w:rPr>
          <w:rFonts w:ascii="Georgia" w:eastAsia="Georgia" w:hAnsi="Georgia" w:cs="Georgia"/>
        </w:rPr>
        <w:t xml:space="preserve">. The oligonucleotides were cloned into Px459 vector. Western blot analysis confirmed complete absence of FANCA protein. The deletion of FANCA in 22 RV1 cells leads to </w:t>
      </w:r>
      <w:r w:rsidR="004833CB">
        <w:rPr>
          <w:rFonts w:ascii="Georgia" w:eastAsia="Georgia" w:hAnsi="Georgia" w:cs="Georgia"/>
        </w:rPr>
        <w:t xml:space="preserve">increased cisplatin sensitivity </w:t>
      </w:r>
      <w:r>
        <w:rPr>
          <w:rFonts w:ascii="Georgia" w:eastAsia="Georgia" w:hAnsi="Georgia" w:cs="Georgia"/>
        </w:rPr>
        <w:t>(Fig 10) (</w:t>
      </w:r>
      <w:r w:rsidR="00572B35">
        <w:rPr>
          <w:rFonts w:ascii="Georgia" w:eastAsia="Georgia" w:hAnsi="Georgia" w:cs="Georgia"/>
        </w:rPr>
        <w:fldChar w:fldCharType="begin"/>
      </w:r>
      <w:r w:rsidR="00572B35">
        <w:rPr>
          <w:rFonts w:ascii="Georgia" w:eastAsia="Georgia" w:hAnsi="Georgia" w:cs="Georgia"/>
        </w:rPr>
        <w:instrText xml:space="preserve"> ADDIN cite{0000013}</w:instrText>
      </w:r>
      <w:r w:rsidR="00572B35">
        <w:rPr>
          <w:rFonts w:ascii="Georgia" w:eastAsia="Georgia" w:hAnsi="Georgia" w:cs="Georgia"/>
        </w:rPr>
        <w:fldChar w:fldCharType="separate"/>
      </w:r>
      <w:r w:rsidR="00572B35">
        <w:rPr>
          <w:rFonts w:ascii="Times New Roman" w:hAnsi="Times New Roman"/>
          <w:sz w:val="24"/>
          <w:vertAlign w:val="superscript"/>
        </w:rPr>
        <w:t>138</w:t>
      </w:r>
      <w:r w:rsidR="00572B35">
        <w:rPr>
          <w:rFonts w:ascii="Georgia" w:eastAsia="Georgia" w:hAnsi="Georgia" w:cs="Georgia"/>
        </w:rPr>
        <w:fldChar w:fldCharType="end"/>
      </w:r>
      <w:r>
        <w:rPr>
          <w:rFonts w:ascii="Georgia" w:eastAsia="Georgia" w:hAnsi="Georgia" w:cs="Georgia"/>
        </w:rPr>
        <w:t>).</w:t>
      </w:r>
    </w:p>
    <w:p w14:paraId="056FB813" w14:textId="77777777" w:rsidR="00427F75" w:rsidRDefault="00F76E2A">
      <w:pPr>
        <w:pStyle w:val="normal0"/>
        <w:spacing w:line="240" w:lineRule="auto"/>
      </w:pPr>
      <w:r>
        <w:rPr>
          <w:b/>
        </w:rPr>
        <w:t>D-4-</w:t>
      </w:r>
      <w:proofErr w:type="gramStart"/>
      <w:r>
        <w:rPr>
          <w:b/>
        </w:rPr>
        <w:t>b  Approach</w:t>
      </w:r>
      <w:proofErr w:type="gramEnd"/>
      <w:r>
        <w:rPr>
          <w:b/>
        </w:rPr>
        <w:t xml:space="preserve"> to detailed validation</w:t>
      </w:r>
    </w:p>
    <w:p w14:paraId="29F5632E" w14:textId="77777777" w:rsidR="00427F75" w:rsidRDefault="00F76E2A">
      <w:pPr>
        <w:pStyle w:val="normal0"/>
        <w:spacing w:line="240" w:lineRule="auto"/>
      </w:pPr>
      <w:r>
        <w:rPr>
          <w:b/>
        </w:rPr>
        <w:t>D-4-b-</w:t>
      </w:r>
      <w:proofErr w:type="gramStart"/>
      <w:r>
        <w:rPr>
          <w:b/>
        </w:rPr>
        <w:t>i  Approach</w:t>
      </w:r>
      <w:proofErr w:type="gramEnd"/>
      <w:r>
        <w:rPr>
          <w:b/>
        </w:rPr>
        <w:t xml:space="preserve"> to perform genetic validation in cohorts</w:t>
      </w:r>
    </w:p>
    <w:p w14:paraId="45EAB0FB" w14:textId="374E80C0" w:rsidR="00427F75" w:rsidRDefault="00F76E2A">
      <w:pPr>
        <w:pStyle w:val="normal0"/>
        <w:spacing w:line="240" w:lineRule="auto"/>
      </w:pPr>
      <w:r>
        <w:rPr>
          <w:rFonts w:ascii="Georgia" w:eastAsia="Georgia" w:hAnsi="Georgia" w:cs="Georgia"/>
        </w:rPr>
        <w:t xml:space="preserve">We will determine if any or </w:t>
      </w:r>
      <w:proofErr w:type="gramStart"/>
      <w:r>
        <w:rPr>
          <w:rFonts w:ascii="Georgia" w:eastAsia="Georgia" w:hAnsi="Georgia" w:cs="Georgia"/>
        </w:rPr>
        <w:t>all 6</w:t>
      </w:r>
      <w:proofErr w:type="gramEnd"/>
      <w:r>
        <w:rPr>
          <w:rFonts w:ascii="Georgia" w:eastAsia="Georgia" w:hAnsi="Georgia" w:cs="Georgia"/>
        </w:rPr>
        <w:t xml:space="preserve"> variants selected based on successful validation in Aim 3 are associated with cancer or cancer-causing characteristics. We will achieve this by studying the specific variant in test cohorts. We will use both the Tyrol cohort and the Early Detection Research Network (EDRN)</w:t>
      </w:r>
      <w:r w:rsidR="00572B35">
        <w:rPr>
          <w:rFonts w:ascii="Georgia" w:eastAsia="Georgia" w:hAnsi="Georgia" w:cs="Georgia"/>
        </w:rPr>
        <w:fldChar w:fldCharType="begin"/>
      </w:r>
      <w:r w:rsidR="00572B35">
        <w:rPr>
          <w:rFonts w:ascii="Georgia" w:eastAsia="Georgia" w:hAnsi="Georgia" w:cs="Georgia"/>
        </w:rPr>
        <w:instrText xml:space="preserve"> ADDIN cite{0000005}</w:instrText>
      </w:r>
      <w:r w:rsidR="00572B35">
        <w:rPr>
          <w:rFonts w:ascii="Georgia" w:eastAsia="Georgia" w:hAnsi="Georgia" w:cs="Georgia"/>
        </w:rPr>
        <w:fldChar w:fldCharType="separate"/>
      </w:r>
      <w:r w:rsidR="00572B35">
        <w:rPr>
          <w:rFonts w:ascii="Times New Roman" w:hAnsi="Times New Roman"/>
          <w:sz w:val="24"/>
          <w:vertAlign w:val="superscript"/>
        </w:rPr>
        <w:t>134</w:t>
      </w:r>
      <w:r w:rsidR="00572B35">
        <w:rPr>
          <w:rFonts w:ascii="Georgia" w:eastAsia="Georgia" w:hAnsi="Georgia" w:cs="Georgia"/>
        </w:rPr>
        <w:fldChar w:fldCharType="end"/>
      </w:r>
      <w:r>
        <w:rPr>
          <w:rFonts w:ascii="Georgia" w:eastAsia="Georgia" w:hAnsi="Georgia" w:cs="Georgia"/>
        </w:rPr>
        <w:t xml:space="preserve"> prostate cancer cohort with thousands of prostate cancer individuals as well as normal controls (described above).</w:t>
      </w:r>
    </w:p>
    <w:p w14:paraId="57945BC8" w14:textId="77777777" w:rsidR="00427F75" w:rsidRDefault="00F76E2A">
      <w:pPr>
        <w:pStyle w:val="normal0"/>
        <w:spacing w:line="240" w:lineRule="auto"/>
        <w:ind w:firstLine="720"/>
      </w:pPr>
      <w:r>
        <w:rPr>
          <w:rFonts w:ascii="Georgia" w:eastAsia="Georgia" w:hAnsi="Georgia" w:cs="Georgia"/>
        </w:rPr>
        <w:t>TaqMan assays for these 6 variants will be performed on 4,000 cases to see if the precise variants recur in a larger cohort. Then, we will follow up for detailed functional screening, to be discussed below. For controls, we will utilize deeply sequenced control cohorts (individuals with no cancer) that are already available (see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14:paraId="7191F63F" w14:textId="77777777" w:rsidR="00427F75" w:rsidRDefault="00F76E2A">
      <w:pPr>
        <w:pStyle w:val="normal0"/>
        <w:spacing w:line="240" w:lineRule="auto"/>
        <w:ind w:firstLine="720"/>
      </w:pPr>
      <w:r>
        <w:rPr>
          <w:rFonts w:ascii="Georgia" w:eastAsia="Georgia" w:hAnsi="Georgia" w:cs="Georgia"/>
        </w:rPr>
        <w:t>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p>
    <w:p w14:paraId="07A0D2FD" w14:textId="77777777" w:rsidR="00427F75" w:rsidRDefault="00F76E2A">
      <w:pPr>
        <w:pStyle w:val="normal0"/>
        <w:spacing w:line="240" w:lineRule="auto"/>
      </w:pPr>
      <w:r>
        <w:rPr>
          <w:b/>
        </w:rPr>
        <w:t>D-4-b-</w:t>
      </w:r>
      <w:proofErr w:type="gramStart"/>
      <w:r>
        <w:rPr>
          <w:b/>
        </w:rPr>
        <w:t>ii  Evaluation</w:t>
      </w:r>
      <w:proofErr w:type="gramEnd"/>
      <w:r>
        <w:rPr>
          <w:b/>
        </w:rPr>
        <w:t xml:space="preserve"> of molecular consequence of variants</w:t>
      </w:r>
    </w:p>
    <w:p w14:paraId="3FCAF061" w14:textId="77777777" w:rsidR="00427F75" w:rsidRDefault="00F76E2A">
      <w:pPr>
        <w:pStyle w:val="normal0"/>
        <w:spacing w:line="240" w:lineRule="auto"/>
      </w:pPr>
      <w:r>
        <w:rPr>
          <w:b/>
        </w:rPr>
        <w:t>D-4-b-ii</w:t>
      </w:r>
      <w:proofErr w:type="gramStart"/>
      <w:r>
        <w:rPr>
          <w:b/>
        </w:rPr>
        <w:t>-(</w:t>
      </w:r>
      <w:proofErr w:type="gramEnd"/>
      <w:r>
        <w:rPr>
          <w:b/>
        </w:rPr>
        <w:t>1)  Impact on gene expression: real-time quantitative PCR</w:t>
      </w:r>
    </w:p>
    <w:p w14:paraId="6774831E" w14:textId="77777777" w:rsidR="00427F75" w:rsidRDefault="00F76E2A">
      <w:pPr>
        <w:pStyle w:val="normal0"/>
        <w:spacing w:line="240" w:lineRule="auto"/>
      </w:pPr>
      <w:r>
        <w:rPr>
          <w:rFonts w:ascii="Georgia" w:eastAsia="Georgia" w:hAnsi="Georgia" w:cs="Georgia"/>
        </w:rPr>
        <w:t>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14:paraId="7BD6F37B" w14:textId="77777777" w:rsidR="00427F75" w:rsidRDefault="00F76E2A">
      <w:pPr>
        <w:pStyle w:val="normal0"/>
        <w:spacing w:line="240" w:lineRule="auto"/>
      </w:pPr>
      <w:r>
        <w:rPr>
          <w:b/>
        </w:rPr>
        <w:t>D-4-b-ii</w:t>
      </w:r>
      <w:proofErr w:type="gramStart"/>
      <w:r>
        <w:rPr>
          <w:b/>
        </w:rPr>
        <w:t>-(</w:t>
      </w:r>
      <w:proofErr w:type="gramEnd"/>
      <w:r>
        <w:rPr>
          <w:b/>
        </w:rPr>
        <w:t>2)  Functional consequences: CRISPR/Cas-9 system</w:t>
      </w:r>
    </w:p>
    <w:p w14:paraId="0047B0DF" w14:textId="65C6D62F" w:rsidR="00427F75" w:rsidRDefault="00F76E2A">
      <w:pPr>
        <w:pStyle w:val="normal0"/>
        <w:spacing w:line="240" w:lineRule="auto"/>
      </w:pPr>
      <w:r>
        <w:rPr>
          <w:rFonts w:ascii="Georgia" w:eastAsia="Georgia" w:hAnsi="Georgia" w:cs="Georgia"/>
        </w:rPr>
        <w:t>We will utilize the newly discovered CRISPR/Cas-9 system</w:t>
      </w:r>
      <w:r w:rsidR="00572B35">
        <w:rPr>
          <w:rFonts w:ascii="Georgia" w:eastAsia="Georgia" w:hAnsi="Georgia" w:cs="Georgia"/>
        </w:rPr>
        <w:fldChar w:fldCharType="begin"/>
      </w:r>
      <w:r w:rsidR="00572B35">
        <w:rPr>
          <w:rFonts w:ascii="Georgia" w:eastAsia="Georgia" w:hAnsi="Georgia" w:cs="Georgia"/>
        </w:rPr>
        <w:instrText xml:space="preserve"> ADDIN cite{23386978,23287718,23287722}</w:instrText>
      </w:r>
      <w:r w:rsidR="00572B35">
        <w:rPr>
          <w:rFonts w:ascii="Georgia" w:eastAsia="Georgia" w:hAnsi="Georgia" w:cs="Georgia"/>
        </w:rPr>
        <w:fldChar w:fldCharType="separate"/>
      </w:r>
      <w:r w:rsidR="00572B35">
        <w:rPr>
          <w:rFonts w:ascii="Times New Roman" w:hAnsi="Times New Roman"/>
          <w:sz w:val="24"/>
          <w:vertAlign w:val="superscript"/>
        </w:rPr>
        <w:t>139, 140, 141</w:t>
      </w:r>
      <w:r w:rsidR="00572B35">
        <w:rPr>
          <w:rFonts w:ascii="Georgia" w:eastAsia="Georgia" w:hAnsi="Georgia" w:cs="Georgia"/>
        </w:rPr>
        <w:fldChar w:fldCharType="end"/>
      </w:r>
      <w:r w:rsidR="004833CB">
        <w:rPr>
          <w:rFonts w:ascii="Georgia" w:eastAsia="Georgia" w:hAnsi="Georgia" w:cs="Georgia"/>
        </w:rPr>
        <w:t xml:space="preserve"> </w:t>
      </w:r>
      <w:r>
        <w:rPr>
          <w:rFonts w:ascii="Georgia" w:eastAsia="Georgia" w:hAnsi="Georgia" w:cs="Georgia"/>
        </w:rPr>
        <w:t xml:space="preserve">to generate endogenous mutations in TF binding site in a panel of prostate cancer cell lines (VCaP, LnCaP, DU145 and PC3). This unique system will </w:t>
      </w:r>
      <w:r>
        <w:rPr>
          <w:rFonts w:ascii="Georgia" w:eastAsia="Georgia" w:hAnsi="Georgia" w:cs="Georgia"/>
        </w:rPr>
        <w:lastRenderedPageBreak/>
        <w:t>provide us an opportunity to directly modulate endogenous genes and minimize artifacts due to the transfection based reporter assays. Using CRISPR/Cas-9-mediated genome-engineering method</w:t>
      </w:r>
      <w:r w:rsidR="00572B35">
        <w:rPr>
          <w:rFonts w:ascii="Georgia" w:eastAsia="Georgia" w:hAnsi="Georgia" w:cs="Georgia"/>
        </w:rPr>
        <w:fldChar w:fldCharType="begin"/>
      </w:r>
      <w:r w:rsidR="00572B35">
        <w:rPr>
          <w:rFonts w:ascii="Georgia" w:eastAsia="Georgia" w:hAnsi="Georgia" w:cs="Georgia"/>
        </w:rPr>
        <w:instrText xml:space="preserve"> ADDIN cite{23643243}</w:instrText>
      </w:r>
      <w:r w:rsidR="00572B35">
        <w:rPr>
          <w:rFonts w:ascii="Georgia" w:eastAsia="Georgia" w:hAnsi="Georgia" w:cs="Georgia"/>
        </w:rPr>
        <w:fldChar w:fldCharType="separate"/>
      </w:r>
      <w:r w:rsidR="00572B35">
        <w:rPr>
          <w:rFonts w:ascii="Times New Roman" w:hAnsi="Times New Roman"/>
          <w:sz w:val="24"/>
          <w:vertAlign w:val="superscript"/>
        </w:rPr>
        <w:t>142</w:t>
      </w:r>
      <w:r w:rsidR="00572B35">
        <w:rPr>
          <w:rFonts w:ascii="Georgia" w:eastAsia="Georgia" w:hAnsi="Georgia" w:cs="Georgia"/>
        </w:rPr>
        <w:fldChar w:fldCharType="end"/>
      </w:r>
      <w:r>
        <w:rPr>
          <w:rFonts w:ascii="Georgia" w:eastAsia="Georgia" w:hAnsi="Georgia" w:cs="Georgia"/>
        </w:rPr>
        <w:t xml:space="preserve">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11). </w:t>
      </w:r>
    </w:p>
    <w:p w14:paraId="5958FFCD" w14:textId="77777777" w:rsidR="00427F75" w:rsidRDefault="00F76E2A">
      <w:pPr>
        <w:pStyle w:val="normal0"/>
        <w:spacing w:line="240" w:lineRule="auto"/>
        <w:ind w:firstLine="720"/>
      </w:pPr>
      <w:r>
        <w:rPr>
          <w:rFonts w:ascii="Georgia" w:eastAsia="Georgia" w:hAnsi="Georgia" w:cs="Georgia"/>
        </w:rPr>
        <w:t>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β-gal staining e) apoptosis by tunnel assay.</w:t>
      </w:r>
    </w:p>
    <w:p w14:paraId="465A3C6E" w14:textId="77777777" w:rsidR="00427F75" w:rsidRDefault="00F76E2A">
      <w:pPr>
        <w:pStyle w:val="normal0"/>
        <w:spacing w:line="240" w:lineRule="auto"/>
      </w:pPr>
      <w:r>
        <w:rPr>
          <w:b/>
        </w:rPr>
        <w:t>D-4-b-ii</w:t>
      </w:r>
      <w:proofErr w:type="gramStart"/>
      <w:r>
        <w:rPr>
          <w:b/>
        </w:rPr>
        <w:t>-(</w:t>
      </w:r>
      <w:proofErr w:type="gramEnd"/>
      <w:r>
        <w:rPr>
          <w:b/>
        </w:rPr>
        <w:t>3)  Effect of the mutation on TF binding</w:t>
      </w:r>
    </w:p>
    <w:p w14:paraId="0ECD31D7" w14:textId="77777777" w:rsidR="00427F75" w:rsidRDefault="00F76E2A">
      <w:pPr>
        <w:pStyle w:val="normal0"/>
        <w:spacing w:line="240" w:lineRule="auto"/>
      </w:pPr>
      <w:r>
        <w:rPr>
          <w:rFonts w:ascii="Georgia" w:eastAsia="Georgia" w:hAnsi="Georgia" w:cs="Georgia"/>
          <w:i/>
        </w:rPr>
        <w:t>In vitro</w:t>
      </w:r>
      <w:r>
        <w:rPr>
          <w:rFonts w:ascii="Georgia" w:eastAsia="Georgia" w:hAnsi="Georgia" w:cs="Georgia"/>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w:t>
      </w:r>
      <w:r>
        <w:rPr>
          <w:rFonts w:ascii="Georgia" w:eastAsia="Georgia" w:hAnsi="Georgia" w:cs="Georgia"/>
          <w:i/>
        </w:rPr>
        <w:t>in vivo</w:t>
      </w:r>
      <w:r>
        <w:rPr>
          <w:rFonts w:ascii="Georgia" w:eastAsia="Georgia" w:hAnsi="Georgia" w:cs="Georgia"/>
        </w:rPr>
        <w:t>. This would help validate the variants that are predicted to be motif breakers. Alternatively, for the SNVs predicted to create a new motif, ChIP experiments will help validate binding.</w:t>
      </w:r>
    </w:p>
    <w:p w14:paraId="70FDAB77" w14:textId="77777777" w:rsidR="00427F75" w:rsidRDefault="00F76E2A">
      <w:pPr>
        <w:pStyle w:val="normal0"/>
      </w:pPr>
      <w:r>
        <w:br w:type="page"/>
      </w:r>
    </w:p>
    <w:p w14:paraId="4EA7F46F" w14:textId="77777777" w:rsidR="00427F75" w:rsidRDefault="00427F75">
      <w:pPr>
        <w:pStyle w:val="normal0"/>
        <w:spacing w:line="240" w:lineRule="auto"/>
      </w:pPr>
    </w:p>
    <w:p w14:paraId="1C591813" w14:textId="77777777" w:rsidR="00427F75" w:rsidRDefault="00F76E2A">
      <w:pPr>
        <w:pStyle w:val="Heading1"/>
        <w:spacing w:line="240" w:lineRule="auto"/>
        <w:contextualSpacing w:val="0"/>
      </w:pPr>
      <w:bookmarkStart w:id="6" w:name="h.kwjb8hj6uw00" w:colFirst="0" w:colLast="0"/>
      <w:bookmarkEnd w:id="6"/>
      <w:r>
        <w:rPr>
          <w:rFonts w:ascii="Arial" w:eastAsia="Arial" w:hAnsi="Arial" w:cs="Arial"/>
          <w:b/>
          <w:i/>
          <w:sz w:val="22"/>
        </w:rPr>
        <w:t>Resource Sharing Plan</w:t>
      </w:r>
    </w:p>
    <w:p w14:paraId="20FD4AE6" w14:textId="77777777" w:rsidR="00427F75" w:rsidRDefault="00F76E2A">
      <w:pPr>
        <w:pStyle w:val="normal0"/>
        <w:spacing w:line="240" w:lineRule="auto"/>
        <w:ind w:right="200"/>
      </w:pPr>
      <w:r>
        <w:rPr>
          <w:rFonts w:ascii="Georgia" w:eastAsia="Georgia" w:hAnsi="Georgia" w:cs="Georgia"/>
        </w:rPr>
        <w:t xml:space="preserve">A comprehensive list of the rare germline </w:t>
      </w:r>
      <w:proofErr w:type="gramStart"/>
      <w:r>
        <w:rPr>
          <w:rFonts w:ascii="Georgia" w:eastAsia="Georgia" w:hAnsi="Georgia" w:cs="Georgia"/>
        </w:rPr>
        <w:t>variants which are prioritized by our eleVAR pipeline</w:t>
      </w:r>
      <w:proofErr w:type="gramEnd"/>
      <w:r>
        <w:rPr>
          <w:rFonts w:ascii="Georgia" w:eastAsia="Georgia" w:hAnsi="Georgia" w:cs="Georgia"/>
        </w:rPr>
        <w:t xml:space="preserve"> will be made available. Data on variants from 2000 genomes will be submitted to dbGaP in VCF format. Along with the variants themselves, we will provide the important accessory data from the eleVAR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14:paraId="302F23A9" w14:textId="77777777" w:rsidR="00427F75" w:rsidRDefault="00F76E2A">
      <w:pPr>
        <w:pStyle w:val="normal0"/>
        <w:spacing w:line="240" w:lineRule="auto"/>
        <w:ind w:right="200" w:firstLine="720"/>
      </w:pPr>
      <w:r>
        <w:rPr>
          <w:rFonts w:ascii="Georgia" w:eastAsia="Georgia" w:hAnsi="Georgia" w:cs="Georgia"/>
        </w:rPr>
        <w:t>Among the rare variants that we prioritize and to which we assign features, we will publicly release about a thousand in flat text files on our eleVAR website (see below). This amounts to less than one variant per genome. As a result, we emphasize that this will not constitute any real concerns regarding privacy -- though we will modify this if the NIH feels otherwise.</w:t>
      </w:r>
    </w:p>
    <w:p w14:paraId="1B77D686" w14:textId="77777777" w:rsidR="00427F75" w:rsidRDefault="00F76E2A">
      <w:pPr>
        <w:pStyle w:val="normal0"/>
        <w:spacing w:line="240" w:lineRule="auto"/>
        <w:ind w:right="200" w:firstLine="720"/>
      </w:pPr>
      <w:r>
        <w:rPr>
          <w:rFonts w:ascii="Georgia" w:eastAsia="Georgia" w:hAnsi="Georgia" w:cs="Georgia"/>
        </w:rPr>
        <w:t>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14:paraId="5F6D9B22" w14:textId="77777777" w:rsidR="00427F75" w:rsidRDefault="00F76E2A">
      <w:pPr>
        <w:pStyle w:val="normal0"/>
        <w:spacing w:line="240" w:lineRule="auto"/>
        <w:ind w:right="40" w:firstLine="720"/>
      </w:pPr>
      <w:r>
        <w:rPr>
          <w:rFonts w:ascii="Georgia" w:eastAsia="Georgia" w:hAnsi="Georgia" w:cs="Georgia"/>
        </w:rPr>
        <w:t>We will create a small project website (elevar.gersteinlab.org)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website for our somatic variant pipeline (funseq.gersteinlab.org, which serves as a preliminary result for eleVAR). Any information linking the variants prioritized by our eleVAR pipeline to the genomes from which they were derived will be removed. Of course, information linking the variants to the individuals will not be included in our released variant dataset.</w:t>
      </w:r>
    </w:p>
    <w:p w14:paraId="0AE559FF" w14:textId="77777777" w:rsidR="00427F75" w:rsidRDefault="00F76E2A">
      <w:pPr>
        <w:pStyle w:val="normal0"/>
        <w:spacing w:line="240" w:lineRule="auto"/>
        <w:ind w:firstLine="720"/>
      </w:pPr>
      <w:r>
        <w:rPr>
          <w:rFonts w:ascii="Georgia" w:eastAsia="Georgia" w:hAnsi="Georgia" w:cs="Georgia"/>
        </w:rPr>
        <w:t>It is likely that investigators may like to tailor the eleVAR pipeline to their own specific needs or workloads. Thus, we plan to make the source code for eleVAR (as well as the associated modules, such allele DB and LARVA) freely available as tar files hosted at github and at the eleVAR website.</w:t>
      </w:r>
    </w:p>
    <w:p w14:paraId="1BBA3BAB" w14:textId="77777777" w:rsidR="00427F75" w:rsidRDefault="00F76E2A">
      <w:pPr>
        <w:pStyle w:val="normal0"/>
        <w:spacing w:before="20" w:line="240" w:lineRule="auto"/>
        <w:ind w:firstLine="720"/>
      </w:pPr>
      <w:r>
        <w:rPr>
          <w:rFonts w:ascii="Georgia" w:eastAsia="Georgia" w:hAnsi="Georgia" w:cs="Georgia"/>
        </w:rPr>
        <w:t>Finally, as we point out the proposed work, eleVAR relies on a complex data context that is derived from many genomic resources. We will make available via the eleVAR website many of these associated annotated files. These include a list of ultra-sensitive regions for TFs and ncRNAs, a list of predicted enhancers, the linkage between enhancers and their target genes, and a set of allelic SNPs and elements.</w:t>
      </w:r>
    </w:p>
    <w:p w14:paraId="528FD328" w14:textId="77777777" w:rsidR="00427F75" w:rsidRDefault="00427F75">
      <w:pPr>
        <w:pStyle w:val="normal0"/>
        <w:spacing w:before="20" w:line="240" w:lineRule="auto"/>
        <w:ind w:firstLine="720"/>
      </w:pPr>
    </w:p>
    <w:p w14:paraId="72A47CAC" w14:textId="77777777" w:rsidR="00427F75" w:rsidRDefault="00427F75">
      <w:pPr>
        <w:pStyle w:val="normal0"/>
        <w:spacing w:before="20" w:line="240" w:lineRule="auto"/>
        <w:ind w:firstLine="720"/>
      </w:pPr>
    </w:p>
    <w:p w14:paraId="2B4FB5D7" w14:textId="77777777" w:rsidR="00427F75" w:rsidRDefault="00427F75">
      <w:pPr>
        <w:pStyle w:val="normal0"/>
        <w:spacing w:before="20" w:line="240" w:lineRule="auto"/>
        <w:ind w:firstLine="720"/>
      </w:pPr>
    </w:p>
    <w:p w14:paraId="2BFFCD8D" w14:textId="77777777" w:rsidR="00427F75" w:rsidRDefault="00427F75">
      <w:pPr>
        <w:pStyle w:val="normal0"/>
        <w:spacing w:before="20" w:line="240" w:lineRule="auto"/>
        <w:ind w:firstLine="720"/>
      </w:pPr>
    </w:p>
    <w:p w14:paraId="0F7D68E7" w14:textId="77777777" w:rsidR="00427F75" w:rsidRDefault="00427F75">
      <w:pPr>
        <w:pStyle w:val="normal0"/>
        <w:spacing w:before="20" w:line="240" w:lineRule="auto"/>
        <w:ind w:firstLine="720"/>
      </w:pPr>
    </w:p>
    <w:p w14:paraId="592E0EC1" w14:textId="77777777" w:rsidR="00427F75" w:rsidRDefault="00427F75">
      <w:pPr>
        <w:pStyle w:val="normal0"/>
        <w:spacing w:before="20" w:line="240" w:lineRule="auto"/>
        <w:ind w:firstLine="720"/>
      </w:pPr>
    </w:p>
    <w:p w14:paraId="56F8DBBA" w14:textId="77777777" w:rsidR="00427F75" w:rsidRDefault="00427F75">
      <w:pPr>
        <w:pStyle w:val="normal0"/>
        <w:spacing w:before="20" w:line="240" w:lineRule="auto"/>
        <w:ind w:firstLine="720"/>
      </w:pPr>
    </w:p>
    <w:p w14:paraId="241251B4" w14:textId="77777777" w:rsidR="00427F75" w:rsidRDefault="00427F75">
      <w:pPr>
        <w:pStyle w:val="normal0"/>
        <w:spacing w:before="20" w:line="240" w:lineRule="auto"/>
        <w:ind w:firstLine="720"/>
      </w:pPr>
    </w:p>
    <w:p w14:paraId="6DD525C7" w14:textId="77777777" w:rsidR="00427F75" w:rsidRDefault="00427F75">
      <w:pPr>
        <w:pStyle w:val="normal0"/>
        <w:spacing w:before="20" w:line="240" w:lineRule="auto"/>
        <w:ind w:firstLine="720"/>
      </w:pPr>
    </w:p>
    <w:p w14:paraId="251736C2" w14:textId="77777777" w:rsidR="00427F75" w:rsidRDefault="00427F75">
      <w:pPr>
        <w:pStyle w:val="normal0"/>
        <w:spacing w:before="20" w:line="240" w:lineRule="auto"/>
        <w:ind w:firstLine="720"/>
      </w:pPr>
    </w:p>
    <w:p w14:paraId="069C86DF" w14:textId="77777777" w:rsidR="00427F75" w:rsidRDefault="00427F75">
      <w:pPr>
        <w:pStyle w:val="normal0"/>
        <w:spacing w:before="20" w:line="240" w:lineRule="auto"/>
        <w:ind w:firstLine="720"/>
      </w:pPr>
    </w:p>
    <w:p w14:paraId="3DEEDD0C" w14:textId="77777777" w:rsidR="00427F75" w:rsidRDefault="00427F75">
      <w:pPr>
        <w:pStyle w:val="normal0"/>
        <w:spacing w:before="20" w:line="240" w:lineRule="auto"/>
        <w:ind w:firstLine="720"/>
      </w:pPr>
    </w:p>
    <w:p w14:paraId="0FA2EC81" w14:textId="77777777" w:rsidR="00427F75" w:rsidRDefault="00427F75">
      <w:pPr>
        <w:pStyle w:val="normal0"/>
        <w:spacing w:before="20" w:line="240" w:lineRule="auto"/>
        <w:ind w:firstLine="720"/>
      </w:pPr>
    </w:p>
    <w:p w14:paraId="7857CDDA" w14:textId="77777777" w:rsidR="00427F75" w:rsidRDefault="00427F75">
      <w:pPr>
        <w:pStyle w:val="normal0"/>
        <w:spacing w:before="20" w:line="240" w:lineRule="auto"/>
        <w:ind w:firstLine="720"/>
      </w:pPr>
    </w:p>
    <w:p w14:paraId="5B811EDA" w14:textId="77777777" w:rsidR="00427F75" w:rsidRDefault="00427F75">
      <w:pPr>
        <w:pStyle w:val="normal0"/>
        <w:spacing w:before="20" w:line="240" w:lineRule="auto"/>
        <w:ind w:firstLine="720"/>
      </w:pPr>
    </w:p>
    <w:p w14:paraId="5E9FB19A" w14:textId="77777777" w:rsidR="006C59E5" w:rsidRDefault="006C59E5">
      <w:pPr>
        <w:pStyle w:val="normal0"/>
        <w:spacing w:before="20" w:line="240" w:lineRule="auto"/>
        <w:ind w:firstLine="720"/>
      </w:pPr>
    </w:p>
    <w:p w14:paraId="2F6D3D09" w14:textId="77777777" w:rsidR="006C59E5" w:rsidRDefault="006C59E5">
      <w:pPr>
        <w:pStyle w:val="normal0"/>
        <w:spacing w:before="20" w:line="240" w:lineRule="auto"/>
        <w:ind w:firstLine="720"/>
      </w:pPr>
    </w:p>
    <w:p w14:paraId="0CCB3ED1" w14:textId="77777777" w:rsidR="006C59E5" w:rsidRDefault="006C59E5">
      <w:pPr>
        <w:pStyle w:val="normal0"/>
        <w:spacing w:before="20" w:line="240" w:lineRule="auto"/>
        <w:ind w:firstLine="720"/>
      </w:pPr>
    </w:p>
    <w:p w14:paraId="03897860" w14:textId="77777777" w:rsidR="00427F75" w:rsidRDefault="00427F75">
      <w:pPr>
        <w:pStyle w:val="normal0"/>
        <w:spacing w:before="20" w:line="240" w:lineRule="auto"/>
      </w:pPr>
    </w:p>
    <w:p w14:paraId="4BDBB2EC" w14:textId="77777777" w:rsidR="00427F75" w:rsidRDefault="00F76E2A">
      <w:pPr>
        <w:pStyle w:val="normal0"/>
        <w:spacing w:before="20" w:line="240" w:lineRule="auto"/>
      </w:pPr>
      <w:r>
        <w:rPr>
          <w:b/>
          <w:i/>
        </w:rPr>
        <w:t>Narrative</w:t>
      </w:r>
    </w:p>
    <w:p w14:paraId="466BDC7A" w14:textId="77777777" w:rsidR="00427F75" w:rsidRDefault="00F76E2A">
      <w:pPr>
        <w:pStyle w:val="normal0"/>
        <w:spacing w:before="20" w:line="240" w:lineRule="auto"/>
      </w:pPr>
      <w:r>
        <w:rPr>
          <w:rFonts w:ascii="Georgia" w:eastAsia="Georgia" w:hAnsi="Georgia" w:cs="Georgia"/>
        </w:rPr>
        <w:t>We plan to study the germline variants associated with disease, using prostate cancer as a test case. We will focus on rare, germline variants in non-coding regions – a category of variant underrepresented in previous disease studies. Utilizing a range of cancer genome data, our goal is to prioritize variants for validation with a functional annotation pipeline.</w:t>
      </w:r>
    </w:p>
    <w:p w14:paraId="32F61EDF" w14:textId="77777777" w:rsidR="00427F75" w:rsidRDefault="00F76E2A">
      <w:pPr>
        <w:pStyle w:val="normal0"/>
        <w:spacing w:before="20" w:line="240" w:lineRule="auto"/>
      </w:pPr>
      <w:r>
        <w:rPr>
          <w:b/>
          <w:i/>
        </w:rPr>
        <w:t>Abstract</w:t>
      </w:r>
    </w:p>
    <w:p w14:paraId="270B0FBB" w14:textId="36D5243D" w:rsidR="00427F75" w:rsidRDefault="00F76E2A">
      <w:pPr>
        <w:pStyle w:val="normal0"/>
        <w:spacing w:before="20" w:line="240" w:lineRule="auto"/>
      </w:pPr>
      <w:r>
        <w:rPr>
          <w:rFonts w:ascii="Georgia" w:eastAsia="Georgia" w:hAnsi="Georgia" w:cs="Georgia"/>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Pr>
          <w:rFonts w:ascii="Georgia" w:eastAsia="Georgia" w:hAnsi="Georgia" w:cs="Georgia"/>
          <w:b/>
        </w:rPr>
        <w:t>ele</w:t>
      </w:r>
      <w:r>
        <w:rPr>
          <w:rFonts w:ascii="Georgia" w:eastAsia="Georgia" w:hAnsi="Georgia" w:cs="Georgia"/>
        </w:rPr>
        <w:t xml:space="preserve">vating germline </w:t>
      </w:r>
      <w:r>
        <w:rPr>
          <w:rFonts w:ascii="Georgia" w:eastAsia="Georgia" w:hAnsi="Georgia" w:cs="Georgia"/>
          <w:b/>
        </w:rPr>
        <w:t>VAR</w:t>
      </w:r>
      <w:r>
        <w:rPr>
          <w:rFonts w:ascii="Georgia" w:eastAsia="Georgia" w:hAnsi="Georgia" w:cs="Georgia"/>
        </w:rPr>
        <w:t xml:space="preserve">iants. FunSeq was developed to prioritize somatic variants in regions of the genome depleted of common variants in the general population, based on data from the 1000 Genomes project. </w:t>
      </w:r>
      <w:proofErr w:type="gramStart"/>
      <w:r>
        <w:rPr>
          <w:rFonts w:ascii="Georgia" w:eastAsia="Georgia" w:hAnsi="Georgia" w:cs="Georgia"/>
        </w:rPr>
        <w:t>eleVAR</w:t>
      </w:r>
      <w:proofErr w:type="gramEnd"/>
      <w:r>
        <w:rPr>
          <w:rFonts w:ascii="Georgia" w:eastAsia="Georgia" w:hAnsi="Georgia" w:cs="Georgia"/>
        </w:rPr>
        <w:t xml:space="preserve">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 Our efficient implementation of eleVAR will include a module for updating parameters in response to high throughput experimental data. We will progressively tune and evaluate eleVAR, first using publicly available data, and then using multiple rounds of high throughput experimental characterization of variants occurring specifically in prostate cancer. Our third objective is to functionally validate a subset of variants. First, we will identify variants in the top 6 eleVAR–scored variants and look at their frequency of occurrence in a large prostate cancer cohort using targeted re-sequencing. We will use the CRISPR/Cas system to generate endogenous mutations, determining their effects on target gene expression, cell morphology and tumorigenicity, and TF binding by EMSA and chromatin immunoprecipitation.</w:t>
      </w:r>
    </w:p>
    <w:p w14:paraId="6E672DAE" w14:textId="77777777" w:rsidR="00427F75" w:rsidRDefault="00427F75">
      <w:pPr>
        <w:pStyle w:val="normal0"/>
        <w:spacing w:before="20" w:line="240" w:lineRule="auto"/>
      </w:pPr>
    </w:p>
    <w:p w14:paraId="6C358268" w14:textId="77777777" w:rsidR="006C59E5" w:rsidRDefault="006C59E5">
      <w:pPr>
        <w:pStyle w:val="normal0"/>
        <w:spacing w:before="20" w:line="240" w:lineRule="auto"/>
      </w:pPr>
    </w:p>
    <w:p w14:paraId="5BD8CF9C" w14:textId="77777777" w:rsidR="006C59E5" w:rsidRDefault="006C59E5">
      <w:pPr>
        <w:pStyle w:val="normal0"/>
        <w:spacing w:before="20" w:line="240" w:lineRule="auto"/>
      </w:pPr>
    </w:p>
    <w:p w14:paraId="27A16904" w14:textId="77777777" w:rsidR="006C59E5" w:rsidRDefault="006C59E5">
      <w:pPr>
        <w:pStyle w:val="normal0"/>
        <w:spacing w:before="20" w:line="240" w:lineRule="auto"/>
      </w:pPr>
    </w:p>
    <w:p w14:paraId="76469405" w14:textId="77777777" w:rsidR="006C59E5" w:rsidRDefault="006C59E5">
      <w:pPr>
        <w:pStyle w:val="normal0"/>
        <w:spacing w:before="20" w:line="240" w:lineRule="auto"/>
      </w:pPr>
    </w:p>
    <w:p w14:paraId="0CA96E4B" w14:textId="77777777" w:rsidR="006C59E5" w:rsidRDefault="006C59E5">
      <w:pPr>
        <w:pStyle w:val="normal0"/>
        <w:spacing w:before="20" w:line="240" w:lineRule="auto"/>
      </w:pPr>
    </w:p>
    <w:p w14:paraId="5AF8EB11" w14:textId="77777777" w:rsidR="006C59E5" w:rsidRDefault="006C59E5">
      <w:pPr>
        <w:pStyle w:val="normal0"/>
        <w:spacing w:before="20" w:line="240" w:lineRule="auto"/>
      </w:pPr>
    </w:p>
    <w:p w14:paraId="1A5ED161" w14:textId="77777777" w:rsidR="006C59E5" w:rsidRDefault="006C59E5">
      <w:pPr>
        <w:pStyle w:val="normal0"/>
        <w:spacing w:before="20" w:line="240" w:lineRule="auto"/>
      </w:pPr>
    </w:p>
    <w:p w14:paraId="429346C9" w14:textId="77777777" w:rsidR="006C59E5" w:rsidRDefault="006C59E5">
      <w:pPr>
        <w:pStyle w:val="normal0"/>
        <w:spacing w:before="20" w:line="240" w:lineRule="auto"/>
      </w:pPr>
    </w:p>
    <w:p w14:paraId="270F70FA" w14:textId="77777777" w:rsidR="006C59E5" w:rsidRDefault="006C59E5">
      <w:pPr>
        <w:pStyle w:val="normal0"/>
        <w:spacing w:before="20" w:line="240" w:lineRule="auto"/>
      </w:pPr>
    </w:p>
    <w:p w14:paraId="166DE623" w14:textId="77777777" w:rsidR="006C59E5" w:rsidRDefault="006C59E5">
      <w:pPr>
        <w:pStyle w:val="normal0"/>
        <w:spacing w:before="20" w:line="240" w:lineRule="auto"/>
      </w:pPr>
    </w:p>
    <w:p w14:paraId="112292DA" w14:textId="77777777" w:rsidR="006C59E5" w:rsidRDefault="006C59E5">
      <w:pPr>
        <w:pStyle w:val="normal0"/>
        <w:spacing w:before="20" w:line="240" w:lineRule="auto"/>
      </w:pPr>
    </w:p>
    <w:p w14:paraId="76686944" w14:textId="77777777" w:rsidR="006C59E5" w:rsidRDefault="006C59E5">
      <w:pPr>
        <w:pStyle w:val="normal0"/>
        <w:spacing w:before="20" w:line="240" w:lineRule="auto"/>
      </w:pPr>
    </w:p>
    <w:p w14:paraId="1E9B5F20" w14:textId="77777777" w:rsidR="006C59E5" w:rsidRDefault="006C59E5">
      <w:pPr>
        <w:pStyle w:val="normal0"/>
        <w:spacing w:before="20" w:line="240" w:lineRule="auto"/>
      </w:pPr>
    </w:p>
    <w:p w14:paraId="499D0732" w14:textId="77777777" w:rsidR="006C59E5" w:rsidRDefault="006C59E5">
      <w:pPr>
        <w:pStyle w:val="normal0"/>
        <w:spacing w:before="20" w:line="240" w:lineRule="auto"/>
      </w:pPr>
    </w:p>
    <w:p w14:paraId="2829E853" w14:textId="77777777" w:rsidR="006C59E5" w:rsidRDefault="006C59E5">
      <w:pPr>
        <w:pStyle w:val="normal0"/>
        <w:spacing w:before="20" w:line="240" w:lineRule="auto"/>
      </w:pPr>
    </w:p>
    <w:p w14:paraId="6AC285DA" w14:textId="77777777" w:rsidR="006C59E5" w:rsidRDefault="006C59E5">
      <w:pPr>
        <w:pStyle w:val="normal0"/>
        <w:spacing w:before="20" w:line="240" w:lineRule="auto"/>
      </w:pPr>
    </w:p>
    <w:p w14:paraId="4395E3E5" w14:textId="77777777" w:rsidR="006C59E5" w:rsidRDefault="006C59E5">
      <w:pPr>
        <w:pStyle w:val="normal0"/>
        <w:spacing w:before="20" w:line="240" w:lineRule="auto"/>
      </w:pPr>
    </w:p>
    <w:p w14:paraId="6854B104" w14:textId="77777777" w:rsidR="006C59E5" w:rsidRDefault="006C59E5">
      <w:pPr>
        <w:pStyle w:val="normal0"/>
        <w:spacing w:before="20" w:line="240" w:lineRule="auto"/>
      </w:pPr>
    </w:p>
    <w:p w14:paraId="1417C4B7" w14:textId="77777777" w:rsidR="006C59E5" w:rsidRDefault="006C59E5">
      <w:pPr>
        <w:pStyle w:val="normal0"/>
        <w:spacing w:before="20" w:line="240" w:lineRule="auto"/>
      </w:pPr>
    </w:p>
    <w:p w14:paraId="6EE26749" w14:textId="77777777" w:rsidR="006C59E5" w:rsidRDefault="006C59E5">
      <w:pPr>
        <w:pStyle w:val="normal0"/>
        <w:spacing w:before="20" w:line="240" w:lineRule="auto"/>
      </w:pPr>
    </w:p>
    <w:p w14:paraId="7EA14E4E" w14:textId="77777777" w:rsidR="006C59E5" w:rsidRDefault="006C59E5">
      <w:pPr>
        <w:pStyle w:val="normal0"/>
        <w:spacing w:before="20" w:line="240" w:lineRule="auto"/>
      </w:pPr>
    </w:p>
    <w:p w14:paraId="0D461108" w14:textId="77777777" w:rsidR="006C59E5" w:rsidRDefault="006C59E5">
      <w:pPr>
        <w:pStyle w:val="normal0"/>
        <w:spacing w:before="20" w:line="240" w:lineRule="auto"/>
      </w:pPr>
    </w:p>
    <w:p w14:paraId="54081BC6" w14:textId="77777777" w:rsidR="006C59E5" w:rsidRDefault="006C59E5">
      <w:pPr>
        <w:pStyle w:val="normal0"/>
        <w:spacing w:before="20" w:line="240" w:lineRule="auto"/>
      </w:pPr>
    </w:p>
    <w:p w14:paraId="62A69EA1" w14:textId="77777777" w:rsidR="0069618E" w:rsidRDefault="0069618E">
      <w:pPr>
        <w:pStyle w:val="normal0"/>
        <w:spacing w:before="20" w:line="240" w:lineRule="auto"/>
      </w:pPr>
    </w:p>
    <w:p w14:paraId="49986BD6" w14:textId="561E59CA" w:rsidR="00572B35" w:rsidRDefault="006C59E5">
      <w:pPr>
        <w:spacing w:after="120"/>
        <w:ind w:left="360" w:hanging="360"/>
        <w:rPr>
          <w:rFonts w:ascii="Times New Roman" w:hAnsi="Times New Roman"/>
          <w:sz w:val="24"/>
        </w:rPr>
      </w:pPr>
      <w:r>
        <w:t xml:space="preserve">      </w:t>
      </w:r>
      <w:r w:rsidR="00572B35">
        <w:fldChar w:fldCharType="begin"/>
      </w:r>
      <w:r w:rsidR="00572B35">
        <w:instrText xml:space="preserve"> ADDIN bibliography{bib_file:ref1 (1).bib;bib_template:/Users/sk972/Library/Application Support/BibDesk/Templates/BDtW-BibliographyTemplate-PMID.doc;citep_template:/Users/sk972/Library/Application Support/BibDesk/Templates/BDtW-NumberedSuperscriptCite.doc;citet_template:/Users/sk972/Library/Application Support/BibDesk/Templates/BDtW-NumberedBracketedCite.txt;ref_order:Appearance}</w:instrText>
      </w:r>
      <w:r w:rsidR="00572B35">
        <w:fldChar w:fldCharType="separate"/>
      </w:r>
      <w:r w:rsidR="00572B35">
        <w:rPr>
          <w:rFonts w:ascii="Times New Roman" w:hAnsi="Times New Roman"/>
          <w:sz w:val="24"/>
        </w:rPr>
        <w:t>1.</w:t>
      </w:r>
      <w:r w:rsidR="00572B35">
        <w:rPr>
          <w:rFonts w:ascii="Times New Roman" w:hAnsi="Times New Roman"/>
          <w:sz w:val="24"/>
        </w:rPr>
        <w:tab/>
        <w:t xml:space="preserve">Wei, X., Das, J., Fragoza, R., Liang, J., Bastos de Oliveira, F. M., Lee, H. R., Wang, X., Mort, M., Stenson, P. D., Cooper, D. N., Lipkin, S. M., Smolka, M. B., &amp; Yu, H. (2014) A massively parallel pipeline to clone DNA variants and examine molecular phenotypes of human disease mutations.. </w:t>
      </w:r>
      <w:r w:rsidR="00572B35">
        <w:rPr>
          <w:rFonts w:ascii="Times New Roman" w:hAnsi="Times New Roman"/>
          <w:i/>
          <w:sz w:val="24"/>
        </w:rPr>
        <w:t>PLoS genetics</w:t>
      </w:r>
      <w:r w:rsidR="00572B35">
        <w:rPr>
          <w:rFonts w:ascii="Times New Roman" w:hAnsi="Times New Roman"/>
          <w:sz w:val="24"/>
        </w:rPr>
        <w:t xml:space="preserve"> 10, e1004819, PMCID: .</w:t>
      </w:r>
      <w:r w:rsidR="00572B35">
        <w:rPr>
          <w:rFonts w:ascii="Times New Roman" w:hAnsi="Times New Roman"/>
          <w:sz w:val="24"/>
        </w:rPr>
        <w:cr/>
        <w:t>2.</w:t>
      </w:r>
      <w:r w:rsidR="00572B35">
        <w:rPr>
          <w:rFonts w:ascii="Times New Roman" w:hAnsi="Times New Roman"/>
          <w:sz w:val="24"/>
        </w:rPr>
        <w:tab/>
        <w:t xml:space="preserve">Weinhold, N., Jacobsen, A., Schultz, N., Sander, C., &amp; Lee, W. (2014) Genome-wide analysis of noncoding regulatory mutations in cancer.. </w:t>
      </w:r>
      <w:r w:rsidR="00572B35">
        <w:rPr>
          <w:rFonts w:ascii="Times New Roman" w:hAnsi="Times New Roman"/>
          <w:i/>
          <w:sz w:val="24"/>
        </w:rPr>
        <w:t>Nature genetics</w:t>
      </w:r>
      <w:r w:rsidR="00572B35">
        <w:rPr>
          <w:rFonts w:ascii="Times New Roman" w:hAnsi="Times New Roman"/>
          <w:sz w:val="24"/>
        </w:rPr>
        <w:t xml:space="preserve"> 46, 1160--1165, PMCID: .</w:t>
      </w:r>
      <w:r w:rsidR="00572B35">
        <w:rPr>
          <w:rFonts w:ascii="Times New Roman" w:hAnsi="Times New Roman"/>
          <w:sz w:val="24"/>
        </w:rPr>
        <w:cr/>
        <w:t>3.</w:t>
      </w:r>
      <w:r w:rsidR="00572B35">
        <w:rPr>
          <w:rFonts w:ascii="Times New Roman" w:hAnsi="Times New Roman"/>
          <w:sz w:val="24"/>
        </w:rPr>
        <w:tab/>
        <w:t xml:space="preserve">Fredriksson, N. J., Ny, L., Nilsson, J. A., &amp; Larsson, E. (2014) Systematic analysis of noncoding somatic mutations and gene expression alterations across 14 tumor types.. </w:t>
      </w:r>
      <w:r w:rsidR="00572B35">
        <w:rPr>
          <w:rFonts w:ascii="Times New Roman" w:hAnsi="Times New Roman"/>
          <w:i/>
          <w:sz w:val="24"/>
        </w:rPr>
        <w:t>Nature genetics</w:t>
      </w:r>
      <w:r w:rsidR="00572B35">
        <w:rPr>
          <w:rFonts w:ascii="Times New Roman" w:hAnsi="Times New Roman"/>
          <w:sz w:val="24"/>
        </w:rPr>
        <w:t xml:space="preserve"> 46, 1258--1263, PMCID: .</w:t>
      </w:r>
      <w:r w:rsidR="00572B35">
        <w:rPr>
          <w:rFonts w:ascii="Times New Roman" w:hAnsi="Times New Roman"/>
          <w:sz w:val="24"/>
        </w:rPr>
        <w:cr/>
        <w:t>4.</w:t>
      </w:r>
      <w:r w:rsidR="00572B35">
        <w:rPr>
          <w:rFonts w:ascii="Times New Roman" w:hAnsi="Times New Roman"/>
          <w:sz w:val="24"/>
        </w:rPr>
        <w:tab/>
        <w:t xml:space="preserve">Fu, Y., Liu, Z., Lou, S., Bedford, J., Mu, X. J., Yip, K. Y., Khurana, E., &amp; Gerstein, M. (2014) FunSeq2: a framework for prioritizing noncoding regulatory variants in cancer.. </w:t>
      </w:r>
      <w:r w:rsidR="00572B35">
        <w:rPr>
          <w:rFonts w:ascii="Times New Roman" w:hAnsi="Times New Roman"/>
          <w:i/>
          <w:sz w:val="24"/>
        </w:rPr>
        <w:t>Genome biology</w:t>
      </w:r>
      <w:r w:rsidR="00572B35">
        <w:rPr>
          <w:rFonts w:ascii="Times New Roman" w:hAnsi="Times New Roman"/>
          <w:sz w:val="24"/>
        </w:rPr>
        <w:t xml:space="preserve"> 15, 480, PMCID: .</w:t>
      </w:r>
      <w:r w:rsidR="00572B35">
        <w:rPr>
          <w:rFonts w:ascii="Times New Roman" w:hAnsi="Times New Roman"/>
          <w:sz w:val="24"/>
        </w:rPr>
        <w:cr/>
        <w:t>5.</w:t>
      </w:r>
      <w:r w:rsidR="00572B35">
        <w:rPr>
          <w:rFonts w:ascii="Times New Roman" w:hAnsi="Times New Roman"/>
          <w:sz w:val="24"/>
        </w:rPr>
        <w:tab/>
        <w:t xml:space="preserve">Cruchaga, C., Karch, C. M., Jin, S. C., Benitez, B. A., Cai, Y., Guerreiro, R., Harari, O., Norton, J., Budde, J., Bertelsen, S., Jeng, A. T., Cooper, B., Skorupa, T., Carrell, D., Levitch, D., Hsu, S., Choi, J., Ryten, M., UK Brain Expression Consortium, Hardy, J., Trabzuni, D., Weale, M. E., Ramasamy, A., Smith, C., Sassi, C., Bras, J., Gibbs, J. R., Hernandez, D. G., Lupton, M. K., Powell, J., Forabosco, P., Ridge, P. G., Corcoran, C. D., Tschanz, J. T., Norton, M. C., Munger, R. G., Schmutz, C., Leary, M., Demirci, F. Y., Bamne, M. N., Wang, X., Lopez, O. L., Ganguli, M., Medway, C., Turton, J., Lord, J., Braae, A., Barber, I., Brown, K., Alzheimer's Research UK Consortium, Passmore, P., Craig, D., Johnston, J., McGuinness, B., Todd, S., Heun, R., Kölsch, H., Kehoe, P. G., Hooper, N. M., Vardy, E. R. L. C., Mann, D. M., Pickering-Brown, S., Kalsheker, N., Lowe, J., Morgan, K., David Smith, A., Wilcock, G., Warden, D., Holmes, C., Pastor, P., Lorenzo-Betancor, O., Brkanac, Z., Scott, E., Topol, E., Rogaeva, E., Singleton, A. B., Kamboh, M. I., St George-Hyslop, P., Cairns, N., Morris, J. C., Kauwe, J. S. K., &amp; Goate, A. M. (2014) Rare coding variants in the phospholipase D3 gene confer risk for Alzheimer's disease.. </w:t>
      </w:r>
      <w:r w:rsidR="00572B35">
        <w:rPr>
          <w:rFonts w:ascii="Times New Roman" w:hAnsi="Times New Roman"/>
          <w:i/>
          <w:sz w:val="24"/>
        </w:rPr>
        <w:t>Nature</w:t>
      </w:r>
      <w:r w:rsidR="00572B35">
        <w:rPr>
          <w:rFonts w:ascii="Times New Roman" w:hAnsi="Times New Roman"/>
          <w:sz w:val="24"/>
        </w:rPr>
        <w:t xml:space="preserve"> 505, 550--554, PMCID: .</w:t>
      </w:r>
      <w:r w:rsidR="00572B35">
        <w:rPr>
          <w:rFonts w:ascii="Times New Roman" w:hAnsi="Times New Roman"/>
          <w:sz w:val="24"/>
        </w:rPr>
        <w:cr/>
        <w:t>6.</w:t>
      </w:r>
      <w:r w:rsidR="00572B35">
        <w:rPr>
          <w:rFonts w:ascii="Times New Roman" w:hAnsi="Times New Roman"/>
          <w:sz w:val="24"/>
        </w:rPr>
        <w:tab/>
        <w:t xml:space="preserve">MacArthur, D. G., Balasubramanian, S., Frankish, A., Huang, N., Morris, J., Walter, K., Jostins, L., Habegger, L., Pickrell, J. K., Montgomery, S. B., Albers, C. A., Zhang, Z. D., Conrad, D. F., Lunter, G., Zheng, H., Ayub, Q., DePristo, M. A., Banks, E., Hu, M., Handsaker, R. E., Rosenfeld, J. A., Fromer, M., Jin, M., Mu, X. J., Khurana, E., Ye, K., Kay, M., Saunders, G. I., Suner, M.-M., Hunt, T., Barnes, I. H. A., Amid, C., Carvalho-Silva, D. R., Bignell, A. H., Snow, C., Yngvadottir, B., Bumpstead, S., Cooper, D. N., Xue, Y., Romero, I. G., 1000 Genomes Project Consortium, Wang, J., Li, Y., Gibbs, R. A., McCarroll, S. A., Dermitzakis, E. T., Pritchard, J. K., Barrett, J. C., Harrow, J., Hurles, M. E., Gerstein, M. B., &amp; Tyler-Smith, C. (2012) A systematic survey of loss-of-function variants in human protein-coding genes.. </w:t>
      </w:r>
      <w:r w:rsidR="00572B35">
        <w:rPr>
          <w:rFonts w:ascii="Times New Roman" w:hAnsi="Times New Roman"/>
          <w:i/>
          <w:sz w:val="24"/>
        </w:rPr>
        <w:t>Science (New York, N.Y.)</w:t>
      </w:r>
      <w:r w:rsidR="00572B35">
        <w:rPr>
          <w:rFonts w:ascii="Times New Roman" w:hAnsi="Times New Roman"/>
          <w:sz w:val="24"/>
        </w:rPr>
        <w:t xml:space="preserve"> 335, 823--828, PMCID: .</w:t>
      </w:r>
      <w:r w:rsidR="00572B35">
        <w:rPr>
          <w:rFonts w:ascii="Times New Roman" w:hAnsi="Times New Roman"/>
          <w:sz w:val="24"/>
        </w:rPr>
        <w:cr/>
        <w:t>7.</w:t>
      </w:r>
      <w:r w:rsidR="00572B35">
        <w:rPr>
          <w:rFonts w:ascii="Times New Roman" w:hAnsi="Times New Roman"/>
          <w:sz w:val="24"/>
        </w:rPr>
        <w:tab/>
        <w:t xml:space="preserve">Cox, A., Dunning, A. M., Garcia-Closas, M., Balasubramanian, S., Reed, M. W. R., Pooley, K. A., Scollen, S., Baynes, C., Ponder, B. A. J., Chanock, S., Lissowska, J., Brinton, L., Peplonska, B., Southey, M. C., Hopper, J. L., McCredie, M. R. E., Giles, G. G., Fletcher, O., Johnson, N., dos Santos Silva, I., Gibson, L., Bojesen, S. E., Nordestgaard, B. G., Axelsson, C. K., Torres, D., Hamann, U., Justenhoven, C., Brauch, H., Chang-Claude, J., Kropp, S., Risch, A., Wang-Gohrke, S., Schürmann, P., Bogdanova, N., Dörk, T., Fagerholm, R., Aaltonen, K., Blomqvist, C., Nevanlinna, H., Seal, S., Renwick, A., Stratton, M. R., Rahman, N., Sangrajrang, S., Hughes, D., Odefrey, F., Brennan, P., Spurdle, A. B., Chenevix-Trench, G., Kathleen Cunningham Foundation Consortium for Research into Familial Breast Cancer, Beesley, J., Mannermaa, A., Hartikainen, J., Kataja, V., Kosma, V.-M., Couch, F. J., Olson, J. E., Goode, E. L., Broeks, A., Schmidt, M. K., Hogervorst, F. B. L., Van't Veer, L. J., Kang, D., Yoo, K.-Y., Noh, D.-Y., Ahn, S.-H., Wedrén, S., Hall, P., Low, Y.-L., Liu, J., Milne, R. L., Ribas, G., Gonzalez-Neira, A., Benitez, J., Sigurdson, A. J., Stredrick, D. L., Alexander, B. H., Struewing, J. P., Pharoah, P. D. P., Easton, D. F., &amp; Breast Cancer </w:t>
      </w:r>
      <w:r w:rsidR="00572B35">
        <w:rPr>
          <w:rFonts w:ascii="Times New Roman" w:hAnsi="Times New Roman"/>
          <w:sz w:val="24"/>
        </w:rPr>
        <w:lastRenderedPageBreak/>
        <w:t xml:space="preserve">Association Consortium (2007) A common coding variant in CASP8 is associated with breast cancer risk.. </w:t>
      </w:r>
      <w:r w:rsidR="00572B35">
        <w:rPr>
          <w:rFonts w:ascii="Times New Roman" w:hAnsi="Times New Roman"/>
          <w:i/>
          <w:sz w:val="24"/>
        </w:rPr>
        <w:t>Nature genetics</w:t>
      </w:r>
      <w:r w:rsidR="00572B35">
        <w:rPr>
          <w:rFonts w:ascii="Times New Roman" w:hAnsi="Times New Roman"/>
          <w:sz w:val="24"/>
        </w:rPr>
        <w:t xml:space="preserve"> 39, 352--358, PMCID: .</w:t>
      </w:r>
      <w:r w:rsidR="00572B35">
        <w:rPr>
          <w:rFonts w:ascii="Times New Roman" w:hAnsi="Times New Roman"/>
          <w:sz w:val="24"/>
        </w:rPr>
        <w:cr/>
        <w:t>8.</w:t>
      </w:r>
      <w:r w:rsidR="00572B35">
        <w:rPr>
          <w:rFonts w:ascii="Times New Roman" w:hAnsi="Times New Roman"/>
          <w:sz w:val="24"/>
        </w:rPr>
        <w:tab/>
        <w:t xml:space="preserve">Momozawa, Y., Mni, M., Nakamura, K., Coppieters, W., Almer, S., Amininejad, L., Cleynen, I., Colombel, J.-F., de Rijk, P., Dewit, O., Finkel, Y., Gassull, M. A., Goossens, D., Laukens, D., Lémann, M., Libioulle, C., O'Morain, C., Reenaers, C., Rutgeerts, P., Tysk, C., Zelenika, D., Lathrop, M., Del-Favero, J., Hugot, J.-P., de Vos, M., Franchimont, D., Vermeire, S., Louis, E., &amp; Georges, M. (2011) Resequencing of positional candidates identifies low frequency IL23R coding variants protecting against inflammatory bowel disease.. </w:t>
      </w:r>
      <w:r w:rsidR="00572B35">
        <w:rPr>
          <w:rFonts w:ascii="Times New Roman" w:hAnsi="Times New Roman"/>
          <w:i/>
          <w:sz w:val="24"/>
        </w:rPr>
        <w:t>Nature genetics</w:t>
      </w:r>
      <w:r w:rsidR="00572B35">
        <w:rPr>
          <w:rFonts w:ascii="Times New Roman" w:hAnsi="Times New Roman"/>
          <w:sz w:val="24"/>
        </w:rPr>
        <w:t xml:space="preserve"> 43, 43--47, PMCID: .</w:t>
      </w:r>
      <w:r w:rsidR="00572B35">
        <w:rPr>
          <w:rFonts w:ascii="Times New Roman" w:hAnsi="Times New Roman"/>
          <w:sz w:val="24"/>
        </w:rPr>
        <w:cr/>
        <w:t>9.</w:t>
      </w:r>
      <w:r w:rsidR="00572B35">
        <w:rPr>
          <w:rFonts w:ascii="Times New Roman" w:hAnsi="Times New Roman"/>
          <w:sz w:val="24"/>
        </w:rPr>
        <w:tab/>
        <w:t xml:space="preserve">Kimchi-Sarfaty, C., Oh, J. M., Kim, I.-W., Sauna, Z. E., Calcagno, A. M., Ambudkar, S. V., &amp; Gottesman, M. M. (2007) A ``silent'' polymorphism in the MDR1 gene changes substrate specificity.. </w:t>
      </w:r>
      <w:r w:rsidR="00572B35">
        <w:rPr>
          <w:rFonts w:ascii="Times New Roman" w:hAnsi="Times New Roman"/>
          <w:i/>
          <w:sz w:val="24"/>
        </w:rPr>
        <w:t>Science (New York, N.Y.)</w:t>
      </w:r>
      <w:r w:rsidR="00572B35">
        <w:rPr>
          <w:rFonts w:ascii="Times New Roman" w:hAnsi="Times New Roman"/>
          <w:sz w:val="24"/>
        </w:rPr>
        <w:t xml:space="preserve"> 315, 525--528, PMCID: .</w:t>
      </w:r>
      <w:r w:rsidR="00572B35">
        <w:rPr>
          <w:rFonts w:ascii="Times New Roman" w:hAnsi="Times New Roman"/>
          <w:sz w:val="24"/>
        </w:rPr>
        <w:cr/>
        <w:t>10.</w:t>
      </w:r>
      <w:r w:rsidR="00572B35">
        <w:rPr>
          <w:rFonts w:ascii="Times New Roman" w:hAnsi="Times New Roman"/>
          <w:sz w:val="24"/>
        </w:rPr>
        <w:tab/>
        <w:t xml:space="preserve">Ward, L. D. &amp; Kellis, M. (2012) Interpreting noncoding genetic variation in complex traits and human disease.. </w:t>
      </w:r>
      <w:r w:rsidR="00572B35">
        <w:rPr>
          <w:rFonts w:ascii="Times New Roman" w:hAnsi="Times New Roman"/>
          <w:i/>
          <w:sz w:val="24"/>
        </w:rPr>
        <w:t>Nature biotechnology</w:t>
      </w:r>
      <w:r w:rsidR="00572B35">
        <w:rPr>
          <w:rFonts w:ascii="Times New Roman" w:hAnsi="Times New Roman"/>
          <w:sz w:val="24"/>
        </w:rPr>
        <w:t xml:space="preserve"> 30, 1095--1106, PMCID: .</w:t>
      </w:r>
      <w:r w:rsidR="00572B35">
        <w:rPr>
          <w:rFonts w:ascii="Times New Roman" w:hAnsi="Times New Roman"/>
          <w:sz w:val="24"/>
        </w:rPr>
        <w:cr/>
        <w:t>11.</w:t>
      </w:r>
      <w:r w:rsidR="00572B35">
        <w:rPr>
          <w:rFonts w:ascii="Times New Roman" w:hAnsi="Times New Roman"/>
          <w:sz w:val="24"/>
        </w:rPr>
        <w:tab/>
        <w:t xml:space="preserve">De Gobbi, M., Viprakasit, V., Hughes, J. R., Fisher, C., Buckle, V. J., Ayyub, H., Gibbons, R. J., Vernimmen, D., Yoshinaga, Y., de Jong, P., Cheng, J.-F., Rubin, E. M., Wood, W. G., Bowden, D., &amp; Higgs, D. R. (2006) A regulatory SNP causes a human genetic disease by creating a new transcriptional promoter.. </w:t>
      </w:r>
      <w:r w:rsidR="00572B35">
        <w:rPr>
          <w:rFonts w:ascii="Times New Roman" w:hAnsi="Times New Roman"/>
          <w:i/>
          <w:sz w:val="24"/>
        </w:rPr>
        <w:t>Science (New York, N.Y.)</w:t>
      </w:r>
      <w:r w:rsidR="00572B35">
        <w:rPr>
          <w:rFonts w:ascii="Times New Roman" w:hAnsi="Times New Roman"/>
          <w:sz w:val="24"/>
        </w:rPr>
        <w:t xml:space="preserve"> 312, 1215--1217, PMCID: .</w:t>
      </w:r>
      <w:r w:rsidR="00572B35">
        <w:rPr>
          <w:rFonts w:ascii="Times New Roman" w:hAnsi="Times New Roman"/>
          <w:sz w:val="24"/>
        </w:rPr>
        <w:cr/>
        <w:t>12.</w:t>
      </w:r>
      <w:r w:rsidR="00572B35">
        <w:rPr>
          <w:rFonts w:ascii="Times New Roman" w:hAnsi="Times New Roman"/>
          <w:sz w:val="24"/>
        </w:rPr>
        <w:tab/>
        <w:t xml:space="preserve">Cheung, V. G. &amp; Spielman, R. S. (2009) Genetics of human gene expression: mapping DNA variants that influence gene expression.. </w:t>
      </w:r>
      <w:r w:rsidR="00572B35">
        <w:rPr>
          <w:rFonts w:ascii="Times New Roman" w:hAnsi="Times New Roman"/>
          <w:i/>
          <w:sz w:val="24"/>
        </w:rPr>
        <w:t>Nature reviews. Genetics</w:t>
      </w:r>
      <w:r w:rsidR="00572B35">
        <w:rPr>
          <w:rFonts w:ascii="Times New Roman" w:hAnsi="Times New Roman"/>
          <w:sz w:val="24"/>
        </w:rPr>
        <w:t xml:space="preserve"> 10, 595--604, PMCID: .</w:t>
      </w:r>
      <w:r w:rsidR="00572B35">
        <w:rPr>
          <w:rFonts w:ascii="Times New Roman" w:hAnsi="Times New Roman"/>
          <w:sz w:val="24"/>
        </w:rPr>
        <w:cr/>
        <w:t>13.</w:t>
      </w:r>
      <w:r w:rsidR="00572B35">
        <w:rPr>
          <w:rFonts w:ascii="Times New Roman" w:hAnsi="Times New Roman"/>
          <w:sz w:val="24"/>
        </w:rPr>
        <w:tab/>
        <w:t xml:space="preserve">Li, Q., Seo, J.-H., Stranger, B., McKenna, A., Pe'er, I., Laframboise, T., Brown, M., Tyekucheva, S., &amp; Freedman, M. L. (2013) Integrative eQTL-based analyses reveal the biology of breast cancer risk loci.. </w:t>
      </w:r>
      <w:r w:rsidR="00572B35">
        <w:rPr>
          <w:rFonts w:ascii="Times New Roman" w:hAnsi="Times New Roman"/>
          <w:i/>
          <w:sz w:val="24"/>
        </w:rPr>
        <w:t>Cell</w:t>
      </w:r>
      <w:r w:rsidR="00572B35">
        <w:rPr>
          <w:rFonts w:ascii="Times New Roman" w:hAnsi="Times New Roman"/>
          <w:sz w:val="24"/>
        </w:rPr>
        <w:t xml:space="preserve"> 152, 633--641, PMCID: .</w:t>
      </w:r>
      <w:r w:rsidR="00572B35">
        <w:rPr>
          <w:rFonts w:ascii="Times New Roman" w:hAnsi="Times New Roman"/>
          <w:sz w:val="24"/>
        </w:rPr>
        <w:cr/>
        <w:t>14.</w:t>
      </w:r>
      <w:r w:rsidR="00572B35">
        <w:rPr>
          <w:rFonts w:ascii="Times New Roman" w:hAnsi="Times New Roman"/>
          <w:sz w:val="24"/>
        </w:rPr>
        <w:tab/>
        <w:t xml:space="preserve">Huang, F. W., Hodis, E., Xu, M. J., Kryukov, G. V., Chin, L., &amp; Garraway, L. A. (2013) Highly recurrent TERT promoter mutations in human melanoma.. </w:t>
      </w:r>
      <w:r w:rsidR="00572B35">
        <w:rPr>
          <w:rFonts w:ascii="Times New Roman" w:hAnsi="Times New Roman"/>
          <w:i/>
          <w:sz w:val="24"/>
        </w:rPr>
        <w:t>Science (New York, N.Y.)</w:t>
      </w:r>
      <w:r w:rsidR="00572B35">
        <w:rPr>
          <w:rFonts w:ascii="Times New Roman" w:hAnsi="Times New Roman"/>
          <w:sz w:val="24"/>
        </w:rPr>
        <w:t xml:space="preserve"> 339, 957--959, PMCID: .</w:t>
      </w:r>
      <w:r w:rsidR="00572B35">
        <w:rPr>
          <w:rFonts w:ascii="Times New Roman" w:hAnsi="Times New Roman"/>
          <w:sz w:val="24"/>
        </w:rPr>
        <w:cr/>
        <w:t>15.</w:t>
      </w:r>
      <w:r w:rsidR="00572B35">
        <w:rPr>
          <w:rFonts w:ascii="Times New Roman" w:hAnsi="Times New Roman"/>
          <w:sz w:val="24"/>
        </w:rPr>
        <w:tab/>
        <w:t xml:space="preserve">Horn, S., Figl, A., Rachakonda, P. S., Fischer, C., Sucker, A., Gast, A., Kadel, S., Moll, I., Nagore, E., Hemminki, K., Schadendorf, D., &amp; Kumar, R. (2013) TERT promoter mutations in familial and sporadic melanoma.. </w:t>
      </w:r>
      <w:r w:rsidR="00572B35">
        <w:rPr>
          <w:rFonts w:ascii="Times New Roman" w:hAnsi="Times New Roman"/>
          <w:i/>
          <w:sz w:val="24"/>
        </w:rPr>
        <w:t>Science (New York, N.Y.)</w:t>
      </w:r>
      <w:r w:rsidR="00572B35">
        <w:rPr>
          <w:rFonts w:ascii="Times New Roman" w:hAnsi="Times New Roman"/>
          <w:sz w:val="24"/>
        </w:rPr>
        <w:t xml:space="preserve"> 339, 959--961, PMCID: .</w:t>
      </w:r>
      <w:r w:rsidR="00572B35">
        <w:rPr>
          <w:rFonts w:ascii="Times New Roman" w:hAnsi="Times New Roman"/>
          <w:sz w:val="24"/>
        </w:rPr>
        <w:cr/>
        <w:t>16.</w:t>
      </w:r>
      <w:r w:rsidR="00572B35">
        <w:rPr>
          <w:rFonts w:ascii="Times New Roman" w:hAnsi="Times New Roman"/>
          <w:sz w:val="24"/>
        </w:rPr>
        <w:tab/>
        <w:t xml:space="preserve">Tournamille, C., Colin, Y., Cartron, J. P., &amp; Le Van Kim, C. (1995) Disruption of a GATA motif in the Duffy gene promoter abolishes erythroid gene expression in Duffy-negative individuals.. </w:t>
      </w:r>
      <w:r w:rsidR="00572B35">
        <w:rPr>
          <w:rFonts w:ascii="Times New Roman" w:hAnsi="Times New Roman"/>
          <w:i/>
          <w:sz w:val="24"/>
        </w:rPr>
        <w:t>Nature genetics</w:t>
      </w:r>
      <w:r w:rsidR="00572B35">
        <w:rPr>
          <w:rFonts w:ascii="Times New Roman" w:hAnsi="Times New Roman"/>
          <w:sz w:val="24"/>
        </w:rPr>
        <w:t xml:space="preserve"> 10, 224--228, PMCID: .</w:t>
      </w:r>
      <w:r w:rsidR="00572B35">
        <w:rPr>
          <w:rFonts w:ascii="Times New Roman" w:hAnsi="Times New Roman"/>
          <w:sz w:val="24"/>
        </w:rPr>
        <w:cr/>
        <w:t>17.</w:t>
      </w:r>
      <w:r w:rsidR="00572B35">
        <w:rPr>
          <w:rFonts w:ascii="Times New Roman" w:hAnsi="Times New Roman"/>
          <w:sz w:val="24"/>
        </w:rPr>
        <w:tab/>
        <w:t xml:space="preserve">McCarroll, S. A., Huett, A., Kuballa, P., Chilewski, S. D., Landry, A., Goyette, P., Zody, M. C., Hall, J. L., Brant, S. R., Cho, J. H., Duerr, R. H., Silverberg, M. S., Taylor, K. D., Rioux, J. D., Altshuler, D., Daly, M. J., &amp; Xavier, R. J. (2008) Deletion polymorphism upstream of IRGM associated with altered IRGM expression and Crohn's disease.. </w:t>
      </w:r>
      <w:r w:rsidR="00572B35">
        <w:rPr>
          <w:rFonts w:ascii="Times New Roman" w:hAnsi="Times New Roman"/>
          <w:i/>
          <w:sz w:val="24"/>
        </w:rPr>
        <w:t>Nature genetics</w:t>
      </w:r>
      <w:r w:rsidR="00572B35">
        <w:rPr>
          <w:rFonts w:ascii="Times New Roman" w:hAnsi="Times New Roman"/>
          <w:sz w:val="24"/>
        </w:rPr>
        <w:t xml:space="preserve"> 40, 1107--1112, PMCID: .</w:t>
      </w:r>
      <w:r w:rsidR="00572B35">
        <w:rPr>
          <w:rFonts w:ascii="Times New Roman" w:hAnsi="Times New Roman"/>
          <w:sz w:val="24"/>
        </w:rPr>
        <w:cr/>
        <w:t>18.</w:t>
      </w:r>
      <w:r w:rsidR="00572B35">
        <w:rPr>
          <w:rFonts w:ascii="Times New Roman" w:hAnsi="Times New Roman"/>
          <w:sz w:val="24"/>
        </w:rPr>
        <w:tab/>
        <w:t xml:space="preserve">Verlaan, D. J., Ge, B., Grundberg, E., Hoberman, R., Lam, K. C. L., Koka, V., Dias, J., Gurd, S., Martin, N. W., Mallmin, H., Nilsson, O., Harmsen, E., Dewar, K., Kwan, T., &amp; Pastinen, T. (2009) Targeted screening of cis-regulatory variation in human haplotypes.. </w:t>
      </w:r>
      <w:r w:rsidR="00572B35">
        <w:rPr>
          <w:rFonts w:ascii="Times New Roman" w:hAnsi="Times New Roman"/>
          <w:i/>
          <w:sz w:val="24"/>
        </w:rPr>
        <w:t>Genome research</w:t>
      </w:r>
      <w:r w:rsidR="00572B35">
        <w:rPr>
          <w:rFonts w:ascii="Times New Roman" w:hAnsi="Times New Roman"/>
          <w:sz w:val="24"/>
        </w:rPr>
        <w:t xml:space="preserve"> 19, 118--127, PMCID: .</w:t>
      </w:r>
      <w:r w:rsidR="00572B35">
        <w:rPr>
          <w:rFonts w:ascii="Times New Roman" w:hAnsi="Times New Roman"/>
          <w:sz w:val="24"/>
        </w:rPr>
        <w:cr/>
        <w:t>19.</w:t>
      </w:r>
      <w:r w:rsidR="00572B35">
        <w:rPr>
          <w:rFonts w:ascii="Times New Roman" w:hAnsi="Times New Roman"/>
          <w:sz w:val="24"/>
        </w:rPr>
        <w:tab/>
        <w:t xml:space="preserve">Welter, D., MacArthur, J., Morales, J., Burdett, T., Hall, P., Junkins, H., Klemm, A., Flicek, P., Manolio, T., Hindorff, L., &amp; Parkinson, H. (2014) The NHGRI GWAS Catalog, a curated resource of SNP-trait associations.. </w:t>
      </w:r>
      <w:r w:rsidR="00572B35">
        <w:rPr>
          <w:rFonts w:ascii="Times New Roman" w:hAnsi="Times New Roman"/>
          <w:i/>
          <w:sz w:val="24"/>
        </w:rPr>
        <w:t>Nucleic acids research</w:t>
      </w:r>
      <w:r w:rsidR="00572B35">
        <w:rPr>
          <w:rFonts w:ascii="Times New Roman" w:hAnsi="Times New Roman"/>
          <w:sz w:val="24"/>
        </w:rPr>
        <w:t xml:space="preserve"> 42, D1001--D1006, PMCID: .</w:t>
      </w:r>
      <w:r w:rsidR="00572B35">
        <w:rPr>
          <w:rFonts w:ascii="Times New Roman" w:hAnsi="Times New Roman"/>
          <w:sz w:val="24"/>
        </w:rPr>
        <w:cr/>
        <w:t>20.</w:t>
      </w:r>
      <w:r w:rsidR="00572B35">
        <w:rPr>
          <w:rFonts w:ascii="Times New Roman" w:hAnsi="Times New Roman"/>
          <w:sz w:val="24"/>
        </w:rPr>
        <w:tab/>
        <w:t xml:space="preserve">Ferrari, R., Hernandez, D. G., Nalls, M. A., Rohrer, J. D., Ramasamy, A., Kwok, J. B. J., Dobson-Stone, C., Brooks, W. S., Schofield, P. R., Halliday, G. M., Hodges, J. R., Piguet, O., Bartley, L., Thompson, E., Haan, E., Hernández, I., Ruiz, A., Boada, M., Borroni, B., Padovani, A., Cruchaga, C., Cairns, N. J., Benussi, L., Binetti, G., Ghidoni, R., Forloni, G., Galimberti, D., Fenoglio, C., Serpente, M., Scarpini, E., </w:t>
      </w:r>
      <w:r w:rsidR="00572B35">
        <w:rPr>
          <w:rFonts w:ascii="Times New Roman" w:hAnsi="Times New Roman"/>
          <w:sz w:val="24"/>
        </w:rPr>
        <w:lastRenderedPageBreak/>
        <w:t xml:space="preserve">Clarimón, J., Lleó, A., Blesa, R., Waldö, M. L., Nilsson, K., Nilsson, C., Mackenzie, I. R. A., Hsiung, G.-Y. R., Mann, D. M. A., Grafman, J., Morris, C. M., Attems, J., Griffiths, T. D., McKeith, I. G., Thomas, A. J., Pietrini, P., Huey, E. D., Wassermann, E. M., Baborie, A., Jaros, E., Tierney, M. C., Pastor, P., Razquin, C., Ortega-Cubero, S., Alonso, E., Perneczky, R., Diehl-Schmid, J., Alexopoulos, P., Kurz, A., Rainero, I., Rubino, E., Pinessi, L., Rogaeva, E., St George-Hyslop, P., Rossi, G., Tagliavini, F., Giaccone, G., Rowe, J. B., Schlachetzki, J. C. M., Uphill, J., Collinge, J., Mead, S., Danek, A., Van Deerlin, V. M., Grossman, M., Trojanowski, J. Q., van der Zee, J., Deschamps, W., Van Langenhove, T., Cruts, M., Van Broeckhoven, C., Cappa, S. F., Le Ber, I., Hannequin, D., Golfier, V., Vercelletto, M., Brice, A., Nacmias, B., Sorbi, S., Bagnoli, S., Piaceri, I., Nielsen, J. E., Hjermind, L. E., Riemenschneider, M., Mayhaus, M., Ibach, B., Gasparoni, G., Pichler, S., Gu, W., Rossor, M. N., Fox, N. C., Warren, J. D., Spillantini, M. G., Morris, H. R., Rizzu, P., Heutink, P., Snowden, J. S., Rollinson, S., Richardson, A., Gerhard, A., Bruni, A. C., Maletta, R., Frangipane, F., Cupidi, C., Bernardi, L., Anfossi, M., Gallo, M., Conidi, M. E., Smirne, N., Rademakers, R., Baker, M., Dickson, D. W., Graff-Radford, N. R., Petersen, R. C., Knopman, D., Josephs, K. A., Boeve, B. F., Parisi, J. E., Seeley, W. W., Miller, B. L., Karydas, A. M., Rosen, H., van Swieten, J. C., Dopper, E. G. P., Seelaar, H., Pijnenburg, Y. A. L., Scheltens, P., Logroscino, G., Capozzo, R., Novelli, V., Puca, A. A., Franceschi, M., Postiglione, A., Milan, G., Sorrentino, P., Kristiansen, M., Chiang, H.-H., Graff, C., Pasquier, F., Rollin, A., Deramecourt, V., Lebert, F., Kapogiannis, D., Ferrucci, L., Pickering-Brown, S., Singleton, A. B., Hardy, J., &amp; Momeni, P. (2014) Frontotemporal dementia and its subtypes: a genome-wide association study.. </w:t>
      </w:r>
      <w:r w:rsidR="00572B35">
        <w:rPr>
          <w:rFonts w:ascii="Times New Roman" w:hAnsi="Times New Roman"/>
          <w:i/>
          <w:sz w:val="24"/>
        </w:rPr>
        <w:t>The Lancet. Neurology</w:t>
      </w:r>
      <w:r w:rsidR="00572B35">
        <w:rPr>
          <w:rFonts w:ascii="Times New Roman" w:hAnsi="Times New Roman"/>
          <w:sz w:val="24"/>
        </w:rPr>
        <w:t xml:space="preserve"> 13, 686--699, PMCID: .</w:t>
      </w:r>
      <w:r w:rsidR="00572B35">
        <w:rPr>
          <w:rFonts w:ascii="Times New Roman" w:hAnsi="Times New Roman"/>
          <w:sz w:val="24"/>
        </w:rPr>
        <w:cr/>
        <w:t>21.</w:t>
      </w:r>
      <w:r w:rsidR="00572B35">
        <w:rPr>
          <w:rFonts w:ascii="Times New Roman" w:hAnsi="Times New Roman"/>
          <w:sz w:val="24"/>
        </w:rPr>
        <w:tab/>
        <w:t xml:space="preserve">Hindorff, L. A., Sethupathy, P., Junkins, H. A., Ramos, E. M., Mehta, J. P., Collins, F. S., &amp; Manolio, T. A. (2009) Potential etiologic and functional implications of genome-wide association loci for human diseases and traits..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106, 9362--9367, PMCID: .</w:t>
      </w:r>
      <w:r w:rsidR="00572B35">
        <w:rPr>
          <w:rFonts w:ascii="Times New Roman" w:hAnsi="Times New Roman"/>
          <w:sz w:val="24"/>
        </w:rPr>
        <w:cr/>
        <w:t>22.</w:t>
      </w:r>
      <w:r w:rsidR="00572B35">
        <w:rPr>
          <w:rFonts w:ascii="Times New Roman" w:hAnsi="Times New Roman"/>
          <w:sz w:val="24"/>
        </w:rPr>
        <w:tab/>
        <w:t xml:space="preserve">Stacey, S. N., Manolescu, A., Sulem, P., Rafnar, T., Gudmundsson, J., Gudjonsson, S. A., Masson, G., Jakobsdottir, M., Thorlacius, S., Helgason, A., Aben, K. K., Strobbe, L. J., Albers-Akkers, M. T., Swinkels, D. W., Henderson, B. E., Kolonel, L. N., Le Marchand, L., Millastre, E., Andres, R., Godino, J., Garcia-Prats, M. D., Polo, E., Tres, A., Mouy, M., Saemundsdottir, J., Backman, V. M., Gudmundsson, L., Kristjansson, K., Bergthorsson, J. T., Kostic, J., Frigge, M. L., Geller, F., Gudbjartsson, D., Sigurdsson, H., Jonsdottir, T., Hrafnkelsson, J., Johannsson, J., Sveinsson, T., Myrdal, G., Grimsson, H. N., Jonsson, T., von Holst, S., Werelius, B., Margolin, S., Lindblom, A., Mayordomo, J. I., Haiman, C. A., Kiemeney, L. A., Johannsson, O. T., Gulcher, J. R., Thorsteinsdottir, U., Kong, A., &amp; Stefansson, K. (2007) Common variants on chromosomes 2q35 and 16q12 confer susceptibility to estrogen receptor-positive breast cancer.. </w:t>
      </w:r>
      <w:r w:rsidR="00572B35">
        <w:rPr>
          <w:rFonts w:ascii="Times New Roman" w:hAnsi="Times New Roman"/>
          <w:i/>
          <w:sz w:val="24"/>
        </w:rPr>
        <w:t>Nature genetics</w:t>
      </w:r>
      <w:r w:rsidR="00572B35">
        <w:rPr>
          <w:rFonts w:ascii="Times New Roman" w:hAnsi="Times New Roman"/>
          <w:sz w:val="24"/>
        </w:rPr>
        <w:t xml:space="preserve"> 39, 865--869, PMCID: .</w:t>
      </w:r>
      <w:r w:rsidR="00572B35">
        <w:rPr>
          <w:rFonts w:ascii="Times New Roman" w:hAnsi="Times New Roman"/>
          <w:sz w:val="24"/>
        </w:rPr>
        <w:cr/>
        <w:t>23.</w:t>
      </w:r>
      <w:r w:rsidR="00572B35">
        <w:rPr>
          <w:rFonts w:ascii="Times New Roman" w:hAnsi="Times New Roman"/>
          <w:sz w:val="24"/>
        </w:rPr>
        <w:tab/>
        <w:t xml:space="preserve">Gudmundsson, J., Sulem, P., Rafnar, T., Bergthorsson, J. T., Manolescu, A., Gudbjartsson, D., Agnarsson, B. A., Sigurdsson, A., Benediktsdottir, K. R., Blondal, T., Jakobsdottir, M., Stacey, S. N., Kostic, J., Kristinsson, K. T., Birgisdottir, B., Ghosh, S., Magnusdottir, D. N., Thorlacius, S., Thorleifsson, G., Zheng, S. L., Sun, J., Chang, B.-L., Elmore, J. B., Breyer, J. P., McReynolds, K. M., Bradley, K. M., Yaspan, B. L., Wiklund, F., Stattin, P., Lindström, S., Adami, H.-O., McDonnell, S. K., Schaid, D. J., Cunningham, J. M., Wang, L., Cerhan, J. R., St Sauver, J. L., Isaacs, S. D., Wiley, K. E., Partin, A. W., Walsh, P. C., Polo, S., Ruiz-Echarri, M., Navarrete, S., Fuertes, F., Saez, B., Godino, J., Weijerman, P. C., Swinkels, D. W., Aben, K. K., Witjes, J. A., Suarez, B. K., Helfand, B. T., Frigge, M. L., Kristjansson, K., Ober, C., Jonsson, E., Einarsson, G. V., Xu, J., Gronberg, H., Smith, J. R., Thibodeau, S. N., Isaacs, W. B., Catalona, W. J., Mayordomo, J. I., Kiemeney, L. A., Barkardottir, R. B., Gulcher, J. R., Thorsteinsdottir, U., Kong, A., &amp; Stefansson, K. (2008) Common sequence variants on 2p15 and Xp11.22 confer susceptibility to prostate cancer.. </w:t>
      </w:r>
      <w:r w:rsidR="00572B35">
        <w:rPr>
          <w:rFonts w:ascii="Times New Roman" w:hAnsi="Times New Roman"/>
          <w:i/>
          <w:sz w:val="24"/>
        </w:rPr>
        <w:t>Nature genetics</w:t>
      </w:r>
      <w:r w:rsidR="00572B35">
        <w:rPr>
          <w:rFonts w:ascii="Times New Roman" w:hAnsi="Times New Roman"/>
          <w:sz w:val="24"/>
        </w:rPr>
        <w:t xml:space="preserve"> 40, 281--283, PMCID: .</w:t>
      </w:r>
      <w:r w:rsidR="00572B35">
        <w:rPr>
          <w:rFonts w:ascii="Times New Roman" w:hAnsi="Times New Roman"/>
          <w:sz w:val="24"/>
        </w:rPr>
        <w:cr/>
      </w:r>
      <w:r w:rsidR="00572B35">
        <w:rPr>
          <w:rFonts w:ascii="Times New Roman" w:hAnsi="Times New Roman"/>
          <w:sz w:val="24"/>
        </w:rPr>
        <w:lastRenderedPageBreak/>
        <w:t>24.</w:t>
      </w:r>
      <w:r w:rsidR="00572B35">
        <w:rPr>
          <w:rFonts w:ascii="Times New Roman" w:hAnsi="Times New Roman"/>
          <w:sz w:val="24"/>
        </w:rPr>
        <w:tab/>
        <w:t xml:space="preserve">Pritchard, J. K. (2001) Are rare variants responsible for susceptibility to complex diseases?. </w:t>
      </w:r>
      <w:r w:rsidR="00572B35">
        <w:rPr>
          <w:rFonts w:ascii="Times New Roman" w:hAnsi="Times New Roman"/>
          <w:i/>
          <w:sz w:val="24"/>
        </w:rPr>
        <w:t>American journal of human genetics</w:t>
      </w:r>
      <w:r w:rsidR="00572B35">
        <w:rPr>
          <w:rFonts w:ascii="Times New Roman" w:hAnsi="Times New Roman"/>
          <w:sz w:val="24"/>
        </w:rPr>
        <w:t xml:space="preserve"> 69, 124--137, PMCID: .</w:t>
      </w:r>
      <w:r w:rsidR="00572B35">
        <w:rPr>
          <w:rFonts w:ascii="Times New Roman" w:hAnsi="Times New Roman"/>
          <w:sz w:val="24"/>
        </w:rPr>
        <w:cr/>
        <w:t>25.</w:t>
      </w:r>
      <w:r w:rsidR="00572B35">
        <w:rPr>
          <w:rFonts w:ascii="Times New Roman" w:hAnsi="Times New Roman"/>
          <w:sz w:val="24"/>
        </w:rPr>
        <w:tab/>
        <w:t xml:space="preserve">Bodmer, W. &amp; Tomlinson, I. (2010) Rare genetic variants and the risk of cancer.. </w:t>
      </w:r>
      <w:r w:rsidR="00572B35">
        <w:rPr>
          <w:rFonts w:ascii="Times New Roman" w:hAnsi="Times New Roman"/>
          <w:i/>
          <w:sz w:val="24"/>
        </w:rPr>
        <w:t>Current opinion in genetics \&amp;amp; development</w:t>
      </w:r>
      <w:r w:rsidR="00572B35">
        <w:rPr>
          <w:rFonts w:ascii="Times New Roman" w:hAnsi="Times New Roman"/>
          <w:sz w:val="24"/>
        </w:rPr>
        <w:t xml:space="preserve"> 20, 262--267, PMCID: .</w:t>
      </w:r>
      <w:r w:rsidR="00572B35">
        <w:rPr>
          <w:rFonts w:ascii="Times New Roman" w:hAnsi="Times New Roman"/>
          <w:sz w:val="24"/>
        </w:rPr>
        <w:cr/>
        <w:t>26.</w:t>
      </w:r>
      <w:r w:rsidR="00572B35">
        <w:rPr>
          <w:rFonts w:ascii="Times New Roman" w:hAnsi="Times New Roman"/>
          <w:sz w:val="24"/>
        </w:rPr>
        <w:tab/>
        <w:t xml:space="preserve">Ewing, C. M., Ray, A. M., Lange, E. M., Zuhlke, K. A., Robbins, C. M., Tembe, W. D., Wiley, K. E., Isaacs, S. D., Johng, D., Wang, Y., Bizon, C., Yan, G., Gielzak, M., Partin, A. W., Shanmugam, V., Izatt, T., Sinari, S., Craig, D. W., Zheng, S. L., Walsh, P. C., Montie, J. E., Xu, J., Carpten, J. D., Isaacs, W. B., &amp; Cooney, K. A. (2012) Germline mutations in HOXB13 and prostate-cancer risk.. </w:t>
      </w:r>
      <w:r w:rsidR="00572B35">
        <w:rPr>
          <w:rFonts w:ascii="Times New Roman" w:hAnsi="Times New Roman"/>
          <w:i/>
          <w:sz w:val="24"/>
        </w:rPr>
        <w:t>The New England journal of medicine</w:t>
      </w:r>
      <w:r w:rsidR="00572B35">
        <w:rPr>
          <w:rFonts w:ascii="Times New Roman" w:hAnsi="Times New Roman"/>
          <w:sz w:val="24"/>
        </w:rPr>
        <w:t xml:space="preserve"> 366, 141--149, PMCID: .</w:t>
      </w:r>
      <w:r w:rsidR="00572B35">
        <w:rPr>
          <w:rFonts w:ascii="Times New Roman" w:hAnsi="Times New Roman"/>
          <w:sz w:val="24"/>
        </w:rPr>
        <w:cr/>
        <w:t>27.</w:t>
      </w:r>
      <w:r w:rsidR="00572B35">
        <w:rPr>
          <w:rFonts w:ascii="Times New Roman" w:hAnsi="Times New Roman"/>
          <w:sz w:val="24"/>
        </w:rPr>
        <w:tab/>
        <w:t xml:space="preserve">Sodha, N., Mantoni, T. S., Tavtigian, S. V., Eeles, R., &amp; Garrett, M. D. (2006) Rare germ line CHEK2 variants identified in breast cancer families encode proteins that show impaired activation.. </w:t>
      </w:r>
      <w:r w:rsidR="00572B35">
        <w:rPr>
          <w:rFonts w:ascii="Times New Roman" w:hAnsi="Times New Roman"/>
          <w:i/>
          <w:sz w:val="24"/>
        </w:rPr>
        <w:t>Cancer research</w:t>
      </w:r>
      <w:r w:rsidR="00572B35">
        <w:rPr>
          <w:rFonts w:ascii="Times New Roman" w:hAnsi="Times New Roman"/>
          <w:sz w:val="24"/>
        </w:rPr>
        <w:t xml:space="preserve"> 66, 8966--8970, PMCID: .</w:t>
      </w:r>
      <w:r w:rsidR="00572B35">
        <w:rPr>
          <w:rFonts w:ascii="Times New Roman" w:hAnsi="Times New Roman"/>
          <w:sz w:val="24"/>
        </w:rPr>
        <w:cr/>
        <w:t>28.</w:t>
      </w:r>
      <w:r w:rsidR="00572B35">
        <w:rPr>
          <w:rFonts w:ascii="Times New Roman" w:hAnsi="Times New Roman"/>
          <w:sz w:val="24"/>
        </w:rPr>
        <w:tab/>
        <w:t xml:space="preserve">Ponting, C. P. &amp; Lunter, G. (2006) Signatures of adaptive evolution within human non-coding sequence.. </w:t>
      </w:r>
      <w:r w:rsidR="00572B35">
        <w:rPr>
          <w:rFonts w:ascii="Times New Roman" w:hAnsi="Times New Roman"/>
          <w:i/>
          <w:sz w:val="24"/>
        </w:rPr>
        <w:t>Human molecular genetics</w:t>
      </w:r>
      <w:r w:rsidR="00572B35">
        <w:rPr>
          <w:rFonts w:ascii="Times New Roman" w:hAnsi="Times New Roman"/>
          <w:sz w:val="24"/>
        </w:rPr>
        <w:t xml:space="preserve"> 15 Spec No 2, R170--R175, PMCID: .</w:t>
      </w:r>
      <w:r w:rsidR="00572B35">
        <w:rPr>
          <w:rFonts w:ascii="Times New Roman" w:hAnsi="Times New Roman"/>
          <w:sz w:val="24"/>
        </w:rPr>
        <w:cr/>
        <w:t>29.</w:t>
      </w:r>
      <w:r w:rsidR="00572B35">
        <w:rPr>
          <w:rFonts w:ascii="Times New Roman" w:hAnsi="Times New Roman"/>
          <w:sz w:val="24"/>
        </w:rPr>
        <w:tab/>
        <w:t xml:space="preserve">Ghildiyal, M. &amp; Zamore, P. D. (2009) Small silencing RNAs: an expanding universe.. </w:t>
      </w:r>
      <w:r w:rsidR="00572B35">
        <w:rPr>
          <w:rFonts w:ascii="Times New Roman" w:hAnsi="Times New Roman"/>
          <w:i/>
          <w:sz w:val="24"/>
        </w:rPr>
        <w:t>Nature reviews. Genetics</w:t>
      </w:r>
      <w:r w:rsidR="00572B35">
        <w:rPr>
          <w:rFonts w:ascii="Times New Roman" w:hAnsi="Times New Roman"/>
          <w:sz w:val="24"/>
        </w:rPr>
        <w:t xml:space="preserve"> 10, 94--108, PMCID: .</w:t>
      </w:r>
      <w:r w:rsidR="00572B35">
        <w:rPr>
          <w:rFonts w:ascii="Times New Roman" w:hAnsi="Times New Roman"/>
          <w:sz w:val="24"/>
        </w:rPr>
        <w:cr/>
        <w:t>30.</w:t>
      </w:r>
      <w:r w:rsidR="00572B35">
        <w:rPr>
          <w:rFonts w:ascii="Times New Roman" w:hAnsi="Times New Roman"/>
          <w:sz w:val="24"/>
        </w:rPr>
        <w:tab/>
        <w:t xml:space="preserve">Kleinjan, D. A. &amp; van Heyningen, V. (2005) Long-range control of gene expression: emerging mechanisms and disruption in disease.. </w:t>
      </w:r>
      <w:r w:rsidR="00572B35">
        <w:rPr>
          <w:rFonts w:ascii="Times New Roman" w:hAnsi="Times New Roman"/>
          <w:i/>
          <w:sz w:val="24"/>
        </w:rPr>
        <w:t>American journal of human genetics</w:t>
      </w:r>
      <w:r w:rsidR="00572B35">
        <w:rPr>
          <w:rFonts w:ascii="Times New Roman" w:hAnsi="Times New Roman"/>
          <w:sz w:val="24"/>
        </w:rPr>
        <w:t xml:space="preserve"> 76, 8--32, PMCID: .</w:t>
      </w:r>
      <w:r w:rsidR="00572B35">
        <w:rPr>
          <w:rFonts w:ascii="Times New Roman" w:hAnsi="Times New Roman"/>
          <w:sz w:val="24"/>
        </w:rPr>
        <w:cr/>
        <w:t>31.</w:t>
      </w:r>
      <w:r w:rsidR="00572B35">
        <w:rPr>
          <w:rFonts w:ascii="Times New Roman" w:hAnsi="Times New Roman"/>
          <w:sz w:val="24"/>
        </w:rPr>
        <w:tab/>
        <w:t xml:space="preserve">ENCODE Project Consortium (2012) An integrated encyclopedia of DNA elements in the human genome.. </w:t>
      </w:r>
      <w:r w:rsidR="00572B35">
        <w:rPr>
          <w:rFonts w:ascii="Times New Roman" w:hAnsi="Times New Roman"/>
          <w:i/>
          <w:sz w:val="24"/>
        </w:rPr>
        <w:t>Nature</w:t>
      </w:r>
      <w:r w:rsidR="00572B35">
        <w:rPr>
          <w:rFonts w:ascii="Times New Roman" w:hAnsi="Times New Roman"/>
          <w:sz w:val="24"/>
        </w:rPr>
        <w:t xml:space="preserve"> 489, 57--74, PMCID: .</w:t>
      </w:r>
      <w:r w:rsidR="00572B35">
        <w:rPr>
          <w:rFonts w:ascii="Times New Roman" w:hAnsi="Times New Roman"/>
          <w:sz w:val="24"/>
        </w:rPr>
        <w:cr/>
        <w:t>32.</w:t>
      </w:r>
      <w:r w:rsidR="00572B35">
        <w:rPr>
          <w:rFonts w:ascii="Times New Roman" w:hAnsi="Times New Roman"/>
          <w:sz w:val="24"/>
        </w:rPr>
        <w:tab/>
        <w:t xml:space="preserve">modENCODE Consortium, Roy, S., Ernst, J., Kharchenko, P. V., Kheradpour, P., Negre, N., Eaton, M. L., Landolin, J. M., Bristow, C. A., Ma, L., Lin, M. F., Washietl, S., Arshinoff, B. I., Ay, F., Meyer, P. E., Robine, N., Washington, N. L., Di Stefano, L., Berezikov, E., Brown, C. D., Candeias, R., Carlson, J. W., Carr, A., Jungreis, I., Marbach, D., Sealfon, R., Tolstorukov, M. Y., Will, S., Alekseyenko, A. A., Artieri, C., Booth, B. W., Brooks, A. N., Dai, Q., Davis, C. A., Duff, M. O., Feng, X., Gorchakov, A. A., Gu, T., Henikoff, J. G., Kapranov, P., Li, R., MacAlpine, H. K., Malone, J., Minoda, A., Nordman, J., Okamura, K., Perry, M., Powell, S. K., Riddle, N. C., Sakai, A., Samsonova, A., Sandler, J. E., Schwartz, Y. B., Sher, N., Spokony, R., Sturgill, D., van Baren, M., Wan, K. H., Yang, L., Yu, C., Feingold, E., Good, P., Guyer, M., Lowdon, R., Ahmad, K., Andrews, J., Berger, B., Brenner, S. E., Brent, M. R., Cherbas, L., Elgin, S. C. R., Gingeras, T. R., Grossman, R., Hoskins, R. A., Kaufman, T. C., Kent, W., Kuroda, M. I., Orr-Weaver, T., Perrimon, N., Pirrotta, V., Posakony, J. W., Ren, B., Russell, S., Cherbas, P., Graveley, B. R., Lewis, S., Micklem, G., Oliver, B., Park, P. J., Celniker, S. E., Henikoff, S., Karpen, G. H., Lai, E. C., MacAlpine, D. M., Stein, L. D., White, K. P., &amp; Kellis, M. (2010) Identification of functional elements and regulatory circuits by Drosophila modENCODE.. </w:t>
      </w:r>
      <w:r w:rsidR="00572B35">
        <w:rPr>
          <w:rFonts w:ascii="Times New Roman" w:hAnsi="Times New Roman"/>
          <w:i/>
          <w:sz w:val="24"/>
        </w:rPr>
        <w:t>Science (New York, N.Y.)</w:t>
      </w:r>
      <w:r w:rsidR="00572B35">
        <w:rPr>
          <w:rFonts w:ascii="Times New Roman" w:hAnsi="Times New Roman"/>
          <w:sz w:val="24"/>
        </w:rPr>
        <w:t xml:space="preserve"> 330, 1787--1797, PMCID: .</w:t>
      </w:r>
      <w:r w:rsidR="00572B35">
        <w:rPr>
          <w:rFonts w:ascii="Times New Roman" w:hAnsi="Times New Roman"/>
          <w:sz w:val="24"/>
        </w:rPr>
        <w:cr/>
        <w:t>33.</w:t>
      </w:r>
      <w:r w:rsidR="00572B35">
        <w:rPr>
          <w:rFonts w:ascii="Times New Roman" w:hAnsi="Times New Roman"/>
          <w:sz w:val="24"/>
        </w:rPr>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D. M., Muroyama, A., Murray, J. I., Ooi, S.-L., Pham, H., Phippen, T., Preston, E. A., </w:t>
      </w:r>
      <w:r w:rsidR="00572B35">
        <w:rPr>
          <w:rFonts w:ascii="Times New Roman" w:hAnsi="Times New Roman"/>
          <w:sz w:val="24"/>
        </w:rPr>
        <w:lastRenderedPageBreak/>
        <w:t xml:space="preserve">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(2010) Integrative analysis of the Caenorhabditis elegans genome by the modENCODE project.. </w:t>
      </w:r>
      <w:r w:rsidR="00572B35">
        <w:rPr>
          <w:rFonts w:ascii="Times New Roman" w:hAnsi="Times New Roman"/>
          <w:i/>
          <w:sz w:val="24"/>
        </w:rPr>
        <w:t>Science (New York, N.Y.)</w:t>
      </w:r>
      <w:r w:rsidR="00572B35">
        <w:rPr>
          <w:rFonts w:ascii="Times New Roman" w:hAnsi="Times New Roman"/>
          <w:sz w:val="24"/>
        </w:rPr>
        <w:t xml:space="preserve"> 330, 1775--1787, PMCID: .</w:t>
      </w:r>
      <w:r w:rsidR="00572B35">
        <w:rPr>
          <w:rFonts w:ascii="Times New Roman" w:hAnsi="Times New Roman"/>
          <w:sz w:val="24"/>
        </w:rPr>
        <w:cr/>
        <w:t>34.</w:t>
      </w:r>
      <w:r w:rsidR="00572B35">
        <w:rPr>
          <w:rFonts w:ascii="Times New Roman" w:hAnsi="Times New Roman"/>
          <w:sz w:val="24"/>
        </w:rPr>
        <w:tab/>
        <w:t xml:space="preserve">Lappalainen, T., Sammeth, M., Friedländer, M. R., 't Hoen, P. A. C., Monlong, J., Rivas, M. A., Gonzàlez-Porta, M., Kurbatova, N., Griebel, T., Ferreira, P. G., Barann, M., Wieland, T., Greger, L., van Iterson, M., Almlöf, J., Ribeca, P., Pulyakhina, I., Esser, D., Giger, T., Tikhonov, A., Sultan, M., Bertier, G., MacArthur, D. G., Lek, M., Lizano, E., Buermans, H. P. J., Padioleau, I., Schwarzmayr, T., Karlberg, O., Ongen, H., Kilpinen, H., Beltran, S., Gut, M., Kahlem, K., Amstislavskiy, V., Stegle, O., Pirinen, M., Montgomery, S. B., Donnelly, P., McCarthy, M. I., Flicek, P., Strom, T. M., Geuvadis Consortium, Lehrach, H., Schreiber, S., Sudbrak, R., Carracedo, A., Antonarakis, S. E., Häsler, R., Syvänen, A.-C., van Ommen, G.-J., Brazma, A., Meitinger, T., Rosenstiel, P., Guigó, R., Gut, I. G., Estivill, X., &amp; Dermitzakis, E. T. (2013) Transcriptome and genome sequencing uncovers functional variation in humans.. </w:t>
      </w:r>
      <w:r w:rsidR="00572B35">
        <w:rPr>
          <w:rFonts w:ascii="Times New Roman" w:hAnsi="Times New Roman"/>
          <w:i/>
          <w:sz w:val="24"/>
        </w:rPr>
        <w:t>Nature</w:t>
      </w:r>
      <w:r w:rsidR="00572B35">
        <w:rPr>
          <w:rFonts w:ascii="Times New Roman" w:hAnsi="Times New Roman"/>
          <w:sz w:val="24"/>
        </w:rPr>
        <w:t xml:space="preserve"> 501, 506--511, PMCID: .</w:t>
      </w:r>
      <w:r w:rsidR="00572B35">
        <w:rPr>
          <w:rFonts w:ascii="Times New Roman" w:hAnsi="Times New Roman"/>
          <w:sz w:val="24"/>
        </w:rPr>
        <w:cr/>
        <w:t>35.</w:t>
      </w:r>
      <w:r w:rsidR="00572B35">
        <w:rPr>
          <w:rFonts w:ascii="Times New Roman" w:hAnsi="Times New Roman"/>
          <w:sz w:val="24"/>
        </w:rPr>
        <w:tab/>
        <w:t xml:space="preserve">Montgomery, S. B., Sammeth, M., Gutierrez-Arcelus, M., Lach, R. P., Ingle, C., Nisbett, J., Guigo, R., &amp; Dermitzakis, E. T. (2010) Transcriptome genetics using second generation sequencing in a Caucasian population.. </w:t>
      </w:r>
      <w:r w:rsidR="00572B35">
        <w:rPr>
          <w:rFonts w:ascii="Times New Roman" w:hAnsi="Times New Roman"/>
          <w:i/>
          <w:sz w:val="24"/>
        </w:rPr>
        <w:t>Nature</w:t>
      </w:r>
      <w:r w:rsidR="00572B35">
        <w:rPr>
          <w:rFonts w:ascii="Times New Roman" w:hAnsi="Times New Roman"/>
          <w:sz w:val="24"/>
        </w:rPr>
        <w:t xml:space="preserve"> 464, 773--777, PMCID: .</w:t>
      </w:r>
      <w:r w:rsidR="00572B35">
        <w:rPr>
          <w:rFonts w:ascii="Times New Roman" w:hAnsi="Times New Roman"/>
          <w:sz w:val="24"/>
        </w:rPr>
        <w:cr/>
        <w:t>36.</w:t>
      </w:r>
      <w:r w:rsidR="00572B35">
        <w:rPr>
          <w:rFonts w:ascii="Times New Roman" w:hAnsi="Times New Roman"/>
          <w:sz w:val="24"/>
        </w:rPr>
        <w:tab/>
        <w:t xml:space="preserve">Pickrell, J. K., Marioni, J. C., Pai, A. A., Degner, J. F., Engelhardt, B. E., Nkadori, E., Veyrieras, J.-B., Stephens, M., Gilad, Y., &amp; Pritchard, J. K. (2010) Understanding mechanisms underlying human gene expression variation with RNA sequencing.. </w:t>
      </w:r>
      <w:r w:rsidR="00572B35">
        <w:rPr>
          <w:rFonts w:ascii="Times New Roman" w:hAnsi="Times New Roman"/>
          <w:i/>
          <w:sz w:val="24"/>
        </w:rPr>
        <w:t>Nature</w:t>
      </w:r>
      <w:r w:rsidR="00572B35">
        <w:rPr>
          <w:rFonts w:ascii="Times New Roman" w:hAnsi="Times New Roman"/>
          <w:sz w:val="24"/>
        </w:rPr>
        <w:t xml:space="preserve"> 464, 768--772, PMCID: .</w:t>
      </w:r>
      <w:r w:rsidR="00572B35">
        <w:rPr>
          <w:rFonts w:ascii="Times New Roman" w:hAnsi="Times New Roman"/>
          <w:sz w:val="24"/>
        </w:rPr>
        <w:cr/>
        <w:t>37.</w:t>
      </w:r>
      <w:r w:rsidR="00572B35">
        <w:rPr>
          <w:rFonts w:ascii="Times New Roman" w:hAnsi="Times New Roman"/>
          <w:sz w:val="24"/>
        </w:rPr>
        <w:tab/>
        <w:t xml:space="preserve">Battle, A., Mostafavi, S., Zhu, X., Potash, J. B., Weissman, M. M., McCormick, C., Haudenschild, C. D., Beckman, K. B., Shi, J., Mei, R., Urban, A. E., Montgomery, S. B., Levinson, D. F., &amp; Koller, D. (2014) Characterizing the genetic basis of transcriptome diversity through RNA-sequencing of 922 individuals.. </w:t>
      </w:r>
      <w:r w:rsidR="00572B35">
        <w:rPr>
          <w:rFonts w:ascii="Times New Roman" w:hAnsi="Times New Roman"/>
          <w:i/>
          <w:sz w:val="24"/>
        </w:rPr>
        <w:t>Genome research</w:t>
      </w:r>
      <w:r w:rsidR="00572B35">
        <w:rPr>
          <w:rFonts w:ascii="Times New Roman" w:hAnsi="Times New Roman"/>
          <w:sz w:val="24"/>
        </w:rPr>
        <w:t xml:space="preserve"> 24, 14--24, PMCID: .</w:t>
      </w:r>
      <w:r w:rsidR="00572B35">
        <w:rPr>
          <w:rFonts w:ascii="Times New Roman" w:hAnsi="Times New Roman"/>
          <w:sz w:val="24"/>
        </w:rPr>
        <w:cr/>
        <w:t>38.</w:t>
      </w:r>
      <w:r w:rsidR="00572B35">
        <w:rPr>
          <w:rFonts w:ascii="Times New Roman" w:hAnsi="Times New Roman"/>
          <w:sz w:val="24"/>
        </w:rPr>
        <w:tab/>
        <w:t xml:space="preserve">Gjoneska, E., Pfenning, A. R., Mathys, H., Quon, G., Kundaje, A., Tsai, L.-H., &amp; Kellis, M. (2015) Conserved epigenomic signals in mice and humans reveal immune basis of Alzheimer's disease.. </w:t>
      </w:r>
      <w:r w:rsidR="00572B35">
        <w:rPr>
          <w:rFonts w:ascii="Times New Roman" w:hAnsi="Times New Roman"/>
          <w:i/>
          <w:sz w:val="24"/>
        </w:rPr>
        <w:t>Nature</w:t>
      </w:r>
      <w:r w:rsidR="00572B35">
        <w:rPr>
          <w:rFonts w:ascii="Times New Roman" w:hAnsi="Times New Roman"/>
          <w:sz w:val="24"/>
        </w:rPr>
        <w:t xml:space="preserve"> 518, 365--369, PMCID: .</w:t>
      </w:r>
      <w:r w:rsidR="00572B35">
        <w:rPr>
          <w:rFonts w:ascii="Times New Roman" w:hAnsi="Times New Roman"/>
          <w:sz w:val="24"/>
        </w:rPr>
        <w:cr/>
        <w:t>39.</w:t>
      </w:r>
      <w:r w:rsidR="00572B35">
        <w:rPr>
          <w:rFonts w:ascii="Times New Roman" w:hAnsi="Times New Roman"/>
          <w:sz w:val="24"/>
        </w:rPr>
        <w:tab/>
        <w:t xml:space="preserve">Farh, K. K.-H., Marson, A., Zhu, J., Kleinewietfeld, M., Housley, W. J., Beik, S., Shoresh, N., Whitton, H., Ryan, R. J. H., Shishkin, A. A., Hatan, M., Carrasco-Alfonso, M. J., Mayer, D., Luckey, C. J., Patsopoulos, N. A., De Jager, P. L., Kuchroo, V. K., Epstein, C. B., Daly, M. J., Hafler, D. A., &amp; Bernstein, B. E. (2015) Genetic and epigenetic fine mapping of causal autoimmune disease variants.. </w:t>
      </w:r>
      <w:r w:rsidR="00572B35">
        <w:rPr>
          <w:rFonts w:ascii="Times New Roman" w:hAnsi="Times New Roman"/>
          <w:i/>
          <w:sz w:val="24"/>
        </w:rPr>
        <w:t>Nature</w:t>
      </w:r>
      <w:r w:rsidR="00572B35">
        <w:rPr>
          <w:rFonts w:ascii="Times New Roman" w:hAnsi="Times New Roman"/>
          <w:sz w:val="24"/>
        </w:rPr>
        <w:t xml:space="preserve"> 518, 337--343, PMCID: .</w:t>
      </w:r>
      <w:r w:rsidR="00572B35">
        <w:rPr>
          <w:rFonts w:ascii="Times New Roman" w:hAnsi="Times New Roman"/>
          <w:sz w:val="24"/>
        </w:rPr>
        <w:cr/>
        <w:t>40.</w:t>
      </w:r>
      <w:r w:rsidR="00572B35">
        <w:rPr>
          <w:rFonts w:ascii="Times New Roman" w:hAnsi="Times New Roman"/>
          <w:sz w:val="24"/>
        </w:rPr>
        <w:tab/>
        <w:t xml:space="preserve">Wijetunga, N. A., Delahaye, F., Zhao, Y. M., Golden, A., Mar, J. C., Einstein, F. H., &amp; Greally, J. M. (2014) The meta-epigenomic structure of purified human stem cell populations is defined at cis-regulatory sequences.. </w:t>
      </w:r>
      <w:r w:rsidR="00572B35">
        <w:rPr>
          <w:rFonts w:ascii="Times New Roman" w:hAnsi="Times New Roman"/>
          <w:i/>
          <w:sz w:val="24"/>
        </w:rPr>
        <w:t>Nature communications</w:t>
      </w:r>
      <w:r w:rsidR="00572B35">
        <w:rPr>
          <w:rFonts w:ascii="Times New Roman" w:hAnsi="Times New Roman"/>
          <w:sz w:val="24"/>
        </w:rPr>
        <w:t xml:space="preserve"> 5, 5195, PMCID: .</w:t>
      </w:r>
      <w:r w:rsidR="00572B35">
        <w:rPr>
          <w:rFonts w:ascii="Times New Roman" w:hAnsi="Times New Roman"/>
          <w:sz w:val="24"/>
        </w:rPr>
        <w:cr/>
        <w:t>41.</w:t>
      </w:r>
      <w:r w:rsidR="00572B35">
        <w:rPr>
          <w:rFonts w:ascii="Times New Roman" w:hAnsi="Times New Roman"/>
          <w:sz w:val="24"/>
        </w:rPr>
        <w:tab/>
        <w:t xml:space="preserve">Zhou, X., Li, D., Zhang, B., Lowdon, R. F., Rockweiler, N. B., Sears, R. L., Madden, P. A. F., Smirnov, I., Costello, J. F., &amp; Wang, T. (2015) Epigenomic annotation of genetic variants using the Roadmap Epigenome Browser.. </w:t>
      </w:r>
      <w:r w:rsidR="00572B35">
        <w:rPr>
          <w:rFonts w:ascii="Times New Roman" w:hAnsi="Times New Roman"/>
          <w:i/>
          <w:sz w:val="24"/>
        </w:rPr>
        <w:t>Nature biotechnology</w:t>
      </w:r>
      <w:r w:rsidR="00572B35">
        <w:rPr>
          <w:rFonts w:ascii="Times New Roman" w:hAnsi="Times New Roman"/>
          <w:sz w:val="24"/>
        </w:rPr>
        <w:t xml:space="preserve"> , , PMCID: .</w:t>
      </w:r>
      <w:r w:rsidR="00572B35">
        <w:rPr>
          <w:rFonts w:ascii="Times New Roman" w:hAnsi="Times New Roman"/>
          <w:sz w:val="24"/>
        </w:rPr>
        <w:cr/>
        <w:t>42.</w:t>
      </w:r>
      <w:r w:rsidR="00572B35">
        <w:rPr>
          <w:rFonts w:ascii="Times New Roman" w:hAnsi="Times New Roman"/>
          <w:sz w:val="24"/>
        </w:rPr>
        <w:tab/>
        <w:t xml:space="preserve">Ernst, J. &amp; Kellis, M. (2015) Large-scale imputation of epigenomic datasets for systematic annotation of diverse human tissues.. </w:t>
      </w:r>
      <w:r w:rsidR="00572B35">
        <w:rPr>
          <w:rFonts w:ascii="Times New Roman" w:hAnsi="Times New Roman"/>
          <w:i/>
          <w:sz w:val="24"/>
        </w:rPr>
        <w:t>Nature biotechnology</w:t>
      </w:r>
      <w:r w:rsidR="00572B35">
        <w:rPr>
          <w:rFonts w:ascii="Times New Roman" w:hAnsi="Times New Roman"/>
          <w:sz w:val="24"/>
        </w:rPr>
        <w:t xml:space="preserve"> 33, 364--376, PMCID: .</w:t>
      </w:r>
      <w:r w:rsidR="00572B35">
        <w:rPr>
          <w:rFonts w:ascii="Times New Roman" w:hAnsi="Times New Roman"/>
          <w:sz w:val="24"/>
        </w:rPr>
        <w:cr/>
        <w:t>43.</w:t>
      </w:r>
      <w:r w:rsidR="00572B35">
        <w:rPr>
          <w:rFonts w:ascii="Times New Roman" w:hAnsi="Times New Roman"/>
          <w:sz w:val="24"/>
        </w:rPr>
        <w:tab/>
        <w:t xml:space="preserve">GTEx Consortium (2013) The Genotype-Tissue Expression (GTEx) project.. </w:t>
      </w:r>
      <w:r w:rsidR="00572B35">
        <w:rPr>
          <w:rFonts w:ascii="Times New Roman" w:hAnsi="Times New Roman"/>
          <w:i/>
          <w:sz w:val="24"/>
        </w:rPr>
        <w:t>Nature genetics</w:t>
      </w:r>
      <w:r w:rsidR="00572B35">
        <w:rPr>
          <w:rFonts w:ascii="Times New Roman" w:hAnsi="Times New Roman"/>
          <w:sz w:val="24"/>
        </w:rPr>
        <w:t xml:space="preserve"> 45, 580--</w:t>
      </w:r>
      <w:r w:rsidR="00572B35">
        <w:rPr>
          <w:rFonts w:ascii="Times New Roman" w:hAnsi="Times New Roman"/>
          <w:sz w:val="24"/>
        </w:rPr>
        <w:lastRenderedPageBreak/>
        <w:t>585, PMCID: .</w:t>
      </w:r>
      <w:r w:rsidR="00572B35">
        <w:rPr>
          <w:rFonts w:ascii="Times New Roman" w:hAnsi="Times New Roman"/>
          <w:sz w:val="24"/>
        </w:rPr>
        <w:cr/>
        <w:t>44.</w:t>
      </w:r>
      <w:r w:rsidR="00572B35">
        <w:rPr>
          <w:rFonts w:ascii="Times New Roman" w:hAnsi="Times New Roman"/>
          <w:sz w:val="24"/>
        </w:rPr>
        <w:tab/>
        <w:t xml:space="preserve">Rivas, M. A., Pirinen, M., Conrad, D. F., Lek, M., Tsang, E. K., Karczewski, K. J., Maller, J. B., Kukurba, K. R., DeLuca, D. S., Fromer, M., Ferreira, P. G., Smith, K. S., Zhang, R., Zhao, F., Banks, E., Poplin, R., Ruderfer, D. M., Purcell, S. M., Tukiainen, T., Minikel, E. V., Stenson, P. D., Cooper, D. N., Huang, K. H., Sullivan, T. J., Nedzel, J., GTEx Consortium, Geuvadis Consortium, Bustamante, C. D., Li, J. B., Daly, M. J., Guigo, R., Donnelly, P., Ardlie, K., Sammeth, M., Dermitzakis, E. T., McCarthy, M. I., Montgomery, S. B., Lappalainen, T., &amp; MacArthur, D. G. (2015) Human genomics. Effect of predicted protein-truncating genetic variants on the human transcriptome.. </w:t>
      </w:r>
      <w:r w:rsidR="00572B35">
        <w:rPr>
          <w:rFonts w:ascii="Times New Roman" w:hAnsi="Times New Roman"/>
          <w:i/>
          <w:sz w:val="24"/>
        </w:rPr>
        <w:t>Science (New York, N.Y.)</w:t>
      </w:r>
      <w:r w:rsidR="00572B35">
        <w:rPr>
          <w:rFonts w:ascii="Times New Roman" w:hAnsi="Times New Roman"/>
          <w:sz w:val="24"/>
        </w:rPr>
        <w:t xml:space="preserve"> 348, 666--669, PMCID: .</w:t>
      </w:r>
      <w:r w:rsidR="00572B35">
        <w:rPr>
          <w:rFonts w:ascii="Times New Roman" w:hAnsi="Times New Roman"/>
          <w:sz w:val="24"/>
        </w:rPr>
        <w:cr/>
        <w:t>45.</w:t>
      </w:r>
      <w:r w:rsidR="00572B35">
        <w:rPr>
          <w:rFonts w:ascii="Times New Roman" w:hAnsi="Times New Roman"/>
          <w:sz w:val="24"/>
        </w:rPr>
        <w:tab/>
        <w:t xml:space="preserve">Melé M1, Ferreira PG2, R. F. D. D. M. J. S. M. Y. T. G. J. P. D. S. T. J. R. S. A. D. S. N. A. G. C. W. F. L. T. C. M. G. G. D. E. A. K. G. R. (2015) Human genomics. The human transcriptome across tissues and individuals.. </w:t>
      </w:r>
      <w:r w:rsidR="00572B35">
        <w:rPr>
          <w:rFonts w:ascii="Times New Roman" w:hAnsi="Times New Roman"/>
          <w:i/>
          <w:sz w:val="24"/>
        </w:rPr>
        <w:t>Science (New York, N.Y.)</w:t>
      </w:r>
      <w:r w:rsidR="00572B35">
        <w:rPr>
          <w:rFonts w:ascii="Times New Roman" w:hAnsi="Times New Roman"/>
          <w:sz w:val="24"/>
        </w:rPr>
        <w:t xml:space="preserve"> 348, 660-5, PMCID: .</w:t>
      </w:r>
      <w:r w:rsidR="00572B35">
        <w:rPr>
          <w:rFonts w:ascii="Times New Roman" w:hAnsi="Times New Roman"/>
          <w:sz w:val="24"/>
        </w:rPr>
        <w:cr/>
        <w:t>46.</w:t>
      </w:r>
      <w:r w:rsidR="00572B35">
        <w:rPr>
          <w:rFonts w:ascii="Times New Roman" w:hAnsi="Times New Roman"/>
          <w:sz w:val="24"/>
        </w:rPr>
        <w:tab/>
        <w:t xml:space="preserve">GTEx Consortium (2015) Human genomics. The Genotype-Tissue Expression (GTEx) pilot analysis: multitissue gene regulation in humans.. </w:t>
      </w:r>
      <w:r w:rsidR="00572B35">
        <w:rPr>
          <w:rFonts w:ascii="Times New Roman" w:hAnsi="Times New Roman"/>
          <w:i/>
          <w:sz w:val="24"/>
        </w:rPr>
        <w:t>Science (New York, N.Y.)</w:t>
      </w:r>
      <w:r w:rsidR="00572B35">
        <w:rPr>
          <w:rFonts w:ascii="Times New Roman" w:hAnsi="Times New Roman"/>
          <w:sz w:val="24"/>
        </w:rPr>
        <w:t xml:space="preserve"> 348, 648--660, PMCID: .</w:t>
      </w:r>
      <w:r w:rsidR="00572B35">
        <w:rPr>
          <w:rFonts w:ascii="Times New Roman" w:hAnsi="Times New Roman"/>
          <w:sz w:val="24"/>
        </w:rPr>
        <w:cr/>
        <w:t>47.</w:t>
      </w:r>
      <w:r w:rsidR="00572B35">
        <w:rPr>
          <w:rFonts w:ascii="Times New Roman" w:hAnsi="Times New Roman"/>
          <w:sz w:val="24"/>
        </w:rPr>
        <w:tab/>
        <w:t xml:space="preserve">Baran, Y., Subramaniam, M., Biton, A., Tukiainen, T., Tsang, E. K., Rivas, M. A., Pirinen, M., Gutierrez-Arcelus, M., Smith, K. S., Kukurba, K. R., Zhang, R., Eng, C., Torgerson, D. G., Urbanek, C., GTEx Consortium, Li, J. B., Rodriguez-Santana, J. R., Burchard, E. G., Seibold, M. A., MacArthur, D. G., Montgomery, S. B., Zaitlen, N. A., &amp; Lappalainen, T. (2015) The landscape of genomic imprinting across diverse adult human tissues.. </w:t>
      </w:r>
      <w:r w:rsidR="00572B35">
        <w:rPr>
          <w:rFonts w:ascii="Times New Roman" w:hAnsi="Times New Roman"/>
          <w:i/>
          <w:sz w:val="24"/>
        </w:rPr>
        <w:t>Genome research</w:t>
      </w:r>
      <w:r w:rsidR="00572B35">
        <w:rPr>
          <w:rFonts w:ascii="Times New Roman" w:hAnsi="Times New Roman"/>
          <w:sz w:val="24"/>
        </w:rPr>
        <w:t xml:space="preserve"> , , PMCID: .</w:t>
      </w:r>
      <w:r w:rsidR="00572B35">
        <w:rPr>
          <w:rFonts w:ascii="Times New Roman" w:hAnsi="Times New Roman"/>
          <w:sz w:val="24"/>
        </w:rPr>
        <w:cr/>
        <w:t>48.</w:t>
      </w:r>
      <w:r w:rsidR="00572B35">
        <w:rPr>
          <w:rFonts w:ascii="Times New Roman" w:hAnsi="Times New Roman"/>
          <w:sz w:val="24"/>
        </w:rPr>
        <w:tab/>
        <w:t xml:space="preserve">Won, K.-J., Zhang, X., Wang, T., Ding, B., Raha, D., Snyder, M., Ren, B., &amp; Wang, W. (2013) Comparative annotation of functional regions in the human genome using epigenomic data.. </w:t>
      </w:r>
      <w:r w:rsidR="00572B35">
        <w:rPr>
          <w:rFonts w:ascii="Times New Roman" w:hAnsi="Times New Roman"/>
          <w:i/>
          <w:sz w:val="24"/>
        </w:rPr>
        <w:t>Nucleic acids research</w:t>
      </w:r>
      <w:r w:rsidR="00572B35">
        <w:rPr>
          <w:rFonts w:ascii="Times New Roman" w:hAnsi="Times New Roman"/>
          <w:sz w:val="24"/>
        </w:rPr>
        <w:t xml:space="preserve"> 41, 4423--4432, PMCID: .</w:t>
      </w:r>
      <w:r w:rsidR="00572B35">
        <w:rPr>
          <w:rFonts w:ascii="Times New Roman" w:hAnsi="Times New Roman"/>
          <w:sz w:val="24"/>
        </w:rPr>
        <w:cr/>
        <w:t>49.</w:t>
      </w:r>
      <w:r w:rsidR="00572B35">
        <w:rPr>
          <w:rFonts w:ascii="Times New Roman" w:hAnsi="Times New Roman"/>
          <w:sz w:val="24"/>
        </w:rPr>
        <w:tab/>
        <w:t xml:space="preserve">Montgomery, S. B., Lappalainen, T., Gutierrez-Arcelus, M., &amp; Dermitzakis, E. T. (2011) Rare and common regulatory variation in population-scale sequenced human genomes.. </w:t>
      </w:r>
      <w:r w:rsidR="00572B35">
        <w:rPr>
          <w:rFonts w:ascii="Times New Roman" w:hAnsi="Times New Roman"/>
          <w:i/>
          <w:sz w:val="24"/>
        </w:rPr>
        <w:t>PLoS genetics</w:t>
      </w:r>
      <w:r w:rsidR="00572B35">
        <w:rPr>
          <w:rFonts w:ascii="Times New Roman" w:hAnsi="Times New Roman"/>
          <w:sz w:val="24"/>
        </w:rPr>
        <w:t xml:space="preserve"> 7, e1002144, PMCID: .</w:t>
      </w:r>
      <w:r w:rsidR="00572B35">
        <w:rPr>
          <w:rFonts w:ascii="Times New Roman" w:hAnsi="Times New Roman"/>
          <w:sz w:val="24"/>
        </w:rPr>
        <w:cr/>
        <w:t>50.</w:t>
      </w:r>
      <w:r w:rsidR="00572B35">
        <w:rPr>
          <w:rFonts w:ascii="Times New Roman" w:hAnsi="Times New Roman"/>
          <w:sz w:val="24"/>
        </w:rPr>
        <w:tab/>
        <w:t xml:space="preserve">Fowler, D. M., Araya, C. L., Fleishman, S. J., Kellogg, E. H., Stephany, J. J., Baker, D., &amp; Fields, S. (2010) High-resolution mapping of protein sequence-function relationships.. </w:t>
      </w:r>
      <w:r w:rsidR="00572B35">
        <w:rPr>
          <w:rFonts w:ascii="Times New Roman" w:hAnsi="Times New Roman"/>
          <w:i/>
          <w:sz w:val="24"/>
        </w:rPr>
        <w:t>Nature methods</w:t>
      </w:r>
      <w:r w:rsidR="00572B35">
        <w:rPr>
          <w:rFonts w:ascii="Times New Roman" w:hAnsi="Times New Roman"/>
          <w:sz w:val="24"/>
        </w:rPr>
        <w:t xml:space="preserve"> 7, 741--746, PMCID: .</w:t>
      </w:r>
      <w:r w:rsidR="00572B35">
        <w:rPr>
          <w:rFonts w:ascii="Times New Roman" w:hAnsi="Times New Roman"/>
          <w:sz w:val="24"/>
        </w:rPr>
        <w:cr/>
        <w:t>51.</w:t>
      </w:r>
      <w:r w:rsidR="00572B35">
        <w:rPr>
          <w:rFonts w:ascii="Times New Roman" w:hAnsi="Times New Roman"/>
          <w:sz w:val="24"/>
        </w:rPr>
        <w:tab/>
        <w:t xml:space="preserve">Starita, L. M., Pruneda, J. N., Lo, R. S., Fowler, D. M., Kim, H. J., Hiatt, J. B., Shendure, J., Brzovic, P. S., Fields, S., &amp; Klevit, R. E. (2013) Activity-enhancing mutations in an E3 ubiquitin ligase identified by high-throughput mutagenesis..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110, E1263--E1272, PMCID: .</w:t>
      </w:r>
      <w:r w:rsidR="00572B35">
        <w:rPr>
          <w:rFonts w:ascii="Times New Roman" w:hAnsi="Times New Roman"/>
          <w:sz w:val="24"/>
        </w:rPr>
        <w:cr/>
        <w:t>52.</w:t>
      </w:r>
      <w:r w:rsidR="00572B35">
        <w:rPr>
          <w:rFonts w:ascii="Times New Roman" w:hAnsi="Times New Roman"/>
          <w:sz w:val="24"/>
        </w:rPr>
        <w:tab/>
        <w:t xml:space="preserve">Araya, C. L., Fowler, D. M., Chen, W., Muniez, I., Kelly, J. W., &amp; Fields, S. (2012) A fundamental protein property, thermodynamic stability, revealed solely from large-scale measurements of protein function..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109, 16858--16863, PMCID: .</w:t>
      </w:r>
      <w:r w:rsidR="00572B35">
        <w:rPr>
          <w:rFonts w:ascii="Times New Roman" w:hAnsi="Times New Roman"/>
          <w:sz w:val="24"/>
        </w:rPr>
        <w:cr/>
        <w:t>53.</w:t>
      </w:r>
      <w:r w:rsidR="00572B35">
        <w:rPr>
          <w:rFonts w:ascii="Times New Roman" w:hAnsi="Times New Roman"/>
          <w:sz w:val="24"/>
        </w:rPr>
        <w:tab/>
        <w:t xml:space="preserve">Pitt, J. N. &amp; Ferré-D'Amaré, A. R. (2010) Rapid construction of empirical RNA fitness landscapes.. </w:t>
      </w:r>
      <w:r w:rsidR="00572B35">
        <w:rPr>
          <w:rFonts w:ascii="Times New Roman" w:hAnsi="Times New Roman"/>
          <w:i/>
          <w:sz w:val="24"/>
        </w:rPr>
        <w:t>Science (New York, N.Y.)</w:t>
      </w:r>
      <w:r w:rsidR="00572B35">
        <w:rPr>
          <w:rFonts w:ascii="Times New Roman" w:hAnsi="Times New Roman"/>
          <w:sz w:val="24"/>
        </w:rPr>
        <w:t xml:space="preserve"> 330, 376--379, PMCID: .</w:t>
      </w:r>
      <w:r w:rsidR="00572B35">
        <w:rPr>
          <w:rFonts w:ascii="Times New Roman" w:hAnsi="Times New Roman"/>
          <w:sz w:val="24"/>
        </w:rPr>
        <w:cr/>
        <w:t>54.</w:t>
      </w:r>
      <w:r w:rsidR="00572B35">
        <w:rPr>
          <w:rFonts w:ascii="Times New Roman" w:hAnsi="Times New Roman"/>
          <w:sz w:val="24"/>
        </w:rPr>
        <w:tab/>
        <w:t xml:space="preserve">Rozowsky, J., Euskirchen, G., Auerbach, R. K., Zhang, Z. D., Gibson, T., Bjornson, R., Carriero, N., Snyder, M., &amp; Gerstein, M. B. (2009) PeakSeq enables systematic scoring of ChIP-seq experiments relative to controls.. </w:t>
      </w:r>
      <w:r w:rsidR="00572B35">
        <w:rPr>
          <w:rFonts w:ascii="Times New Roman" w:hAnsi="Times New Roman"/>
          <w:i/>
          <w:sz w:val="24"/>
        </w:rPr>
        <w:t>Nature biotechnology</w:t>
      </w:r>
      <w:r w:rsidR="00572B35">
        <w:rPr>
          <w:rFonts w:ascii="Times New Roman" w:hAnsi="Times New Roman"/>
          <w:sz w:val="24"/>
        </w:rPr>
        <w:t xml:space="preserve"> 27, 66--75, PMCID: .</w:t>
      </w:r>
      <w:r w:rsidR="00572B35">
        <w:rPr>
          <w:rFonts w:ascii="Times New Roman" w:hAnsi="Times New Roman"/>
          <w:sz w:val="24"/>
        </w:rPr>
        <w:cr/>
        <w:t>55.</w:t>
      </w:r>
      <w:r w:rsidR="00572B35">
        <w:rPr>
          <w:rFonts w:ascii="Times New Roman" w:hAnsi="Times New Roman"/>
          <w:sz w:val="24"/>
        </w:rPr>
        <w:tab/>
        <w:t xml:space="preserve">Cheng, C., Min, R., &amp; Gerstein, M. (2011) TIP: a probabilistic method for identifying transcription factor target genes from ChIP-seq binding profiles.. </w:t>
      </w:r>
      <w:r w:rsidR="00572B35">
        <w:rPr>
          <w:rFonts w:ascii="Times New Roman" w:hAnsi="Times New Roman"/>
          <w:i/>
          <w:sz w:val="24"/>
        </w:rPr>
        <w:t>Bioinformatics (Oxford, England)</w:t>
      </w:r>
      <w:r w:rsidR="00572B35">
        <w:rPr>
          <w:rFonts w:ascii="Times New Roman" w:hAnsi="Times New Roman"/>
          <w:sz w:val="24"/>
        </w:rPr>
        <w:t xml:space="preserve"> 27, 3221--3227, PMCID: .</w:t>
      </w:r>
      <w:r w:rsidR="00572B35">
        <w:rPr>
          <w:rFonts w:ascii="Times New Roman" w:hAnsi="Times New Roman"/>
          <w:sz w:val="24"/>
        </w:rPr>
        <w:cr/>
        <w:t>56.</w:t>
      </w:r>
      <w:r w:rsidR="00572B35">
        <w:rPr>
          <w:rFonts w:ascii="Times New Roman" w:hAnsi="Times New Roman"/>
          <w:sz w:val="24"/>
        </w:rPr>
        <w:tab/>
        <w:t xml:space="preserve">Yip, K. Y. &amp; Gerstein, M. (2009) Training set expansion: an approach to improving the reconstruction </w:t>
      </w:r>
      <w:r w:rsidR="00572B35">
        <w:rPr>
          <w:rFonts w:ascii="Times New Roman" w:hAnsi="Times New Roman"/>
          <w:sz w:val="24"/>
        </w:rPr>
        <w:lastRenderedPageBreak/>
        <w:t xml:space="preserve">of biological networks from limited and uneven reliable interactions.. </w:t>
      </w:r>
      <w:r w:rsidR="00572B35">
        <w:rPr>
          <w:rFonts w:ascii="Times New Roman" w:hAnsi="Times New Roman"/>
          <w:i/>
          <w:sz w:val="24"/>
        </w:rPr>
        <w:t>Bioinformatics (Oxford, England)</w:t>
      </w:r>
      <w:r w:rsidR="00572B35">
        <w:rPr>
          <w:rFonts w:ascii="Times New Roman" w:hAnsi="Times New Roman"/>
          <w:sz w:val="24"/>
        </w:rPr>
        <w:t xml:space="preserve"> 25, 243--250, PMCID: .</w:t>
      </w:r>
      <w:r w:rsidR="00572B35">
        <w:rPr>
          <w:rFonts w:ascii="Times New Roman" w:hAnsi="Times New Roman"/>
          <w:sz w:val="24"/>
        </w:rPr>
        <w:cr/>
        <w:t>57.</w:t>
      </w:r>
      <w:r w:rsidR="00572B35">
        <w:rPr>
          <w:rFonts w:ascii="Times New Roman" w:hAnsi="Times New Roman"/>
          <w:sz w:val="24"/>
        </w:rPr>
        <w:tab/>
        <w:t xml:space="preserve">Yip, K. Y., Alexander, R. P., Yan, K.-K., &amp; Gerstein, M. (2010) Improved reconstruction of in silico gene regulatory networks by integrating knockout and perturbation data.. </w:t>
      </w:r>
      <w:r w:rsidR="00572B35">
        <w:rPr>
          <w:rFonts w:ascii="Times New Roman" w:hAnsi="Times New Roman"/>
          <w:i/>
          <w:sz w:val="24"/>
        </w:rPr>
        <w:t>PloS one</w:t>
      </w:r>
      <w:r w:rsidR="00572B35">
        <w:rPr>
          <w:rFonts w:ascii="Times New Roman" w:hAnsi="Times New Roman"/>
          <w:sz w:val="24"/>
        </w:rPr>
        <w:t xml:space="preserve"> 5, e8121, PMCID: .</w:t>
      </w:r>
      <w:r w:rsidR="00572B35">
        <w:rPr>
          <w:rFonts w:ascii="Times New Roman" w:hAnsi="Times New Roman"/>
          <w:sz w:val="24"/>
        </w:rPr>
        <w:cr/>
        <w:t>58.</w:t>
      </w:r>
      <w:r w:rsidR="00572B35">
        <w:rPr>
          <w:rFonts w:ascii="Times New Roman" w:hAnsi="Times New Roman"/>
          <w:sz w:val="24"/>
        </w:rPr>
        <w:tab/>
        <w:t xml:space="preserve">Yip, K. Y., Cheng, C., Bhardwaj, N., Brown, J. B., Leng, J., Kundaje, A., Rozowsky, J., Birney, E., Bickel, P., Snyder, M., &amp; Gerstein, M. (2012) Classification of human genomic regions based on experimentally determined binding sites of more than 100 transcription-related factors.. </w:t>
      </w:r>
      <w:r w:rsidR="00572B35">
        <w:rPr>
          <w:rFonts w:ascii="Times New Roman" w:hAnsi="Times New Roman"/>
          <w:i/>
          <w:sz w:val="24"/>
        </w:rPr>
        <w:t>Genome biology</w:t>
      </w:r>
      <w:r w:rsidR="00572B35">
        <w:rPr>
          <w:rFonts w:ascii="Times New Roman" w:hAnsi="Times New Roman"/>
          <w:sz w:val="24"/>
        </w:rPr>
        <w:t xml:space="preserve"> 13, R48, PMCID: .</w:t>
      </w:r>
      <w:r w:rsidR="00572B35">
        <w:rPr>
          <w:rFonts w:ascii="Times New Roman" w:hAnsi="Times New Roman"/>
          <w:sz w:val="24"/>
        </w:rPr>
        <w:cr/>
        <w:t>59.</w:t>
      </w:r>
      <w:r w:rsidR="00572B35">
        <w:rPr>
          <w:rFonts w:ascii="Times New Roman" w:hAnsi="Times New Roman"/>
          <w:sz w:val="24"/>
        </w:rPr>
        <w:tab/>
        <w:t xml:space="preserve">Cheng, C., Shou, C., Yip, K. Y., &amp; Gerstein, M. B. (2011) Genome-wide analysis of chromatin features identifies histone modification sensitive and insensitive yeast transcription factors.. </w:t>
      </w:r>
      <w:r w:rsidR="00572B35">
        <w:rPr>
          <w:rFonts w:ascii="Times New Roman" w:hAnsi="Times New Roman"/>
          <w:i/>
          <w:sz w:val="24"/>
        </w:rPr>
        <w:t>Genome biology</w:t>
      </w:r>
      <w:r w:rsidR="00572B35">
        <w:rPr>
          <w:rFonts w:ascii="Times New Roman" w:hAnsi="Times New Roman"/>
          <w:sz w:val="24"/>
        </w:rPr>
        <w:t xml:space="preserve"> 12, R111, PMCID: .</w:t>
      </w:r>
      <w:r w:rsidR="00572B35">
        <w:rPr>
          <w:rFonts w:ascii="Times New Roman" w:hAnsi="Times New Roman"/>
          <w:sz w:val="24"/>
        </w:rPr>
        <w:cr/>
        <w:t>60.</w:t>
      </w:r>
      <w:r w:rsidR="00572B35">
        <w:rPr>
          <w:rFonts w:ascii="Times New Roman" w:hAnsi="Times New Roman"/>
          <w:sz w:val="24"/>
        </w:rPr>
        <w:tab/>
        <w:t xml:space="preserve">Cheng, C., Yan, K.-K., Yip, K. Y., Rozowsky, J., Alexander, R., Shou, C., &amp; Gerstein, M. (2011) A statistical framework for modeling gene expression using chromatin features and application to modENCODE datasets.. </w:t>
      </w:r>
      <w:r w:rsidR="00572B35">
        <w:rPr>
          <w:rFonts w:ascii="Times New Roman" w:hAnsi="Times New Roman"/>
          <w:i/>
          <w:sz w:val="24"/>
        </w:rPr>
        <w:t>Genome biology</w:t>
      </w:r>
      <w:r w:rsidR="00572B35">
        <w:rPr>
          <w:rFonts w:ascii="Times New Roman" w:hAnsi="Times New Roman"/>
          <w:sz w:val="24"/>
        </w:rPr>
        <w:t xml:space="preserve"> 12, R15, PMCID: .</w:t>
      </w:r>
      <w:r w:rsidR="00572B35">
        <w:rPr>
          <w:rFonts w:ascii="Times New Roman" w:hAnsi="Times New Roman"/>
          <w:sz w:val="24"/>
        </w:rPr>
        <w:cr/>
        <w:t>61.</w:t>
      </w:r>
      <w:r w:rsidR="00572B35">
        <w:rPr>
          <w:rFonts w:ascii="Times New Roman" w:hAnsi="Times New Roman"/>
          <w:sz w:val="24"/>
        </w:rPr>
        <w:tab/>
        <w:t xml:space="preserve">Cheng, C. &amp; Gerstein, M. (2012) Modeling the relative relationship of transcription factor binding and histone modifications to gene expression levels in mouse embryonic stem cells.. </w:t>
      </w:r>
      <w:r w:rsidR="00572B35">
        <w:rPr>
          <w:rFonts w:ascii="Times New Roman" w:hAnsi="Times New Roman"/>
          <w:i/>
          <w:sz w:val="24"/>
        </w:rPr>
        <w:t>Nucleic acids research</w:t>
      </w:r>
      <w:r w:rsidR="00572B35">
        <w:rPr>
          <w:rFonts w:ascii="Times New Roman" w:hAnsi="Times New Roman"/>
          <w:sz w:val="24"/>
        </w:rPr>
        <w:t xml:space="preserve"> 40, 553--568, PMCID: .</w:t>
      </w:r>
      <w:r w:rsidR="00572B35">
        <w:rPr>
          <w:rFonts w:ascii="Times New Roman" w:hAnsi="Times New Roman"/>
          <w:sz w:val="24"/>
        </w:rPr>
        <w:cr/>
        <w:t>62.</w:t>
      </w:r>
      <w:r w:rsidR="00572B35">
        <w:rPr>
          <w:rFonts w:ascii="Times New Roman" w:hAnsi="Times New Roman"/>
          <w:sz w:val="24"/>
        </w:rPr>
        <w:tab/>
        <w:t xml:space="preserve">Cheng, C., Alexander, R., Min, R., Leng, J., Yip, K. Y., Rozowsky, J., Yan, K.-K., Dong, X., Djebali, S., Ruan, Y., Davis, C. A., Carninci, P., Lassman, T., Gingeras, T. R., Guigó, R., Birney, E., Weng, Z., Snyder, M., &amp; Gerstein, M. (2012) Understanding transcriptional regulation by integrative analysis of transcription factor binding data.. </w:t>
      </w:r>
      <w:r w:rsidR="00572B35">
        <w:rPr>
          <w:rFonts w:ascii="Times New Roman" w:hAnsi="Times New Roman"/>
          <w:i/>
          <w:sz w:val="24"/>
        </w:rPr>
        <w:t>Genome research</w:t>
      </w:r>
      <w:r w:rsidR="00572B35">
        <w:rPr>
          <w:rFonts w:ascii="Times New Roman" w:hAnsi="Times New Roman"/>
          <w:sz w:val="24"/>
        </w:rPr>
        <w:t xml:space="preserve"> 22, 1658--1667, PMCID: .</w:t>
      </w:r>
      <w:r w:rsidR="00572B35">
        <w:rPr>
          <w:rFonts w:ascii="Times New Roman" w:hAnsi="Times New Roman"/>
          <w:sz w:val="24"/>
        </w:rPr>
        <w:cr/>
        <w:t>63.</w:t>
      </w:r>
      <w:r w:rsidR="00572B35">
        <w:rPr>
          <w:rFonts w:ascii="Times New Roman" w:hAnsi="Times New Roman"/>
          <w:sz w:val="24"/>
        </w:rPr>
        <w:tab/>
        <w:t xml:space="preserve">Gerstein, M. B., Kundaje, A., Hariharan, M., Landt, S. G., Yan, K.-K.,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sidR="00572B35">
        <w:rPr>
          <w:rFonts w:ascii="Times New Roman" w:hAnsi="Times New Roman"/>
          <w:i/>
          <w:sz w:val="24"/>
        </w:rPr>
        <w:t>Nature</w:t>
      </w:r>
      <w:r w:rsidR="00572B35">
        <w:rPr>
          <w:rFonts w:ascii="Times New Roman" w:hAnsi="Times New Roman"/>
          <w:sz w:val="24"/>
        </w:rPr>
        <w:t xml:space="preserve"> 489, 91--100, PMCID: .</w:t>
      </w:r>
      <w:r w:rsidR="00572B35">
        <w:rPr>
          <w:rFonts w:ascii="Times New Roman" w:hAnsi="Times New Roman"/>
          <w:sz w:val="24"/>
        </w:rPr>
        <w:cr/>
        <w:t>64.</w:t>
      </w:r>
      <w:r w:rsidR="00572B35">
        <w:rPr>
          <w:rFonts w:ascii="Times New Roman" w:hAnsi="Times New Roman"/>
          <w:sz w:val="24"/>
        </w:rPr>
        <w:tab/>
        <w:t xml:space="preserve">Nègre N1, Brown CD, M. L. B. C. M. S. W. U. K. P. E. M. L. P. S. R. L. Z. I. H. S. R. C. J. H. L. C. C. A. R. D. M. D. M. S. P. M. C. Z. J. S. S. S. L. V. A. B. N. G. A. H. D. M. D. M. M. V. K. B. H. W. R. G. M. R. S. G. R. R. B. P. J. K. M. W. K. (2011) A cis-regulatory map of the Drosophila genome.. </w:t>
      </w:r>
      <w:r w:rsidR="00572B35">
        <w:rPr>
          <w:rFonts w:ascii="Times New Roman" w:hAnsi="Times New Roman"/>
          <w:i/>
          <w:sz w:val="24"/>
        </w:rPr>
        <w:t>Nature</w:t>
      </w:r>
      <w:r w:rsidR="00572B35">
        <w:rPr>
          <w:rFonts w:ascii="Times New Roman" w:hAnsi="Times New Roman"/>
          <w:sz w:val="24"/>
        </w:rPr>
        <w:t xml:space="preserve"> 471, 527-31, PMCID: .</w:t>
      </w:r>
      <w:r w:rsidR="00572B35">
        <w:rPr>
          <w:rFonts w:ascii="Times New Roman" w:hAnsi="Times New Roman"/>
          <w:sz w:val="24"/>
        </w:rPr>
        <w:cr/>
        <w:t>65.</w:t>
      </w:r>
      <w:r w:rsidR="00572B35">
        <w:rPr>
          <w:rFonts w:ascii="Times New Roman" w:hAnsi="Times New Roman"/>
          <w:sz w:val="24"/>
        </w:rPr>
        <w:tab/>
        <w:t xml:space="preserve">Cheng, C., Yan, K.-K., Hwang, W., Qian, J., Bhardwaj, N., Rozowsky, J., Lu, Z. J., Niu, W., Alves, P., Kato, M., Snyder, M., &amp; Gerstein, M. (2011) Construction and analysis of an integrated regulatory network derived from high-throughput sequencing data.. </w:t>
      </w:r>
      <w:r w:rsidR="00572B35">
        <w:rPr>
          <w:rFonts w:ascii="Times New Roman" w:hAnsi="Times New Roman"/>
          <w:i/>
          <w:sz w:val="24"/>
        </w:rPr>
        <w:t>PLoS computational biology</w:t>
      </w:r>
      <w:r w:rsidR="00572B35">
        <w:rPr>
          <w:rFonts w:ascii="Times New Roman" w:hAnsi="Times New Roman"/>
          <w:sz w:val="24"/>
        </w:rPr>
        <w:t xml:space="preserve"> 7, e1002190, PMCID: .</w:t>
      </w:r>
      <w:r w:rsidR="00572B35">
        <w:rPr>
          <w:rFonts w:ascii="Times New Roman" w:hAnsi="Times New Roman"/>
          <w:sz w:val="24"/>
        </w:rPr>
        <w:cr/>
        <w:t>66.</w:t>
      </w:r>
      <w:r w:rsidR="00572B35">
        <w:rPr>
          <w:rFonts w:ascii="Times New Roman" w:hAnsi="Times New Roman"/>
          <w:sz w:val="24"/>
        </w:rPr>
        <w:tab/>
        <w:t xml:space="preserve">Yan, K.-K., Fang, G., Bhardwaj, N., Alexander, R. P., &amp; Gerstein, M. (2010) Comparing genomes to computer operating systems in terms of the topology and evolution of their regulatory control networks..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107, 9186--9191, PMCID: .</w:t>
      </w:r>
      <w:r w:rsidR="00572B35">
        <w:rPr>
          <w:rFonts w:ascii="Times New Roman" w:hAnsi="Times New Roman"/>
          <w:sz w:val="24"/>
        </w:rPr>
        <w:cr/>
        <w:t>67.</w:t>
      </w:r>
      <w:r w:rsidR="00572B35">
        <w:rPr>
          <w:rFonts w:ascii="Times New Roman" w:hAnsi="Times New Roman"/>
          <w:sz w:val="24"/>
        </w:rPr>
        <w:tab/>
        <w:t xml:space="preserve">Yu, H., Greenbaum, D., Xin Lu, H., Zhu, X., &amp; Gerstein, M. (2004) Genomic analysis of essentiality within protein networks.. </w:t>
      </w:r>
      <w:r w:rsidR="00572B35">
        <w:rPr>
          <w:rFonts w:ascii="Times New Roman" w:hAnsi="Times New Roman"/>
          <w:i/>
          <w:sz w:val="24"/>
        </w:rPr>
        <w:t>Trends in genetics : TIG</w:t>
      </w:r>
      <w:r w:rsidR="00572B35">
        <w:rPr>
          <w:rFonts w:ascii="Times New Roman" w:hAnsi="Times New Roman"/>
          <w:sz w:val="24"/>
        </w:rPr>
        <w:t xml:space="preserve"> 20, 227--231, PMCID: .</w:t>
      </w:r>
      <w:r w:rsidR="00572B35">
        <w:rPr>
          <w:rFonts w:ascii="Times New Roman" w:hAnsi="Times New Roman"/>
          <w:sz w:val="24"/>
        </w:rPr>
        <w:cr/>
        <w:t>68.</w:t>
      </w:r>
      <w:r w:rsidR="00572B35">
        <w:rPr>
          <w:rFonts w:ascii="Times New Roman" w:hAnsi="Times New Roman"/>
          <w:sz w:val="24"/>
        </w:rPr>
        <w:tab/>
        <w:t xml:space="preserve">Yu, H., Zhu, X., Greenbaum, D., Karro, J., &amp; Gerstein, M. (2004) TopNet: a tool for comparing biological sub-networks, correlating protein properties with topological statistics.. </w:t>
      </w:r>
      <w:r w:rsidR="00572B35">
        <w:rPr>
          <w:rFonts w:ascii="Times New Roman" w:hAnsi="Times New Roman"/>
          <w:i/>
          <w:sz w:val="24"/>
        </w:rPr>
        <w:t>Nucleic acids research</w:t>
      </w:r>
      <w:r w:rsidR="00572B35">
        <w:rPr>
          <w:rFonts w:ascii="Times New Roman" w:hAnsi="Times New Roman"/>
          <w:sz w:val="24"/>
        </w:rPr>
        <w:t xml:space="preserve"> 32, 328--337, PMCID: .</w:t>
      </w:r>
      <w:r w:rsidR="00572B35">
        <w:rPr>
          <w:rFonts w:ascii="Times New Roman" w:hAnsi="Times New Roman"/>
          <w:sz w:val="24"/>
        </w:rPr>
        <w:cr/>
      </w:r>
      <w:r w:rsidR="00572B35">
        <w:rPr>
          <w:rFonts w:ascii="Times New Roman" w:hAnsi="Times New Roman"/>
          <w:sz w:val="24"/>
        </w:rPr>
        <w:lastRenderedPageBreak/>
        <w:t>69.</w:t>
      </w:r>
      <w:r w:rsidR="00572B35">
        <w:rPr>
          <w:rFonts w:ascii="Times New Roman" w:hAnsi="Times New Roman"/>
          <w:sz w:val="24"/>
        </w:rPr>
        <w:tab/>
        <w:t xml:space="preserve">Yu, H., Kim, P. M., Sprecher, E., Trifonov, V., &amp; Gerstein, M. (2007) The importance of bottlenecks in protein networks: correlation with gene essentiality and expression dynamics.. </w:t>
      </w:r>
      <w:r w:rsidR="00572B35">
        <w:rPr>
          <w:rFonts w:ascii="Times New Roman" w:hAnsi="Times New Roman"/>
          <w:i/>
          <w:sz w:val="24"/>
        </w:rPr>
        <w:t>PLoS computational biology</w:t>
      </w:r>
      <w:r w:rsidR="00572B35">
        <w:rPr>
          <w:rFonts w:ascii="Times New Roman" w:hAnsi="Times New Roman"/>
          <w:sz w:val="24"/>
        </w:rPr>
        <w:t xml:space="preserve"> 3, e59, PMCID: .</w:t>
      </w:r>
      <w:r w:rsidR="00572B35">
        <w:rPr>
          <w:rFonts w:ascii="Times New Roman" w:hAnsi="Times New Roman"/>
          <w:sz w:val="24"/>
        </w:rPr>
        <w:cr/>
        <w:t>70.</w:t>
      </w:r>
      <w:r w:rsidR="00572B35">
        <w:rPr>
          <w:rFonts w:ascii="Times New Roman" w:hAnsi="Times New Roman"/>
          <w:sz w:val="24"/>
        </w:rPr>
        <w:tab/>
        <w:t xml:space="preserve">Luscombe, N. M., Babu, M. M., Yu, H., Snyder, M., Teichmann, S. A., &amp; Gerstein, M. (2004) Genomic analysis of regulatory network dynamics reveals large topological changes.. </w:t>
      </w:r>
      <w:r w:rsidR="00572B35">
        <w:rPr>
          <w:rFonts w:ascii="Times New Roman" w:hAnsi="Times New Roman"/>
          <w:i/>
          <w:sz w:val="24"/>
        </w:rPr>
        <w:t>Nature</w:t>
      </w:r>
      <w:r w:rsidR="00572B35">
        <w:rPr>
          <w:rFonts w:ascii="Times New Roman" w:hAnsi="Times New Roman"/>
          <w:sz w:val="24"/>
        </w:rPr>
        <w:t xml:space="preserve"> 431, 308--312, PMCID: .</w:t>
      </w:r>
      <w:r w:rsidR="00572B35">
        <w:rPr>
          <w:rFonts w:ascii="Times New Roman" w:hAnsi="Times New Roman"/>
          <w:sz w:val="24"/>
        </w:rPr>
        <w:cr/>
        <w:t>71.</w:t>
      </w:r>
      <w:r w:rsidR="00572B35">
        <w:rPr>
          <w:rFonts w:ascii="Times New Roman" w:hAnsi="Times New Roman"/>
          <w:sz w:val="24"/>
        </w:rPr>
        <w:tab/>
        <w:t xml:space="preserve">Gianoulis, T. A., Raes, J., Patel, P. V., Bjornson, R., Korbel, J. O., Letunic, I., Yamada, T., Paccanaro, A., Jensen, L. J., Snyder, M., Bork, P., &amp; Gerstein, M. B. (2009) Quantifying environmental adaptation of metabolic pathways in metagenomics..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106, 1374--1379, PMCID: .</w:t>
      </w:r>
      <w:r w:rsidR="00572B35">
        <w:rPr>
          <w:rFonts w:ascii="Times New Roman" w:hAnsi="Times New Roman"/>
          <w:sz w:val="24"/>
        </w:rPr>
        <w:cr/>
        <w:t>72.</w:t>
      </w:r>
      <w:r w:rsidR="00572B35">
        <w:rPr>
          <w:rFonts w:ascii="Times New Roman" w:hAnsi="Times New Roman"/>
          <w:sz w:val="24"/>
        </w:rPr>
        <w:tab/>
        <w:t xml:space="preserve">Yu, H., Paccanaro, A., Trifonov, V., &amp; Gerstein, M. (2006) Predicting interactions in protein networks by completing defective cliques.. </w:t>
      </w:r>
      <w:r w:rsidR="00572B35">
        <w:rPr>
          <w:rFonts w:ascii="Times New Roman" w:hAnsi="Times New Roman"/>
          <w:i/>
          <w:sz w:val="24"/>
        </w:rPr>
        <w:t>Bioinformatics (Oxford, England)</w:t>
      </w:r>
      <w:r w:rsidR="00572B35">
        <w:rPr>
          <w:rFonts w:ascii="Times New Roman" w:hAnsi="Times New Roman"/>
          <w:sz w:val="24"/>
        </w:rPr>
        <w:t xml:space="preserve"> 22, 823--829, PMCID: .</w:t>
      </w:r>
      <w:r w:rsidR="00572B35">
        <w:rPr>
          <w:rFonts w:ascii="Times New Roman" w:hAnsi="Times New Roman"/>
          <w:sz w:val="24"/>
        </w:rPr>
        <w:cr/>
        <w:t>73.</w:t>
      </w:r>
      <w:r w:rsidR="00572B35">
        <w:rPr>
          <w:rFonts w:ascii="Times New Roman" w:hAnsi="Times New Roman"/>
          <w:sz w:val="24"/>
        </w:rPr>
        <w:tab/>
        <w:t xml:space="preserve">Kim, P. M., Korbel, J. O., &amp; Gerstein, M. B. (2007) Positive selection at the protein network periphery: evaluation in terms of structural constraints and cellular context..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104, 20274--20279, PMCID: .</w:t>
      </w:r>
      <w:r w:rsidR="00572B35">
        <w:rPr>
          <w:rFonts w:ascii="Times New Roman" w:hAnsi="Times New Roman"/>
          <w:sz w:val="24"/>
        </w:rPr>
        <w:cr/>
        <w:t>74.</w:t>
      </w:r>
      <w:r w:rsidR="00572B35">
        <w:rPr>
          <w:rFonts w:ascii="Times New Roman" w:hAnsi="Times New Roman"/>
          <w:sz w:val="24"/>
        </w:rPr>
        <w:tab/>
        <w:t xml:space="preserve">Khurana, E., Fu, Y., Colonna, V., Mu, X. J., Kang, H. M., Lappalainen, T., Sboner, A., Lochovsky, L., Chen, J., Harmanci, A., Das, J., Abyzov, A., Balasubramanian, S., Beal, K., Chakravarty, D., Challis, D., Chen, Y., Clarke, D., Clarke, L., Cunningham, F., Evani, U. S., Flicek, P., Fragoza, R., Garrison, E., Gibbs, R., Gümüs, Z. H., Herrero, J., Kitabayashi, N., Kong, Y., Lage, K., Liluashvili, V., Lipkin, S. M., MacArthur, D. G., Marth, G., Muzny, D., Pers, T. H., Ritchie, G. R. S., Rosenfeld, J. A., Sisu, C., Wei, X., Wilson, M., Xue, Y., Yu, F., 1000 Genomes Project Consortium, Dermitzakis, E. T., Yu, H., Rubin, M. A., Tyler-Smith, C., &amp; Gerstein, M. (2013) Integrative annotation of variants from 1092 humans: application to cancer genomics.. </w:t>
      </w:r>
      <w:r w:rsidR="00572B35">
        <w:rPr>
          <w:rFonts w:ascii="Times New Roman" w:hAnsi="Times New Roman"/>
          <w:i/>
          <w:sz w:val="24"/>
        </w:rPr>
        <w:t>Science (New York, N.Y.)</w:t>
      </w:r>
      <w:r w:rsidR="00572B35">
        <w:rPr>
          <w:rFonts w:ascii="Times New Roman" w:hAnsi="Times New Roman"/>
          <w:sz w:val="24"/>
        </w:rPr>
        <w:t xml:space="preserve"> 342, 1235587, PMCID: .</w:t>
      </w:r>
      <w:r w:rsidR="00572B35">
        <w:rPr>
          <w:rFonts w:ascii="Times New Roman" w:hAnsi="Times New Roman"/>
          <w:sz w:val="24"/>
        </w:rPr>
        <w:cr/>
        <w:t>75.</w:t>
      </w:r>
      <w:r w:rsidR="00572B35">
        <w:rPr>
          <w:rFonts w:ascii="Times New Roman" w:hAnsi="Times New Roman"/>
          <w:sz w:val="24"/>
        </w:rPr>
        <w:tab/>
        <w:t xml:space="preserve">Khurana, E., Fu, Y., Chen, J., &amp; Gerstein, M. (2013) Interpretation of genomic variants using a unified biological network approach.. </w:t>
      </w:r>
      <w:r w:rsidR="00572B35">
        <w:rPr>
          <w:rFonts w:ascii="Times New Roman" w:hAnsi="Times New Roman"/>
          <w:i/>
          <w:sz w:val="24"/>
        </w:rPr>
        <w:t>PLoS computational biology</w:t>
      </w:r>
      <w:r w:rsidR="00572B35">
        <w:rPr>
          <w:rFonts w:ascii="Times New Roman" w:hAnsi="Times New Roman"/>
          <w:sz w:val="24"/>
        </w:rPr>
        <w:t xml:space="preserve"> 9, e1002886, PMCID: .</w:t>
      </w:r>
      <w:r w:rsidR="00572B35">
        <w:rPr>
          <w:rFonts w:ascii="Times New Roman" w:hAnsi="Times New Roman"/>
          <w:sz w:val="24"/>
        </w:rPr>
        <w:cr/>
        <w:t>76.</w:t>
      </w:r>
      <w:r w:rsidR="00572B35">
        <w:rPr>
          <w:rFonts w:ascii="Times New Roman" w:hAnsi="Times New Roman"/>
          <w:sz w:val="24"/>
        </w:rPr>
        <w:tab/>
        <w:t xml:space="preserve">Rozowsky, J., Abyzov, A., Wang, J., Alves, P., Raha, D., Harmanci, A., Leng, J., Bjornson, R., Kong, Y., Kitabayashi, N., Bhardwaj, N., Rubin, M., Snyder, M., &amp; Gerstein, M. (2011) AlleleSeq: analysis of allele-specific expression and binding in a network framework.. </w:t>
      </w:r>
      <w:r w:rsidR="00572B35">
        <w:rPr>
          <w:rFonts w:ascii="Times New Roman" w:hAnsi="Times New Roman"/>
          <w:i/>
          <w:sz w:val="24"/>
        </w:rPr>
        <w:t>Molecular systems biology</w:t>
      </w:r>
      <w:r w:rsidR="00572B35">
        <w:rPr>
          <w:rFonts w:ascii="Times New Roman" w:hAnsi="Times New Roman"/>
          <w:sz w:val="24"/>
        </w:rPr>
        <w:t xml:space="preserve"> 7, 522, PMCID: .</w:t>
      </w:r>
      <w:r w:rsidR="00572B35">
        <w:rPr>
          <w:rFonts w:ascii="Times New Roman" w:hAnsi="Times New Roman"/>
          <w:sz w:val="24"/>
        </w:rPr>
        <w:cr/>
        <w:t>77.</w:t>
      </w:r>
      <w:r w:rsidR="00572B35">
        <w:rPr>
          <w:rFonts w:ascii="Times New Roman" w:hAnsi="Times New Roman"/>
          <w:sz w:val="24"/>
        </w:rPr>
        <w:tab/>
        <w:t xml:space="preserve">Shou, C., Bhardwaj, N., Lam, H. Y. K., Yan, K.-K., Kim, P. M., Snyder, M., &amp; Gerstein, M. B. (2011) Measuring the evolutionary rewiring of biological networks.. </w:t>
      </w:r>
      <w:r w:rsidR="00572B35">
        <w:rPr>
          <w:rFonts w:ascii="Times New Roman" w:hAnsi="Times New Roman"/>
          <w:i/>
          <w:sz w:val="24"/>
        </w:rPr>
        <w:t>PLoS computational biology</w:t>
      </w:r>
      <w:r w:rsidR="00572B35">
        <w:rPr>
          <w:rFonts w:ascii="Times New Roman" w:hAnsi="Times New Roman"/>
          <w:sz w:val="24"/>
        </w:rPr>
        <w:t xml:space="preserve"> 7, e1001050, PMCID: .</w:t>
      </w:r>
      <w:r w:rsidR="00572B35">
        <w:rPr>
          <w:rFonts w:ascii="Times New Roman" w:hAnsi="Times New Roman"/>
          <w:sz w:val="24"/>
        </w:rPr>
        <w:cr/>
        <w:t>78.</w:t>
      </w:r>
      <w:r w:rsidR="00572B35">
        <w:rPr>
          <w:rFonts w:ascii="Times New Roman" w:hAnsi="Times New Roman"/>
          <w:sz w:val="24"/>
        </w:rPr>
        <w:tab/>
        <w:t xml:space="preserve">Boyle, A. P., Araya, C. L., Brdlik, C., Cayting, P., Cheng, C., Cheng, Y., Gardner, K., Hillier, L. W., Janette, J., Jiang, L., Kasper, D., Kawli, T., Kheradpour, P., Kundaje, A., Li, J. J., Ma, L., Niu, W., Rehm, E. J., Rozowsky, J., Slattery, M., Spokony, R., Terrell, R., Vafeados, D., Wang, D., Weisdepp, P., Wu, Y.-C., Xie, D., Yan, K.-K., Feingold, E. A., Good, P. J., Pazin, M. J., Huang, H., Bickel, P. J., Brenner, S. E., Reinke, V., Waterston, R. H., Gerstein, M., White, K. P., Kellis, M., &amp; Snyder, M. (2014) Comparative analysis of regulatory information and circuits across distant species.. </w:t>
      </w:r>
      <w:r w:rsidR="00572B35">
        <w:rPr>
          <w:rFonts w:ascii="Times New Roman" w:hAnsi="Times New Roman"/>
          <w:i/>
          <w:sz w:val="24"/>
        </w:rPr>
        <w:t>Nature</w:t>
      </w:r>
      <w:r w:rsidR="00572B35">
        <w:rPr>
          <w:rFonts w:ascii="Times New Roman" w:hAnsi="Times New Roman"/>
          <w:sz w:val="24"/>
        </w:rPr>
        <w:t xml:space="preserve"> 512, 453--456, PMCID: .</w:t>
      </w:r>
      <w:r w:rsidR="00572B35">
        <w:rPr>
          <w:rFonts w:ascii="Times New Roman" w:hAnsi="Times New Roman"/>
          <w:sz w:val="24"/>
        </w:rPr>
        <w:cr/>
        <w:t>79.</w:t>
      </w:r>
      <w:r w:rsidR="00572B35">
        <w:rPr>
          <w:rFonts w:ascii="Times New Roman" w:hAnsi="Times New Roman"/>
          <w:sz w:val="24"/>
        </w:rPr>
        <w:tab/>
        <w:t xml:space="preserve">Gerstein, M. B., Rozowsky, J., Yan, K.-K., Wang, D., Cheng, C., Brown, J. B., Davis, C. A., Hillier, L., Sisu, C., Li, J. J., Pei, B., Harmanci, A. O., Duff, M. O., Djebali, S., Alexander, R. P., Alver, B. H., Auerbach, R., Bell, K., Bickel, P. J., Boeck, M. E., Boley, N. P., Booth, B. W., Cherbas, L., Cherbas, P., Di, C., Dobin, A., Drenkow, J., Ewing, B., Fang, G., Fastuca, M., Feingold, E. A., Frankish, A., Gao, G., Good, P. J., Guigó, R., Hammonds, A., Harrow, J., Hoskins, R. A., Howald, C., Hu, L., Huang, H., Hubbard, T. J. P., Huynh, C., Jha, S., Kasper, D., Kato, M., Kaufman, T. C., Kitchen, R. R., Ladewig, E., Lagarde, J., Lai, E., Leng, J., Lu, Z., MacCoss, M., May, G., McWhirter, R., Merrihew, G., Miller, D. M., Mortazavi, A., </w:t>
      </w:r>
      <w:r w:rsidR="00572B35">
        <w:rPr>
          <w:rFonts w:ascii="Times New Roman" w:hAnsi="Times New Roman"/>
          <w:sz w:val="24"/>
        </w:rPr>
        <w:lastRenderedPageBreak/>
        <w:t xml:space="preserve">Murad, R., Oliver, B., Olson, S., Park, P. J., Pazin, M. J., Perrimon, N., Pervouchine, D., Reinke, V., Reymond, A., Robinson, G., Samsonova, A., Saunders, G. I., Schlesinger, F., Sethi, A., Slack, F. J., Spencer, W. C., Stoiber, M. H., Strasbourger, P., Tanzer, A., Thompson, O. A., Wan, K. H., Wang, G., Wang, H., Watkins, K. L., Wen, J., Wen, K., Xue, C., Yang, L., Yip, K., Zaleski, C., Zhang, Y., Zheng, H., Brenner, S. E., Graveley, B. R., Celniker, S. E., Gingeras, T. R., &amp; Waterston, R. (2014) Comparative analysis of the transcriptome across distant species.. </w:t>
      </w:r>
      <w:r w:rsidR="00572B35">
        <w:rPr>
          <w:rFonts w:ascii="Times New Roman" w:hAnsi="Times New Roman"/>
          <w:i/>
          <w:sz w:val="24"/>
        </w:rPr>
        <w:t>Nature</w:t>
      </w:r>
      <w:r w:rsidR="00572B35">
        <w:rPr>
          <w:rFonts w:ascii="Times New Roman" w:hAnsi="Times New Roman"/>
          <w:sz w:val="24"/>
        </w:rPr>
        <w:t xml:space="preserve"> 512, 445--448, PMCID: .</w:t>
      </w:r>
      <w:r w:rsidR="00572B35">
        <w:rPr>
          <w:rFonts w:ascii="Times New Roman" w:hAnsi="Times New Roman"/>
          <w:sz w:val="24"/>
        </w:rPr>
        <w:cr/>
        <w:t>80.</w:t>
      </w:r>
      <w:r w:rsidR="00572B35">
        <w:rPr>
          <w:rFonts w:ascii="Times New Roman" w:hAnsi="Times New Roman"/>
          <w:sz w:val="24"/>
        </w:rPr>
        <w:tab/>
        <w:t xml:space="preserve">Sisu, C., Pei, B., Leng, J., Frankish, A., Zhang, Y., Balasubramanian, S., Harte, R., Wang, D., Rutenberg-Schoenberg, M., Clark, W., Diekhans, M., Rozowsky, J., Hubbard, T., Harrow, J., &amp; Gerstein, M. B. (2014) Comparative analysis of pseudogenes across three phyla..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111, 13361--13366, PMCID: .</w:t>
      </w:r>
      <w:r w:rsidR="00572B35">
        <w:rPr>
          <w:rFonts w:ascii="Times New Roman" w:hAnsi="Times New Roman"/>
          <w:sz w:val="24"/>
        </w:rPr>
        <w:cr/>
        <w:t>81.</w:t>
      </w:r>
      <w:r w:rsidR="00572B35">
        <w:rPr>
          <w:rFonts w:ascii="Times New Roman" w:hAnsi="Times New Roman"/>
          <w:sz w:val="24"/>
        </w:rPr>
        <w:tab/>
        <w:t xml:space="preserve">Yan, K.-K., Wang, D., Rozowsky, J., Zheng, H., Cheng, C., &amp; Gerstein, M. (2014) OrthoClust: an orthology-based network framework for clustering data across multiple species.. </w:t>
      </w:r>
      <w:r w:rsidR="00572B35">
        <w:rPr>
          <w:rFonts w:ascii="Times New Roman" w:hAnsi="Times New Roman"/>
          <w:i/>
          <w:sz w:val="24"/>
        </w:rPr>
        <w:t>Genome biology</w:t>
      </w:r>
      <w:r w:rsidR="00572B35">
        <w:rPr>
          <w:rFonts w:ascii="Times New Roman" w:hAnsi="Times New Roman"/>
          <w:sz w:val="24"/>
        </w:rPr>
        <w:t xml:space="preserve"> 15, R100, PMCID: .</w:t>
      </w:r>
      <w:r w:rsidR="00572B35">
        <w:rPr>
          <w:rFonts w:ascii="Times New Roman" w:hAnsi="Times New Roman"/>
          <w:sz w:val="24"/>
        </w:rPr>
        <w:cr/>
        <w:t>82.</w:t>
      </w:r>
      <w:r w:rsidR="00572B35">
        <w:rPr>
          <w:rFonts w:ascii="Times New Roman" w:hAnsi="Times New Roman"/>
          <w:sz w:val="24"/>
        </w:rPr>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(2012) Landscape of transcription in human cells.. </w:t>
      </w:r>
      <w:r w:rsidR="00572B35">
        <w:rPr>
          <w:rFonts w:ascii="Times New Roman" w:hAnsi="Times New Roman"/>
          <w:i/>
          <w:sz w:val="24"/>
        </w:rPr>
        <w:t>Nature</w:t>
      </w:r>
      <w:r w:rsidR="00572B35">
        <w:rPr>
          <w:rFonts w:ascii="Times New Roman" w:hAnsi="Times New Roman"/>
          <w:sz w:val="24"/>
        </w:rPr>
        <w:t xml:space="preserve"> 489, 101--108, PMCID: .</w:t>
      </w:r>
      <w:r w:rsidR="00572B35">
        <w:rPr>
          <w:rFonts w:ascii="Times New Roman" w:hAnsi="Times New Roman"/>
          <w:sz w:val="24"/>
        </w:rPr>
        <w:cr/>
        <w:t>83.</w:t>
      </w:r>
      <w:r w:rsidR="00572B35">
        <w:rPr>
          <w:rFonts w:ascii="Times New Roman" w:hAnsi="Times New Roman"/>
          <w:sz w:val="24"/>
        </w:rPr>
        <w:tab/>
        <w:t>http://brainspan.org () Last accessed on 21st May 2015.  , , PMCID: .</w:t>
      </w:r>
      <w:r w:rsidR="00572B35">
        <w:rPr>
          <w:rFonts w:ascii="Times New Roman" w:hAnsi="Times New Roman"/>
          <w:sz w:val="24"/>
        </w:rPr>
        <w:cr/>
        <w:t>84.</w:t>
      </w:r>
      <w:r w:rsidR="00572B35">
        <w:rPr>
          <w:rFonts w:ascii="Times New Roman" w:hAnsi="Times New Roman"/>
          <w:sz w:val="24"/>
        </w:rPr>
        <w:tab/>
        <w:t>http://exRNA.org () Last accessed on 21st May 2015th January 2014.  , , PMCID: .</w:t>
      </w:r>
      <w:r w:rsidR="00572B35">
        <w:rPr>
          <w:rFonts w:ascii="Times New Roman" w:hAnsi="Times New Roman"/>
          <w:sz w:val="24"/>
        </w:rPr>
        <w:cr/>
        <w:t>85.</w:t>
      </w:r>
      <w:r w:rsidR="00572B35">
        <w:rPr>
          <w:rFonts w:ascii="Times New Roman" w:hAnsi="Times New Roman"/>
          <w:sz w:val="24"/>
        </w:rPr>
        <w:tab/>
        <w:t xml:space="preserve">Habegger, L., Sboner, A., Gianoulis, T. A., Rozowsky, J., Agarwal, A., Snyder, M., &amp; Gerstein, M. (2011) RSEQtools: a modular framework to analyze RNA-Seq data using compact, anonymized data summaries.. </w:t>
      </w:r>
      <w:r w:rsidR="00572B35">
        <w:rPr>
          <w:rFonts w:ascii="Times New Roman" w:hAnsi="Times New Roman"/>
          <w:i/>
          <w:sz w:val="24"/>
        </w:rPr>
        <w:t>Bioinformatics (Oxford, England)</w:t>
      </w:r>
      <w:r w:rsidR="00572B35">
        <w:rPr>
          <w:rFonts w:ascii="Times New Roman" w:hAnsi="Times New Roman"/>
          <w:sz w:val="24"/>
        </w:rPr>
        <w:t xml:space="preserve"> 27, 281--283, PMCID: .</w:t>
      </w:r>
      <w:r w:rsidR="00572B35">
        <w:rPr>
          <w:rFonts w:ascii="Times New Roman" w:hAnsi="Times New Roman"/>
          <w:sz w:val="24"/>
        </w:rPr>
        <w:cr/>
        <w:t>86.</w:t>
      </w:r>
      <w:r w:rsidR="00572B35">
        <w:rPr>
          <w:rFonts w:ascii="Times New Roman" w:hAnsi="Times New Roman"/>
          <w:sz w:val="24"/>
        </w:rPr>
        <w:tab/>
        <w:t xml:space="preserve">Du, J., Leng, J., Habegger, L., Sboner, A., McDermott, D., &amp; Gerstein, M. (2012) IQSeq: integrated isoform quantification analysis based on next-generation sequencing.. </w:t>
      </w:r>
      <w:r w:rsidR="00572B35">
        <w:rPr>
          <w:rFonts w:ascii="Times New Roman" w:hAnsi="Times New Roman"/>
          <w:i/>
          <w:sz w:val="24"/>
        </w:rPr>
        <w:t>PloS one</w:t>
      </w:r>
      <w:r w:rsidR="00572B35">
        <w:rPr>
          <w:rFonts w:ascii="Times New Roman" w:hAnsi="Times New Roman"/>
          <w:sz w:val="24"/>
        </w:rPr>
        <w:t xml:space="preserve"> 7, e29175, PMCID: .</w:t>
      </w:r>
      <w:r w:rsidR="00572B35">
        <w:rPr>
          <w:rFonts w:ascii="Times New Roman" w:hAnsi="Times New Roman"/>
          <w:sz w:val="24"/>
        </w:rPr>
        <w:cr/>
        <w:t>87.</w:t>
      </w:r>
      <w:r w:rsidR="00572B35">
        <w:rPr>
          <w:rFonts w:ascii="Times New Roman" w:hAnsi="Times New Roman"/>
          <w:sz w:val="24"/>
        </w:rPr>
        <w:tab/>
        <w:t xml:space="preserve">Lu, Z. J., Yip, K. Y., Wang, G., Shou, C., Hillier, L. W., Khurana, E., Agarwal, A., Auerbach, R., Rozowsky, J., Cheng, C., Kato, M., Miller, D. M., Slack, F., Snyder, M., Waterston, R. H., Reinke, V., &amp; Gerstein, M. B. (2011) Prediction and characterization of noncoding RNAs in C. elegans by integrating conservation, secondary structure, and high-throughput sequencing and array data.. </w:t>
      </w:r>
      <w:r w:rsidR="00572B35">
        <w:rPr>
          <w:rFonts w:ascii="Times New Roman" w:hAnsi="Times New Roman"/>
          <w:i/>
          <w:sz w:val="24"/>
        </w:rPr>
        <w:t>Genome research</w:t>
      </w:r>
      <w:r w:rsidR="00572B35">
        <w:rPr>
          <w:rFonts w:ascii="Times New Roman" w:hAnsi="Times New Roman"/>
          <w:sz w:val="24"/>
        </w:rPr>
        <w:t xml:space="preserve"> 21, 276--285, PMCID: .</w:t>
      </w:r>
      <w:r w:rsidR="00572B35">
        <w:rPr>
          <w:rFonts w:ascii="Times New Roman" w:hAnsi="Times New Roman"/>
          <w:sz w:val="24"/>
        </w:rPr>
        <w:cr/>
        <w:t>88.</w:t>
      </w:r>
      <w:r w:rsidR="00572B35">
        <w:rPr>
          <w:rFonts w:ascii="Times New Roman" w:hAnsi="Times New Roman"/>
          <w:sz w:val="24"/>
        </w:rPr>
        <w:tab/>
        <w:t xml:space="preserve">Mu, X. J., Lu, Z. J., Kong, Y., Lam, H. Y. K., &amp; Gerstein, M. B. (2011) Analysis of genomic variation in non-coding elements using population-scale sequencing data from the 1000 Genomes Project.. </w:t>
      </w:r>
      <w:r w:rsidR="00572B35">
        <w:rPr>
          <w:rFonts w:ascii="Times New Roman" w:hAnsi="Times New Roman"/>
          <w:i/>
          <w:sz w:val="24"/>
        </w:rPr>
        <w:t>Nucleic acids research</w:t>
      </w:r>
      <w:r w:rsidR="00572B35">
        <w:rPr>
          <w:rFonts w:ascii="Times New Roman" w:hAnsi="Times New Roman"/>
          <w:sz w:val="24"/>
        </w:rPr>
        <w:t xml:space="preserve"> 39, 7058--7076, PMCID: .</w:t>
      </w:r>
      <w:r w:rsidR="00572B35">
        <w:rPr>
          <w:rFonts w:ascii="Times New Roman" w:hAnsi="Times New Roman"/>
          <w:sz w:val="24"/>
        </w:rPr>
        <w:cr/>
        <w:t>89.</w:t>
      </w:r>
      <w:r w:rsidR="00572B35">
        <w:rPr>
          <w:rFonts w:ascii="Times New Roman" w:hAnsi="Times New Roman"/>
          <w:sz w:val="24"/>
        </w:rPr>
        <w:tab/>
        <w:t xml:space="preserve">Pastinen, T. (2010) Genome-wide allele-specific analysis: insights into regulatory variation.. </w:t>
      </w:r>
      <w:r w:rsidR="00572B35">
        <w:rPr>
          <w:rFonts w:ascii="Times New Roman" w:hAnsi="Times New Roman"/>
          <w:i/>
          <w:sz w:val="24"/>
        </w:rPr>
        <w:t>Nature reviews. Genetics</w:t>
      </w:r>
      <w:r w:rsidR="00572B35">
        <w:rPr>
          <w:rFonts w:ascii="Times New Roman" w:hAnsi="Times New Roman"/>
          <w:sz w:val="24"/>
        </w:rPr>
        <w:t xml:space="preserve"> 11, 533--538, PMCID: .</w:t>
      </w:r>
      <w:r w:rsidR="00572B35">
        <w:rPr>
          <w:rFonts w:ascii="Times New Roman" w:hAnsi="Times New Roman"/>
          <w:sz w:val="24"/>
        </w:rPr>
        <w:cr/>
        <w:t>90.</w:t>
      </w:r>
      <w:r w:rsidR="00572B35">
        <w:rPr>
          <w:rFonts w:ascii="Times New Roman" w:hAnsi="Times New Roman"/>
          <w:sz w:val="24"/>
        </w:rPr>
        <w:tab/>
        <w:t xml:space="preserve">Birney, E., Lieb, J. D., Furey, T. S., Crawford, G. E., &amp; Iyer, V. R. (2010) Allele-specific and heritable chromatin signatures in humans.. </w:t>
      </w:r>
      <w:r w:rsidR="00572B35">
        <w:rPr>
          <w:rFonts w:ascii="Times New Roman" w:hAnsi="Times New Roman"/>
          <w:i/>
          <w:sz w:val="24"/>
        </w:rPr>
        <w:t>Human molecular genetics</w:t>
      </w:r>
      <w:r w:rsidR="00572B35">
        <w:rPr>
          <w:rFonts w:ascii="Times New Roman" w:hAnsi="Times New Roman"/>
          <w:sz w:val="24"/>
        </w:rPr>
        <w:t xml:space="preserve"> 19, R204--R209, PMCID: .</w:t>
      </w:r>
      <w:r w:rsidR="00572B35">
        <w:rPr>
          <w:rFonts w:ascii="Times New Roman" w:hAnsi="Times New Roman"/>
          <w:sz w:val="24"/>
        </w:rPr>
        <w:cr/>
        <w:t>91.</w:t>
      </w:r>
      <w:r w:rsidR="00572B35">
        <w:rPr>
          <w:rFonts w:ascii="Times New Roman" w:hAnsi="Times New Roman"/>
          <w:sz w:val="24"/>
        </w:rPr>
        <w:tab/>
        <w:t>http://alleleseq.gersteinlab.org () Last accessed on 21st May 2015.  , , PMCID: .</w:t>
      </w:r>
      <w:r w:rsidR="00572B35">
        <w:rPr>
          <w:rFonts w:ascii="Times New Roman" w:hAnsi="Times New Roman"/>
          <w:sz w:val="24"/>
        </w:rPr>
        <w:cr/>
      </w:r>
      <w:r w:rsidR="00572B35">
        <w:rPr>
          <w:rFonts w:ascii="Times New Roman" w:hAnsi="Times New Roman"/>
          <w:sz w:val="24"/>
        </w:rPr>
        <w:lastRenderedPageBreak/>
        <w:t>92.</w:t>
      </w:r>
      <w:r w:rsidR="00572B35">
        <w:rPr>
          <w:rFonts w:ascii="Times New Roman" w:hAnsi="Times New Roman"/>
          <w:sz w:val="24"/>
        </w:rPr>
        <w:tab/>
        <w:t>Garrison, E. &amp; Marth, G. (2012) Haplotype-based variant detection from short-read sequencing.  , , PMCID: .</w:t>
      </w:r>
      <w:r w:rsidR="00572B35">
        <w:rPr>
          <w:rFonts w:ascii="Times New Roman" w:hAnsi="Times New Roman"/>
          <w:sz w:val="24"/>
        </w:rPr>
        <w:cr/>
        <w:t>93.</w:t>
      </w:r>
      <w:r w:rsidR="00572B35">
        <w:rPr>
          <w:rFonts w:ascii="Times New Roman" w:hAnsi="Times New Roman"/>
          <w:sz w:val="24"/>
        </w:rPr>
        <w:tab/>
        <w:t xml:space="preserve">Cooper, G. M., Stone, E. A., Asimenos, G., NISC Comparative Sequencing Program, Green, E. D., Batzoglou, S., &amp; Sidow, A. (2005) Distribution and intensity of constraint in mammalian genomic sequence.. </w:t>
      </w:r>
      <w:r w:rsidR="00572B35">
        <w:rPr>
          <w:rFonts w:ascii="Times New Roman" w:hAnsi="Times New Roman"/>
          <w:i/>
          <w:sz w:val="24"/>
        </w:rPr>
        <w:t>Genome research</w:t>
      </w:r>
      <w:r w:rsidR="00572B35">
        <w:rPr>
          <w:rFonts w:ascii="Times New Roman" w:hAnsi="Times New Roman"/>
          <w:sz w:val="24"/>
        </w:rPr>
        <w:t xml:space="preserve"> 15, 901--913, PMCID: .</w:t>
      </w:r>
      <w:r w:rsidR="00572B35">
        <w:rPr>
          <w:rFonts w:ascii="Times New Roman" w:hAnsi="Times New Roman"/>
          <w:sz w:val="24"/>
        </w:rPr>
        <w:cr/>
        <w:t>94.</w:t>
      </w:r>
      <w:r w:rsidR="00572B35">
        <w:rPr>
          <w:rFonts w:ascii="Times New Roman" w:hAnsi="Times New Roman"/>
          <w:sz w:val="24"/>
        </w:rPr>
        <w:tab/>
        <w:t xml:space="preserve">Roadmap Epigenomics Consortium, Kundaje, A., Meuleman, W., Ernst, J., Bilenky, M., Yen, A., Heravi-Moussavi, A., Kheradpour, P., Zhang, Z., Wang, J., Ziller, M. J., Amin, V., Whitaker, J. W., Schultz, M. D., Ward, L. D., Sarkar, A., Quon, G., Sandstrom, R. S., Eaton, M. L., Wu, Y.-C., Pfenning, A. R., Wang, X., Claussnitzer, M., Liu, Y., Coarfa, C., Harris, R. A., Shoresh, N., Epstein, C. B., Gjoneska, E., Leung, D., Xie, W., Hawkins, R. D., Lister, R., Hong, C., Gascard, P., Mungall, A. J., Moore, R., Chuah, E., Tam, A., Canfield, T. K., Hansen, R. S., Kaul, R., Sabo, P. J., Bansal, M. S., Carles, A., Dixon, J. R., Farh, K.-H., Feizi, S., Karlic, R., Kim, A.-R., Kulkarni, A., Li, D., Lowdon, R., Elliott, G., Mercer, T. R., Neph, S. J., Onuchic, V., Polak, P., Rajagopal, N., Ray, P., Sallari, R. C., Siebenthall, K. T., Sinnott-Armstrong, N. A., Stevens, M., Thurman, R. E., Wu, J., Zhang, B., Zhou, X., Beaudet, A. E., Boyer, L. A., De Jager, P. L., Farnham, P. J., Fisher, S. J., Haussler, D., Jones, S. J. M., Li, W., Marra, M. A., McManus, M. T., Sunyaev, S., Thomson, J. A., Tlsty, T. D., Tsai, L.-H., Wang, W., Waterland, R. A., Zhang, M. Q., Chadwick, L. H., Bernstein, B. E., Costello, J. F., Ecker, J. R., Hirst, M., Meissner, A., Milosavljevic, A., Ren, B., Stamatoyannopoulos, J. A., Wang, T., &amp; Kellis, M. (2015) Integrative analysis of 111 reference human epigenomes.. </w:t>
      </w:r>
      <w:r w:rsidR="00572B35">
        <w:rPr>
          <w:rFonts w:ascii="Times New Roman" w:hAnsi="Times New Roman"/>
          <w:i/>
          <w:sz w:val="24"/>
        </w:rPr>
        <w:t>Nature</w:t>
      </w:r>
      <w:r w:rsidR="00572B35">
        <w:rPr>
          <w:rFonts w:ascii="Times New Roman" w:hAnsi="Times New Roman"/>
          <w:sz w:val="24"/>
        </w:rPr>
        <w:t xml:space="preserve"> 518, 317--330, PMCID: .</w:t>
      </w:r>
      <w:r w:rsidR="00572B35">
        <w:rPr>
          <w:rFonts w:ascii="Times New Roman" w:hAnsi="Times New Roman"/>
          <w:sz w:val="24"/>
        </w:rPr>
        <w:cr/>
        <w:t>95.</w:t>
      </w:r>
      <w:r w:rsidR="00572B35">
        <w:rPr>
          <w:rFonts w:ascii="Times New Roman" w:hAnsi="Times New Roman"/>
          <w:sz w:val="24"/>
        </w:rPr>
        <w:tab/>
        <w:t xml:space="preserve">Ziller, M. J., Edri, R., Yaffe, Y., Donaghey, J., Pop, R., Mallard, W., Issner, R., Gifford, C. A., Goren, A., Xing, J., Gu, H., Cacchiarelli, D., Tsankov, A. M., Epstein, C., Rinn, J. L., Mikkelsen, T. S., Kohlbacher, O., Gnirke, A., Bernstein, B. E., Elkabetz, Y., &amp; Meissner, A. (2015) Dissecting neural differentiation regulatory networks through epigenetic footprinting.. </w:t>
      </w:r>
      <w:r w:rsidR="00572B35">
        <w:rPr>
          <w:rFonts w:ascii="Times New Roman" w:hAnsi="Times New Roman"/>
          <w:i/>
          <w:sz w:val="24"/>
        </w:rPr>
        <w:t>Nature</w:t>
      </w:r>
      <w:r w:rsidR="00572B35">
        <w:rPr>
          <w:rFonts w:ascii="Times New Roman" w:hAnsi="Times New Roman"/>
          <w:sz w:val="24"/>
        </w:rPr>
        <w:t xml:space="preserve"> 518, 355--359, PMCID: .</w:t>
      </w:r>
      <w:r w:rsidR="00572B35">
        <w:rPr>
          <w:rFonts w:ascii="Times New Roman" w:hAnsi="Times New Roman"/>
          <w:sz w:val="24"/>
        </w:rPr>
        <w:cr/>
        <w:t>96.</w:t>
      </w:r>
      <w:r w:rsidR="00572B35">
        <w:rPr>
          <w:rFonts w:ascii="Times New Roman" w:hAnsi="Times New Roman"/>
          <w:sz w:val="24"/>
        </w:rPr>
        <w:tab/>
        <w:t xml:space="preserve">Leung, D., Jung, I., Rajagopal, N., Schmitt, A., Selvaraj, S., Lee, A. Y., Yen, C.-A., Lin, S., Lin, Y., Qiu, Y., Xie, W., Yue, F., Hariharan, M., Ray, P., Kuan, S., Edsall, L., Yang, H., Chi, N. C., Zhang, M. Q., Ecker, J. R., &amp; Ren, B. (2015) Integrative analysis of haplotype-resolved epigenomes across human tissues.. </w:t>
      </w:r>
      <w:r w:rsidR="00572B35">
        <w:rPr>
          <w:rFonts w:ascii="Times New Roman" w:hAnsi="Times New Roman"/>
          <w:i/>
          <w:sz w:val="24"/>
        </w:rPr>
        <w:t>Nature</w:t>
      </w:r>
      <w:r w:rsidR="00572B35">
        <w:rPr>
          <w:rFonts w:ascii="Times New Roman" w:hAnsi="Times New Roman"/>
          <w:sz w:val="24"/>
        </w:rPr>
        <w:t xml:space="preserve"> 518, 350--354, PMCID: .</w:t>
      </w:r>
      <w:r w:rsidR="00572B35">
        <w:rPr>
          <w:rFonts w:ascii="Times New Roman" w:hAnsi="Times New Roman"/>
          <w:sz w:val="24"/>
        </w:rPr>
        <w:cr/>
        <w:t>97.</w:t>
      </w:r>
      <w:r w:rsidR="00572B35">
        <w:rPr>
          <w:rFonts w:ascii="Times New Roman" w:hAnsi="Times New Roman"/>
          <w:sz w:val="24"/>
        </w:rPr>
        <w:tab/>
        <w:t xml:space="preserve">Blin, K., Dieterich, C., Wurmus, R., Rajewsky, N., Landthaler, M., &amp; Akalin, A. (2015) DoRiNA 2.0--upgrading the doRiNA database of RNA interactions in post-transcriptional regulation.. </w:t>
      </w:r>
      <w:r w:rsidR="00572B35">
        <w:rPr>
          <w:rFonts w:ascii="Times New Roman" w:hAnsi="Times New Roman"/>
          <w:i/>
          <w:sz w:val="24"/>
        </w:rPr>
        <w:t>Nucleic acids research</w:t>
      </w:r>
      <w:r w:rsidR="00572B35">
        <w:rPr>
          <w:rFonts w:ascii="Times New Roman" w:hAnsi="Times New Roman"/>
          <w:sz w:val="24"/>
        </w:rPr>
        <w:t xml:space="preserve"> 43, D160--D167, PMCID: .</w:t>
      </w:r>
      <w:r w:rsidR="00572B35">
        <w:rPr>
          <w:rFonts w:ascii="Times New Roman" w:hAnsi="Times New Roman"/>
          <w:sz w:val="24"/>
        </w:rPr>
        <w:cr/>
        <w:t>98.</w:t>
      </w:r>
      <w:r w:rsidR="00572B35">
        <w:rPr>
          <w:rFonts w:ascii="Times New Roman" w:hAnsi="Times New Roman"/>
          <w:sz w:val="24"/>
        </w:rPr>
        <w:tab/>
        <w:t xml:space="preserve">Li, J.-H., Liu, S., Zhou, H., Qu, L.-H., &amp; Yang, J.-H. (2014) starBase v2.0: decoding miRNA-ceRNA, miRNA-ncRNA and protein-RNA interaction networks from large-scale CLIP-Seq data.. </w:t>
      </w:r>
      <w:r w:rsidR="00572B35">
        <w:rPr>
          <w:rFonts w:ascii="Times New Roman" w:hAnsi="Times New Roman"/>
          <w:i/>
          <w:sz w:val="24"/>
        </w:rPr>
        <w:t>Nucleic acids research</w:t>
      </w:r>
      <w:r w:rsidR="00572B35">
        <w:rPr>
          <w:rFonts w:ascii="Times New Roman" w:hAnsi="Times New Roman"/>
          <w:sz w:val="24"/>
        </w:rPr>
        <w:t xml:space="preserve"> 42, D92--D97, PMCID: .</w:t>
      </w:r>
      <w:r w:rsidR="00572B35">
        <w:rPr>
          <w:rFonts w:ascii="Times New Roman" w:hAnsi="Times New Roman"/>
          <w:sz w:val="24"/>
        </w:rPr>
        <w:cr/>
        <w:t>99.</w:t>
      </w:r>
      <w:r w:rsidR="00572B35">
        <w:rPr>
          <w:rFonts w:ascii="Times New Roman" w:hAnsi="Times New Roman"/>
          <w:sz w:val="24"/>
        </w:rPr>
        <w:tab/>
        <w:t xml:space="preserve">Hafner, M., Landthaler, M., Burger, L., Khorshid, M., Hausser, J., Berninger, P., Rothballer, A., Ascano, M., Jungkamp, A.-C., Munschauer, M., Ulrich, A., Wardle, G. S., Dewell, S., Zavolan, M., &amp; Tuschl, T. (2010) Transcriptome-wide identification of RNA-binding protein and microRNA target sites by PAR-CLIP.. </w:t>
      </w:r>
      <w:r w:rsidR="00572B35">
        <w:rPr>
          <w:rFonts w:ascii="Times New Roman" w:hAnsi="Times New Roman"/>
          <w:i/>
          <w:sz w:val="24"/>
        </w:rPr>
        <w:t>Cell</w:t>
      </w:r>
      <w:r w:rsidR="00572B35">
        <w:rPr>
          <w:rFonts w:ascii="Times New Roman" w:hAnsi="Times New Roman"/>
          <w:sz w:val="24"/>
        </w:rPr>
        <w:t xml:space="preserve"> 141, 129--141, PMCID: .</w:t>
      </w:r>
      <w:r w:rsidR="00572B35">
        <w:rPr>
          <w:rFonts w:ascii="Times New Roman" w:hAnsi="Times New Roman"/>
          <w:sz w:val="24"/>
        </w:rPr>
        <w:cr/>
        <w:t>100.</w:t>
      </w:r>
      <w:r w:rsidR="00572B35">
        <w:rPr>
          <w:rFonts w:ascii="Times New Roman" w:hAnsi="Times New Roman"/>
          <w:sz w:val="24"/>
        </w:rPr>
        <w:tab/>
        <w:t xml:space="preserve">Helwak, A., Kudla, G., Dudnakova, T., &amp; Tollervey, D. (2013) Mapping the human miRNA interactome by CLASH reveals frequent noncanonical binding.. </w:t>
      </w:r>
      <w:r w:rsidR="00572B35">
        <w:rPr>
          <w:rFonts w:ascii="Times New Roman" w:hAnsi="Times New Roman"/>
          <w:i/>
          <w:sz w:val="24"/>
        </w:rPr>
        <w:t>Cell</w:t>
      </w:r>
      <w:r w:rsidR="00572B35">
        <w:rPr>
          <w:rFonts w:ascii="Times New Roman" w:hAnsi="Times New Roman"/>
          <w:sz w:val="24"/>
        </w:rPr>
        <w:t xml:space="preserve"> 153, 654--665, PMCID: .</w:t>
      </w:r>
      <w:r w:rsidR="00572B35">
        <w:rPr>
          <w:rFonts w:ascii="Times New Roman" w:hAnsi="Times New Roman"/>
          <w:sz w:val="24"/>
        </w:rPr>
        <w:cr/>
        <w:t>101.</w:t>
      </w:r>
      <w:r w:rsidR="00572B35">
        <w:rPr>
          <w:rFonts w:ascii="Times New Roman" w:hAnsi="Times New Roman"/>
          <w:sz w:val="24"/>
        </w:rPr>
        <w:tab/>
        <w:t xml:space="preserve">Garcia, D. M., Baek, D., Shin, C., Bell, G. W., Grimson, A., &amp; Bartel, D. P. (2011) Weak seed-pairing stability and high target-site abundance decrease the proficiency of lsy-6 and other microRNAs.. </w:t>
      </w:r>
      <w:r w:rsidR="00572B35">
        <w:rPr>
          <w:rFonts w:ascii="Times New Roman" w:hAnsi="Times New Roman"/>
          <w:i/>
          <w:sz w:val="24"/>
        </w:rPr>
        <w:t>Nature structural \&amp;amp; molecular biology</w:t>
      </w:r>
      <w:r w:rsidR="00572B35">
        <w:rPr>
          <w:rFonts w:ascii="Times New Roman" w:hAnsi="Times New Roman"/>
          <w:sz w:val="24"/>
        </w:rPr>
        <w:t xml:space="preserve"> 18, 1139--1146, PMCID: .</w:t>
      </w:r>
      <w:r w:rsidR="00572B35">
        <w:rPr>
          <w:rFonts w:ascii="Times New Roman" w:hAnsi="Times New Roman"/>
          <w:sz w:val="24"/>
        </w:rPr>
        <w:cr/>
        <w:t>102.</w:t>
      </w:r>
      <w:r w:rsidR="00572B35">
        <w:rPr>
          <w:rFonts w:ascii="Times New Roman" w:hAnsi="Times New Roman"/>
          <w:sz w:val="24"/>
        </w:rPr>
        <w:tab/>
        <w:t xml:space="preserve">Kheradpour, P., Ernst, J., Melnikov, A., Rogov, P., Wang, L., Zhang, X., Alston, J., Mikkelsen, T. S., &amp; Kellis, M. (2013) Systematic dissection of regulatory motifs in 2000 predicted human enhancers using a massively parallel reporter assay.. </w:t>
      </w:r>
      <w:r w:rsidR="00572B35">
        <w:rPr>
          <w:rFonts w:ascii="Times New Roman" w:hAnsi="Times New Roman"/>
          <w:i/>
          <w:sz w:val="24"/>
        </w:rPr>
        <w:t>Genome research</w:t>
      </w:r>
      <w:r w:rsidR="00572B35">
        <w:rPr>
          <w:rFonts w:ascii="Times New Roman" w:hAnsi="Times New Roman"/>
          <w:sz w:val="24"/>
        </w:rPr>
        <w:t xml:space="preserve"> 23, 800--811, PMCID: .</w:t>
      </w:r>
      <w:r w:rsidR="00572B35">
        <w:rPr>
          <w:rFonts w:ascii="Times New Roman" w:hAnsi="Times New Roman"/>
          <w:sz w:val="24"/>
        </w:rPr>
        <w:cr/>
      </w:r>
      <w:r w:rsidR="00572B35">
        <w:rPr>
          <w:rFonts w:ascii="Times New Roman" w:hAnsi="Times New Roman"/>
          <w:sz w:val="24"/>
        </w:rPr>
        <w:lastRenderedPageBreak/>
        <w:t>103.</w:t>
      </w:r>
      <w:r w:rsidR="00572B35">
        <w:rPr>
          <w:rFonts w:ascii="Times New Roman" w:hAnsi="Times New Roman"/>
          <w:sz w:val="24"/>
        </w:rPr>
        <w:tab/>
        <w:t xml:space="preserve">Killela, P. J., Reitman, Z. J., Jiao, Y., Bettegowda, C., Agrawal, N., Diaz, L. A., Friedman, A. H., Friedman, H., Gallia, G. L., Giovanella, B. C., Grollman, A. P., He, T.-C., He, Y., Hruban, R. H., Jallo, G. I., Mandahl, N., Meeker, A. K., Mertens, F., Netto, G. J., Rasheed, B. A., Riggins, G. J., Rosenquist, T. A., Schiffman, M., Shih, I.-M., Theodorescu, D., Torbenson, M. S., Velculescu, V. E., Wang, T.-L., Wentzensen, N., Wood, L. D., Zhang, M., McLendon, R. E., Bigner, D. D., Kinzler, K. W., Vogelstein, B., Papadopoulos, N., &amp; Yan, H. (2013) TERT promoter mutations occur frequently in gliomas and a subset of tumors derived from cells with low rates of self-renewal..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110, 6021--6026, PMCID: .</w:t>
      </w:r>
      <w:r w:rsidR="00572B35">
        <w:rPr>
          <w:rFonts w:ascii="Times New Roman" w:hAnsi="Times New Roman"/>
          <w:sz w:val="24"/>
        </w:rPr>
        <w:cr/>
        <w:t>104.</w:t>
      </w:r>
      <w:r w:rsidR="00572B35">
        <w:rPr>
          <w:rFonts w:ascii="Times New Roman" w:hAnsi="Times New Roman"/>
          <w:sz w:val="24"/>
        </w:rPr>
        <w:tab/>
        <w:t xml:space="preserve">Vinagre, J., Almeida, A., Pópulo, H., Batista, R., Lyra, J., Pinto, V., Coelho, R., Celestino, R., Prazeres, H., Lima, L., Melo, M., da Rocha, A. G., Preto, A., Castro, P., Castro, L., Pardal, F., Lopes, J. M., Santos, L. L., Reis, R. M., Cameselle-Teijeiro, J., Sobrinho-Simões, M., Lima, J., Máximo, V., &amp; Soares, P. (2013) Frequency of TERT promoter mutations in human cancers.. </w:t>
      </w:r>
      <w:r w:rsidR="00572B35">
        <w:rPr>
          <w:rFonts w:ascii="Times New Roman" w:hAnsi="Times New Roman"/>
          <w:i/>
          <w:sz w:val="24"/>
        </w:rPr>
        <w:t>Nature communications</w:t>
      </w:r>
      <w:r w:rsidR="00572B35">
        <w:rPr>
          <w:rFonts w:ascii="Times New Roman" w:hAnsi="Times New Roman"/>
          <w:sz w:val="24"/>
        </w:rPr>
        <w:t xml:space="preserve"> 4, 2185, PMCID: .</w:t>
      </w:r>
      <w:r w:rsidR="00572B35">
        <w:rPr>
          <w:rFonts w:ascii="Times New Roman" w:hAnsi="Times New Roman"/>
          <w:sz w:val="24"/>
        </w:rPr>
        <w:cr/>
        <w:t>105.</w:t>
      </w:r>
      <w:r w:rsidR="00572B35">
        <w:rPr>
          <w:rFonts w:ascii="Times New Roman" w:hAnsi="Times New Roman"/>
          <w:sz w:val="24"/>
        </w:rPr>
        <w:tab/>
        <w:t xml:space="preserve">Wang, Z. &amp; Burge, C. B. (2008) Splicing regulation: from a parts list of regulatory elements to an integrated splicing code.. </w:t>
      </w:r>
      <w:r w:rsidR="00572B35">
        <w:rPr>
          <w:rFonts w:ascii="Times New Roman" w:hAnsi="Times New Roman"/>
          <w:i/>
          <w:sz w:val="24"/>
        </w:rPr>
        <w:t>RNA (New York, N.Y.)</w:t>
      </w:r>
      <w:r w:rsidR="00572B35">
        <w:rPr>
          <w:rFonts w:ascii="Times New Roman" w:hAnsi="Times New Roman"/>
          <w:sz w:val="24"/>
        </w:rPr>
        <w:t xml:space="preserve"> 14, 802--813, PMCID: .</w:t>
      </w:r>
      <w:r w:rsidR="00572B35">
        <w:rPr>
          <w:rFonts w:ascii="Times New Roman" w:hAnsi="Times New Roman"/>
          <w:sz w:val="24"/>
        </w:rPr>
        <w:cr/>
        <w:t>106.</w:t>
      </w:r>
      <w:r w:rsidR="00572B35">
        <w:rPr>
          <w:rFonts w:ascii="Times New Roman" w:hAnsi="Times New Roman"/>
          <w:sz w:val="24"/>
        </w:rPr>
        <w:tab/>
        <w:t xml:space="preserve">1000 Genomes Project Consortium, Abecasis, G. R., Auton, A., Brooks, L. D., DePristo, M. A., Durbin, R. M., Handsaker, R. E., Kang, H. M., Marth, G. T., &amp; McVean, G. A. (2012) An integrated map of genetic variation from 1,092 human genomes.. </w:t>
      </w:r>
      <w:r w:rsidR="00572B35">
        <w:rPr>
          <w:rFonts w:ascii="Times New Roman" w:hAnsi="Times New Roman"/>
          <w:i/>
          <w:sz w:val="24"/>
        </w:rPr>
        <w:t>Nature</w:t>
      </w:r>
      <w:r w:rsidR="00572B35">
        <w:rPr>
          <w:rFonts w:ascii="Times New Roman" w:hAnsi="Times New Roman"/>
          <w:sz w:val="24"/>
        </w:rPr>
        <w:t xml:space="preserve"> 491, 56--65, PMCID: .</w:t>
      </w:r>
      <w:r w:rsidR="00572B35">
        <w:rPr>
          <w:rFonts w:ascii="Times New Roman" w:hAnsi="Times New Roman"/>
          <w:sz w:val="24"/>
        </w:rPr>
        <w:cr/>
        <w:t>107.</w:t>
      </w:r>
      <w:r w:rsidR="00572B35">
        <w:rPr>
          <w:rFonts w:ascii="Times New Roman" w:hAnsi="Times New Roman"/>
          <w:sz w:val="24"/>
        </w:rPr>
        <w:tab/>
        <w:t xml:space="preserve">Meyer, C. A. &amp; Liu, X. S. (2014) Identifying and mitigating bias in next-generation sequencing methods for chromatin biology.. </w:t>
      </w:r>
      <w:r w:rsidR="00572B35">
        <w:rPr>
          <w:rFonts w:ascii="Times New Roman" w:hAnsi="Times New Roman"/>
          <w:i/>
          <w:sz w:val="24"/>
        </w:rPr>
        <w:t>Nature reviews. Genetics</w:t>
      </w:r>
      <w:r w:rsidR="00572B35">
        <w:rPr>
          <w:rFonts w:ascii="Times New Roman" w:hAnsi="Times New Roman"/>
          <w:sz w:val="24"/>
        </w:rPr>
        <w:t xml:space="preserve"> 15, 709--721, PMCID: .</w:t>
      </w:r>
      <w:r w:rsidR="00572B35">
        <w:rPr>
          <w:rFonts w:ascii="Times New Roman" w:hAnsi="Times New Roman"/>
          <w:sz w:val="24"/>
        </w:rPr>
        <w:cr/>
        <w:t>108.</w:t>
      </w:r>
      <w:r w:rsidR="00572B35">
        <w:rPr>
          <w:rFonts w:ascii="Times New Roman" w:hAnsi="Times New Roman"/>
          <w:sz w:val="24"/>
        </w:rPr>
        <w:tab/>
        <w:t xml:space="preserve">Srivastava, S. &amp; Chen, L. (2010) A two-parameter generalized Poisson model to improve the analysis of RNA-seq data.. </w:t>
      </w:r>
      <w:r w:rsidR="00572B35">
        <w:rPr>
          <w:rFonts w:ascii="Times New Roman" w:hAnsi="Times New Roman"/>
          <w:i/>
          <w:sz w:val="24"/>
        </w:rPr>
        <w:t>Nucleic acids research</w:t>
      </w:r>
      <w:r w:rsidR="00572B35">
        <w:rPr>
          <w:rFonts w:ascii="Times New Roman" w:hAnsi="Times New Roman"/>
          <w:sz w:val="24"/>
        </w:rPr>
        <w:t xml:space="preserve"> 38, e170, PMCID: .</w:t>
      </w:r>
      <w:r w:rsidR="00572B35">
        <w:rPr>
          <w:rFonts w:ascii="Times New Roman" w:hAnsi="Times New Roman"/>
          <w:sz w:val="24"/>
        </w:rPr>
        <w:cr/>
        <w:t>109.</w:t>
      </w:r>
      <w:r w:rsidR="00572B35">
        <w:rPr>
          <w:rFonts w:ascii="Times New Roman" w:hAnsi="Times New Roman"/>
          <w:sz w:val="24"/>
        </w:rPr>
        <w:tab/>
        <w:t xml:space="preserve">Diaz, A., Park, K., Lim, D. A., &amp; Song, J. S. (2012) Normalization, bias correction, and peak calling for ChIP-seq.. </w:t>
      </w:r>
      <w:r w:rsidR="00572B35">
        <w:rPr>
          <w:rFonts w:ascii="Times New Roman" w:hAnsi="Times New Roman"/>
          <w:i/>
          <w:sz w:val="24"/>
        </w:rPr>
        <w:t>Statistical applications in genetics and molecular biology</w:t>
      </w:r>
      <w:r w:rsidR="00572B35">
        <w:rPr>
          <w:rFonts w:ascii="Times New Roman" w:hAnsi="Times New Roman"/>
          <w:sz w:val="24"/>
        </w:rPr>
        <w:t xml:space="preserve"> 11, Article 9, PMCID: .</w:t>
      </w:r>
      <w:r w:rsidR="00572B35">
        <w:rPr>
          <w:rFonts w:ascii="Times New Roman" w:hAnsi="Times New Roman"/>
          <w:sz w:val="24"/>
        </w:rPr>
        <w:cr/>
        <w:t>110.</w:t>
      </w:r>
      <w:r w:rsidR="00572B35">
        <w:rPr>
          <w:rFonts w:ascii="Times New Roman" w:hAnsi="Times New Roman"/>
          <w:sz w:val="24"/>
        </w:rPr>
        <w:tab/>
        <w:t xml:space="preserve">DePristo, M. A., Banks, E., Poplin, R., Garimella, K. V., Maguire, J. R., Hartl, C., Philippakis, A. A., del Angel, G., Rivas, M. A., Hanna, M., McKenna, A., Fennell, T. J., Kernytsky, A. M., Sivachenko, A. Y., Cibulskis, K., Gabriel, S. B., Altshuler, D., &amp; Daly, M. J. (2011) A framework for variation discovery and genotyping using next-generation DNA sequencing data.. </w:t>
      </w:r>
      <w:r w:rsidR="00572B35">
        <w:rPr>
          <w:rFonts w:ascii="Times New Roman" w:hAnsi="Times New Roman"/>
          <w:i/>
          <w:sz w:val="24"/>
        </w:rPr>
        <w:t>Nature genetics</w:t>
      </w:r>
      <w:r w:rsidR="00572B35">
        <w:rPr>
          <w:rFonts w:ascii="Times New Roman" w:hAnsi="Times New Roman"/>
          <w:sz w:val="24"/>
        </w:rPr>
        <w:t xml:space="preserve"> 43, 491--498, PMCID: .</w:t>
      </w:r>
      <w:r w:rsidR="00572B35">
        <w:rPr>
          <w:rFonts w:ascii="Times New Roman" w:hAnsi="Times New Roman"/>
          <w:sz w:val="24"/>
        </w:rPr>
        <w:cr/>
        <w:t>111.</w:t>
      </w:r>
      <w:r w:rsidR="00572B35">
        <w:rPr>
          <w:rFonts w:ascii="Times New Roman" w:hAnsi="Times New Roman"/>
          <w:sz w:val="24"/>
        </w:rPr>
        <w:tab/>
        <w:t xml:space="preserve">Papaemmanuil, E., Cazzola, M., Boultwood, J., Malcovati, L., Vyas, P., Bowen, D., Pellagatti, A., Wainscoat, J. S., Hellstrom-Lindberg, E., Gambacorti-Passerini, C., Godfrey, A. L., Rapado, I., Cvejic, A., Rance, R., McGee, C., Ellis, P., Mudie, L. J., Stephens, P. J., McLaren, S., Massie, C. E., Tarpey, P. S., Varela, I., Nik-Zainal, S., Davies, H. R., Shlien, A., Jones, D., Raine, K., Hinton, J., Butler, A. P., Teague, J. W., Baxter, E. J., Score, J., Galli, A., Della Porta, M. G., Travaglino, E., Groves, M., Tauro, S., Munshi, N. C., Anderson, K. C., El-Naggar, A., Fischer, A., Mustonen, V., Warren, A. J., Cross, N. C. P., Green, A. R., Futreal, P. A., Stratton, M. R., Campbell, P. J., &amp; Chronic Myeloid Disorders Working Group of the International Cancer Genome Consortium (2011) Somatic SF3B1 mutation in myelodysplasia with ring sideroblasts.. </w:t>
      </w:r>
      <w:r w:rsidR="00572B35">
        <w:rPr>
          <w:rFonts w:ascii="Times New Roman" w:hAnsi="Times New Roman"/>
          <w:i/>
          <w:sz w:val="24"/>
        </w:rPr>
        <w:t>The New England journal of medicine</w:t>
      </w:r>
      <w:r w:rsidR="00572B35">
        <w:rPr>
          <w:rFonts w:ascii="Times New Roman" w:hAnsi="Times New Roman"/>
          <w:sz w:val="24"/>
        </w:rPr>
        <w:t xml:space="preserve"> 365, 1384--1395, PMCID: .</w:t>
      </w:r>
      <w:r w:rsidR="00572B35">
        <w:rPr>
          <w:rFonts w:ascii="Times New Roman" w:hAnsi="Times New Roman"/>
          <w:sz w:val="24"/>
        </w:rPr>
        <w:cr/>
        <w:t>112.</w:t>
      </w:r>
      <w:r w:rsidR="00572B35">
        <w:rPr>
          <w:rFonts w:ascii="Times New Roman" w:hAnsi="Times New Roman"/>
          <w:sz w:val="24"/>
        </w:rPr>
        <w:tab/>
        <w:t xml:space="preserve">Baca, S. C., Prandi, D., Lawrence, M. S., Mosquera, J. M., Romanel, A., Drier, Y., Park, K., Kitabayashi, N., MacDonald, T. Y., Ghandi, M., Van Allen, E., Kryukov, G. V., Sboner, A., Theurillat, J.-P., Soong, T. D., Nickerson, E., Auclair, D., Tewari, A., Beltran, H., Onofrio, R. C., Boysen, G., Guiducci, C., Barbieri, C. E., Cibulskis, K., Sivachenko, A., Carter, S. L., Saksena, G., Voet, D., Ramos, A. H., Winckler, W., Cipicchio, M., Ardlie, K., Kantoff, P. W., Berger, M. F., Gabriel, S. B., Golub, T. R., Meyerson, M., Lander, E. S., Elemento, O., Getz, G., Demichelis, F., Rubin, M. A., &amp; Garraway, L. A. (2013) Punctuated evolution of prostate cancer genomes.. </w:t>
      </w:r>
      <w:r w:rsidR="00572B35">
        <w:rPr>
          <w:rFonts w:ascii="Times New Roman" w:hAnsi="Times New Roman"/>
          <w:i/>
          <w:sz w:val="24"/>
        </w:rPr>
        <w:t>Cell</w:t>
      </w:r>
      <w:r w:rsidR="00572B35">
        <w:rPr>
          <w:rFonts w:ascii="Times New Roman" w:hAnsi="Times New Roman"/>
          <w:sz w:val="24"/>
        </w:rPr>
        <w:t xml:space="preserve"> 153, 666--677, PMCID: .</w:t>
      </w:r>
      <w:r w:rsidR="00572B35">
        <w:rPr>
          <w:rFonts w:ascii="Times New Roman" w:hAnsi="Times New Roman"/>
          <w:sz w:val="24"/>
        </w:rPr>
        <w:cr/>
        <w:t>113.</w:t>
      </w:r>
      <w:r w:rsidR="00572B35">
        <w:rPr>
          <w:rFonts w:ascii="Times New Roman" w:hAnsi="Times New Roman"/>
          <w:sz w:val="24"/>
        </w:rPr>
        <w:tab/>
        <w:t xml:space="preserve">Berger, M. F., Lawrence, M. S., Demichelis, F., Drier, Y., Cibulskis, K., Sivachenko, A. Y., </w:t>
      </w:r>
      <w:r w:rsidR="00572B35">
        <w:rPr>
          <w:rFonts w:ascii="Times New Roman" w:hAnsi="Times New Roman"/>
          <w:sz w:val="24"/>
        </w:rPr>
        <w:lastRenderedPageBreak/>
        <w:t xml:space="preserve">Sboner, A., Esgueva, R., Pflueger, D., Sougnez, C., Onofrio, R., Carter, S. L., Park, K., Habegger, L., Ambrogio, L., Fennell, T., Parkin, M., Saksena, G., Voet, D., Ramos, A. H., Pugh, T. J., Wilkinson, J., Fisher, S., Winckler, W., Mahan, S., Ardlie, K., Baldwin, J., Simons, J. W., Kitabayashi, N., MacDonald, T. Y., Kantoff, P. W., Chin, L., Gabriel, S. B., Gerstein, M. B., Golub, T. R., Meyerson, M., Tewari, A., Lander, E. S., Getz, G., Rubin, M. A., &amp; Garraway, L. A. (2011) The genomic complexity of primary human prostate cancer.. </w:t>
      </w:r>
      <w:r w:rsidR="00572B35">
        <w:rPr>
          <w:rFonts w:ascii="Times New Roman" w:hAnsi="Times New Roman"/>
          <w:i/>
          <w:sz w:val="24"/>
        </w:rPr>
        <w:t>Nature</w:t>
      </w:r>
      <w:r w:rsidR="00572B35">
        <w:rPr>
          <w:rFonts w:ascii="Times New Roman" w:hAnsi="Times New Roman"/>
          <w:sz w:val="24"/>
        </w:rPr>
        <w:t xml:space="preserve"> 470, 214--220, PMCID: .</w:t>
      </w:r>
      <w:r w:rsidR="00572B35">
        <w:rPr>
          <w:rFonts w:ascii="Times New Roman" w:hAnsi="Times New Roman"/>
          <w:sz w:val="24"/>
        </w:rPr>
        <w:cr/>
        <w:t>114.</w:t>
      </w:r>
      <w:r w:rsidR="00572B35">
        <w:rPr>
          <w:rFonts w:ascii="Times New Roman" w:hAnsi="Times New Roman"/>
          <w:sz w:val="24"/>
        </w:rPr>
        <w:tab/>
        <w:t xml:space="preserve">Greene, C. S., Krishnan, A., Wong, A. K., Ricciotti, E., Zelaya, R. A., Himmelstein, D. S., Zhang, R., Hartmann, B. M., Zaslavsky, E., Sealfon, S. C., Chasman, D. I., FitzGerald, G. A., Dolinski, K., Grosser, T., &amp; Troyanskaya, O. G. (2015) Understanding multicellular function and disease with human tissue-specific networks.. </w:t>
      </w:r>
      <w:r w:rsidR="00572B35">
        <w:rPr>
          <w:rFonts w:ascii="Times New Roman" w:hAnsi="Times New Roman"/>
          <w:i/>
          <w:sz w:val="24"/>
        </w:rPr>
        <w:t>Nature genetics</w:t>
      </w:r>
      <w:r w:rsidR="00572B35">
        <w:rPr>
          <w:rFonts w:ascii="Times New Roman" w:hAnsi="Times New Roman"/>
          <w:sz w:val="24"/>
        </w:rPr>
        <w:t xml:space="preserve"> , , PMCID: .</w:t>
      </w:r>
      <w:r w:rsidR="00572B35">
        <w:rPr>
          <w:rFonts w:ascii="Times New Roman" w:hAnsi="Times New Roman"/>
          <w:sz w:val="24"/>
        </w:rPr>
        <w:cr/>
        <w:t>115.</w:t>
      </w:r>
      <w:r w:rsidR="00572B35">
        <w:rPr>
          <w:rFonts w:ascii="Times New Roman" w:hAnsi="Times New Roman"/>
          <w:sz w:val="24"/>
        </w:rPr>
        <w:tab/>
        <w:t xml:space="preserve">Stenson, P. D., Ball, E. V., Mort, M., Phillips, A. D., Shiel, J. A., Thomas, N. S. T., Abeysinghe, S., Krawczak, M., &amp; Cooper, D. N. (2003) Human Gene Mutation Database (HGMD): 2003 update.. </w:t>
      </w:r>
      <w:r w:rsidR="00572B35">
        <w:rPr>
          <w:rFonts w:ascii="Times New Roman" w:hAnsi="Times New Roman"/>
          <w:i/>
          <w:sz w:val="24"/>
        </w:rPr>
        <w:t>Human mutation</w:t>
      </w:r>
      <w:r w:rsidR="00572B35">
        <w:rPr>
          <w:rFonts w:ascii="Times New Roman" w:hAnsi="Times New Roman"/>
          <w:sz w:val="24"/>
        </w:rPr>
        <w:t xml:space="preserve"> 21, 577--581, PMCID: .</w:t>
      </w:r>
      <w:r w:rsidR="00572B35">
        <w:rPr>
          <w:rFonts w:ascii="Times New Roman" w:hAnsi="Times New Roman"/>
          <w:sz w:val="24"/>
        </w:rPr>
        <w:cr/>
        <w:t>116.</w:t>
      </w:r>
      <w:r w:rsidR="00572B35">
        <w:rPr>
          <w:rFonts w:ascii="Times New Roman" w:hAnsi="Times New Roman"/>
          <w:sz w:val="24"/>
        </w:rPr>
        <w:tab/>
        <w:t xml:space="preserve">Landrum, M. J., Lee, J. M., Riley, G. R., Jang, W., Rubinstein, W. S., Church, D. M., &amp; Maglott, D. R. (2014) ClinVar: public archive of relationships among sequence variation and human phenotype.. </w:t>
      </w:r>
      <w:r w:rsidR="00572B35">
        <w:rPr>
          <w:rFonts w:ascii="Times New Roman" w:hAnsi="Times New Roman"/>
          <w:i/>
          <w:sz w:val="24"/>
        </w:rPr>
        <w:t>Nucleic acids research</w:t>
      </w:r>
      <w:r w:rsidR="00572B35">
        <w:rPr>
          <w:rFonts w:ascii="Times New Roman" w:hAnsi="Times New Roman"/>
          <w:sz w:val="24"/>
        </w:rPr>
        <w:t xml:space="preserve"> 42, D980--D985, PMCID: .</w:t>
      </w:r>
      <w:r w:rsidR="00572B35">
        <w:rPr>
          <w:rFonts w:ascii="Times New Roman" w:hAnsi="Times New Roman"/>
          <w:sz w:val="24"/>
        </w:rPr>
        <w:cr/>
        <w:t>117.</w:t>
      </w:r>
      <w:r w:rsidR="00572B35">
        <w:rPr>
          <w:rFonts w:ascii="Times New Roman" w:hAnsi="Times New Roman"/>
          <w:sz w:val="24"/>
        </w:rPr>
        <w:tab/>
        <w:t xml:space="preserve">Kwasnieski, J. C., Mogno, I., Myers, C. A., Corbo, J. C., &amp; Cohen, B. A. (2012) Complex effects of nucleotide variants in a mammalian cis-regulatory element..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109, 19498--19503, PMCID: .</w:t>
      </w:r>
      <w:r w:rsidR="00572B35">
        <w:rPr>
          <w:rFonts w:ascii="Times New Roman" w:hAnsi="Times New Roman"/>
          <w:sz w:val="24"/>
        </w:rPr>
        <w:cr/>
        <w:t>118.</w:t>
      </w:r>
      <w:r w:rsidR="00572B35">
        <w:rPr>
          <w:rFonts w:ascii="Times New Roman" w:hAnsi="Times New Roman"/>
          <w:sz w:val="24"/>
        </w:rPr>
        <w:tab/>
        <w:t xml:space="preserve">Kircher, M., Witten, D. M., Jain, P., O'Roak, B. J., Cooper, G. M., &amp; Shendure, J. (2014) A general framework for estimating the relative pathogenicity of human genetic variants.. </w:t>
      </w:r>
      <w:r w:rsidR="00572B35">
        <w:rPr>
          <w:rFonts w:ascii="Times New Roman" w:hAnsi="Times New Roman"/>
          <w:i/>
          <w:sz w:val="24"/>
        </w:rPr>
        <w:t>Nature genetics</w:t>
      </w:r>
      <w:r w:rsidR="00572B35">
        <w:rPr>
          <w:rFonts w:ascii="Times New Roman" w:hAnsi="Times New Roman"/>
          <w:sz w:val="24"/>
        </w:rPr>
        <w:t xml:space="preserve"> 46, 310--315, PMCID: .</w:t>
      </w:r>
      <w:r w:rsidR="00572B35">
        <w:rPr>
          <w:rFonts w:ascii="Times New Roman" w:hAnsi="Times New Roman"/>
          <w:sz w:val="24"/>
        </w:rPr>
        <w:cr/>
        <w:t>119.</w:t>
      </w:r>
      <w:r w:rsidR="00572B35">
        <w:rPr>
          <w:rFonts w:ascii="Times New Roman" w:hAnsi="Times New Roman"/>
          <w:sz w:val="24"/>
        </w:rPr>
        <w:tab/>
        <w:t xml:space="preserve">Ionita-Laza, I., Lee, S., Makarov, V., Buxbaum, J. D., &amp; Lin, X. (2013) Sequence kernel association tests for the combined effect of rare and common variants.. </w:t>
      </w:r>
      <w:r w:rsidR="00572B35">
        <w:rPr>
          <w:rFonts w:ascii="Times New Roman" w:hAnsi="Times New Roman"/>
          <w:i/>
          <w:sz w:val="24"/>
        </w:rPr>
        <w:t>American journal of human genetics</w:t>
      </w:r>
      <w:r w:rsidR="00572B35">
        <w:rPr>
          <w:rFonts w:ascii="Times New Roman" w:hAnsi="Times New Roman"/>
          <w:sz w:val="24"/>
        </w:rPr>
        <w:t xml:space="preserve"> 92, 841--853, PMCID: .</w:t>
      </w:r>
      <w:r w:rsidR="00572B35">
        <w:rPr>
          <w:rFonts w:ascii="Times New Roman" w:hAnsi="Times New Roman"/>
          <w:sz w:val="24"/>
        </w:rPr>
        <w:cr/>
        <w:t>120.</w:t>
      </w:r>
      <w:r w:rsidR="00572B35">
        <w:rPr>
          <w:rFonts w:ascii="Times New Roman" w:hAnsi="Times New Roman"/>
          <w:sz w:val="24"/>
        </w:rPr>
        <w:tab/>
        <w:t>ftp://ftp.1000genomes.ebi.ac.uk/vol1/ftp/technical/working/20130103_high_cov_trio_bams () Last accessed on 21st May 2015.  , , PMCID: .</w:t>
      </w:r>
      <w:r w:rsidR="00572B35">
        <w:rPr>
          <w:rFonts w:ascii="Times New Roman" w:hAnsi="Times New Roman"/>
          <w:sz w:val="24"/>
        </w:rPr>
        <w:cr/>
        <w:t>121.</w:t>
      </w:r>
      <w:r w:rsidR="00572B35">
        <w:rPr>
          <w:rFonts w:ascii="Times New Roman" w:hAnsi="Times New Roman"/>
          <w:sz w:val="24"/>
        </w:rPr>
        <w:tab/>
        <w:t>ftp://ftp-trace.ncbi.nih.gov/1000genomes/ftp/complete_genomics_indices/ () Last accessed on 21st May 2015.  , , PMCID: .</w:t>
      </w:r>
      <w:r w:rsidR="00572B35">
        <w:rPr>
          <w:rFonts w:ascii="Times New Roman" w:hAnsi="Times New Roman"/>
          <w:sz w:val="24"/>
        </w:rPr>
        <w:cr/>
        <w:t>122.</w:t>
      </w:r>
      <w:r w:rsidR="00572B35">
        <w:rPr>
          <w:rFonts w:ascii="Times New Roman" w:hAnsi="Times New Roman"/>
          <w:sz w:val="24"/>
        </w:rPr>
        <w:tab/>
        <w:t>http://www.uk10k.org/ () Last accessed on 21st May 2015.  , , PMCID: .</w:t>
      </w:r>
      <w:r w:rsidR="00572B35">
        <w:rPr>
          <w:rFonts w:ascii="Times New Roman" w:hAnsi="Times New Roman"/>
          <w:sz w:val="24"/>
        </w:rPr>
        <w:cr/>
        <w:t>123.</w:t>
      </w:r>
      <w:r w:rsidR="00572B35">
        <w:rPr>
          <w:rFonts w:ascii="Times New Roman" w:hAnsi="Times New Roman"/>
          <w:sz w:val="24"/>
        </w:rPr>
        <w:tab/>
        <w:t xml:space="preserve">Rausch, T., Jones, D. T. W., Zapatka, M., Stütz, A. M., Zichner, T., Weischenfeldt, J., Jäger, N., Remke, M., Shih, D., Northcott, P. A., Pfaff, E., Tica, J., Wang, Q., Massimi, L., Witt, H., Bender, S., Pleier, S., Cin, H., Hawkins, C., Beck, C., von Deimling, A., Hans, V., Brors, B., Eils, R., Scheurlen, W., Blake, J., Benes, V., Kulozik, A. E., Witt, O., Martin, D., Zhang, C., Porat, R., Merino, D. M., Wasserman, J., Jabado, N., Fontebasso, A., Bullinger, L., Rücker, F. G., Döhner, K., Döhner, H., Koster, J., Molenaar, J. J., Versteeg, R., Kool, M., Tabori, U., Malkin, D., Korshunov, A., Taylor, M. D., Lichter, P., Pfister, S. M., &amp; Korbel, J. O. (2012) Genome sequencing of pediatric medulloblastoma links catastrophic DNA rearrangements with TP53 mutations.. </w:t>
      </w:r>
      <w:r w:rsidR="00572B35">
        <w:rPr>
          <w:rFonts w:ascii="Times New Roman" w:hAnsi="Times New Roman"/>
          <w:i/>
          <w:sz w:val="24"/>
        </w:rPr>
        <w:t>Cell</w:t>
      </w:r>
      <w:r w:rsidR="00572B35">
        <w:rPr>
          <w:rFonts w:ascii="Times New Roman" w:hAnsi="Times New Roman"/>
          <w:sz w:val="24"/>
        </w:rPr>
        <w:t xml:space="preserve"> 148, 59--71, PMCID: .</w:t>
      </w:r>
      <w:r w:rsidR="00572B35">
        <w:rPr>
          <w:rFonts w:ascii="Times New Roman" w:hAnsi="Times New Roman"/>
          <w:sz w:val="24"/>
        </w:rPr>
        <w:cr/>
        <w:t>124.</w:t>
      </w:r>
      <w:r w:rsidR="00572B35">
        <w:rPr>
          <w:rFonts w:ascii="Times New Roman" w:hAnsi="Times New Roman"/>
          <w:sz w:val="24"/>
        </w:rPr>
        <w:tab/>
        <w:t xml:space="preserve">Guda, K., Moinova, H., He, J., Jamison, O., Ravi, L., Natale, L., Lutterbaugh, J., Lawrence, E., Lewis, S., Willson, J. K. V., Lowe, J. B., Wiesner, G. L., Parmigiani, G., Barnholtz-Sloan, J., Dawson, D. W., Velculescu, V. E., Kinzler, K. W., Papadopoulos, N., Vogelstein, B., Willis, J., Gerken, T. A., &amp; Markowitz, S. D. (2009) Inactivating germ-line and somatic mutations in polypeptide N-acetylgalactosaminyltransferase 12 in human colon cancers.. </w:t>
      </w:r>
      <w:r w:rsidR="00572B35">
        <w:rPr>
          <w:rFonts w:ascii="Times New Roman" w:hAnsi="Times New Roman"/>
          <w:i/>
          <w:sz w:val="24"/>
        </w:rPr>
        <w:t>Proceedings of the National Academy of Sciences of the United States of America</w:t>
      </w:r>
      <w:r w:rsidR="00572B35">
        <w:rPr>
          <w:rFonts w:ascii="Times New Roman" w:hAnsi="Times New Roman"/>
          <w:sz w:val="24"/>
        </w:rPr>
        <w:t xml:space="preserve"> 106, 12921--12925, PMCID: .</w:t>
      </w:r>
      <w:r w:rsidR="00572B35">
        <w:rPr>
          <w:rFonts w:ascii="Times New Roman" w:hAnsi="Times New Roman"/>
          <w:sz w:val="24"/>
        </w:rPr>
        <w:cr/>
        <w:t>125.</w:t>
      </w:r>
      <w:r w:rsidR="00572B35">
        <w:rPr>
          <w:rFonts w:ascii="Times New Roman" w:hAnsi="Times New Roman"/>
          <w:sz w:val="24"/>
        </w:rPr>
        <w:tab/>
        <w:t xml:space="preserve">Fu, W., O'Connor, T. D., Jun, G., Kang, H. M., Abecasis, G., Leal, S. M., Gabriel, S., Rieder, M. </w:t>
      </w:r>
      <w:r w:rsidR="00572B35">
        <w:rPr>
          <w:rFonts w:ascii="Times New Roman" w:hAnsi="Times New Roman"/>
          <w:sz w:val="24"/>
        </w:rPr>
        <w:lastRenderedPageBreak/>
        <w:t xml:space="preserve">J., Altshuler, D., Shendure, J., Nickerson, D. A., Bamshad, M. J., NHLBI Exome Sequencing Project, &amp; Akey, J. M. (2013) Analysis of 6,515 exomes reveals the recent origin of most human protein-coding variants.. </w:t>
      </w:r>
      <w:r w:rsidR="00572B35">
        <w:rPr>
          <w:rFonts w:ascii="Times New Roman" w:hAnsi="Times New Roman"/>
          <w:i/>
          <w:sz w:val="24"/>
        </w:rPr>
        <w:t>Nature</w:t>
      </w:r>
      <w:r w:rsidR="00572B35">
        <w:rPr>
          <w:rFonts w:ascii="Times New Roman" w:hAnsi="Times New Roman"/>
          <w:sz w:val="24"/>
        </w:rPr>
        <w:t xml:space="preserve"> 493, 216--220, PMCID: .</w:t>
      </w:r>
      <w:r w:rsidR="00572B35">
        <w:rPr>
          <w:rFonts w:ascii="Times New Roman" w:hAnsi="Times New Roman"/>
          <w:sz w:val="24"/>
        </w:rPr>
        <w:cr/>
        <w:t>126.</w:t>
      </w:r>
      <w:r w:rsidR="00572B35">
        <w:rPr>
          <w:rFonts w:ascii="Times New Roman" w:hAnsi="Times New Roman"/>
          <w:sz w:val="24"/>
        </w:rPr>
        <w:tab/>
        <w:t xml:space="preserve">Vandenbroucke, I., Van Marck, H., Verhasselt, P., Thys, K., Mostmans, W., Dumont, S., Van Eygen, V., Coen, K., Tuefferd, M., &amp; Aerssens, J. (2011) Minor variant detection in amplicons using 454 massive parallel pyrosequencing: experiences and considerations for successful applications.. </w:t>
      </w:r>
      <w:r w:rsidR="00572B35">
        <w:rPr>
          <w:rFonts w:ascii="Times New Roman" w:hAnsi="Times New Roman"/>
          <w:i/>
          <w:sz w:val="24"/>
        </w:rPr>
        <w:t>BioTechniques</w:t>
      </w:r>
      <w:r w:rsidR="00572B35">
        <w:rPr>
          <w:rFonts w:ascii="Times New Roman" w:hAnsi="Times New Roman"/>
          <w:sz w:val="24"/>
        </w:rPr>
        <w:t xml:space="preserve"> 51, 167--177, PMCID: .</w:t>
      </w:r>
      <w:r w:rsidR="00572B35">
        <w:rPr>
          <w:rFonts w:ascii="Times New Roman" w:hAnsi="Times New Roman"/>
          <w:sz w:val="24"/>
        </w:rPr>
        <w:cr/>
        <w:t>127.</w:t>
      </w:r>
      <w:r w:rsidR="00572B35">
        <w:rPr>
          <w:rFonts w:ascii="Times New Roman" w:hAnsi="Times New Roman"/>
          <w:sz w:val="24"/>
        </w:rPr>
        <w:tab/>
        <w:t xml:space="preserve">Chakravarty, D., Sboner, A., Nair, S. S., Giannopoulou, E., Li, R., Hennig, S., Mosquera, J. M., Pauwels, J., Park, K., Kossai, M., MacDonald, T. Y., Fontugne, J., Erho, N., Vergara, I. A., Ghadessi, M., Davicioni, E., Jenkins, R. B., Palanisamy, N., Chen, Z., Nakagawa, S., Hirose, T., Bander, N. H., Beltran, H., Fox, A. H., Elemento, O., &amp; Rubin, M. A. (2014) The oestrogen receptor alpha-regulated lncRNA NEAT1 is a critical modulator of prostate cancer.. </w:t>
      </w:r>
      <w:r w:rsidR="00572B35">
        <w:rPr>
          <w:rFonts w:ascii="Times New Roman" w:hAnsi="Times New Roman"/>
          <w:i/>
          <w:sz w:val="24"/>
        </w:rPr>
        <w:t>Nature communications</w:t>
      </w:r>
      <w:r w:rsidR="00572B35">
        <w:rPr>
          <w:rFonts w:ascii="Times New Roman" w:hAnsi="Times New Roman"/>
          <w:sz w:val="24"/>
        </w:rPr>
        <w:t xml:space="preserve"> 5, 5383, PMCID: .</w:t>
      </w:r>
      <w:r w:rsidR="00572B35">
        <w:rPr>
          <w:rFonts w:ascii="Times New Roman" w:hAnsi="Times New Roman"/>
          <w:sz w:val="24"/>
        </w:rPr>
        <w:cr/>
        <w:t>128.</w:t>
      </w:r>
      <w:r w:rsidR="00572B35">
        <w:rPr>
          <w:rFonts w:ascii="Times New Roman" w:hAnsi="Times New Roman"/>
          <w:sz w:val="24"/>
        </w:rPr>
        <w:tab/>
        <w:t xml:space="preserve">Roy, S., Chakravarty, D., Cortez, V., De Mukhopadhyay, K., Bandyopadhyay, A., Ahn, J.-M., Raj, G. V., Tekmal, R. R., Sun, L., &amp; Vadlamudi, R. K. (2012) Significance of PELP1 in ER-negative breast cancer metastasis.. </w:t>
      </w:r>
      <w:r w:rsidR="00572B35">
        <w:rPr>
          <w:rFonts w:ascii="Times New Roman" w:hAnsi="Times New Roman"/>
          <w:i/>
          <w:sz w:val="24"/>
        </w:rPr>
        <w:t>Molecular cancer research : MCR</w:t>
      </w:r>
      <w:r w:rsidR="00572B35">
        <w:rPr>
          <w:rFonts w:ascii="Times New Roman" w:hAnsi="Times New Roman"/>
          <w:sz w:val="24"/>
        </w:rPr>
        <w:t xml:space="preserve"> 10, 25--33, PMCID: .</w:t>
      </w:r>
      <w:r w:rsidR="00572B35">
        <w:rPr>
          <w:rFonts w:ascii="Times New Roman" w:hAnsi="Times New Roman"/>
          <w:sz w:val="24"/>
        </w:rPr>
        <w:cr/>
        <w:t>129.</w:t>
      </w:r>
      <w:r w:rsidR="00572B35">
        <w:rPr>
          <w:rFonts w:ascii="Times New Roman" w:hAnsi="Times New Roman"/>
          <w:sz w:val="24"/>
        </w:rPr>
        <w:tab/>
        <w:t xml:space="preserve">Dimple, C., Nair, S. S., Rajhans, R., Pitcheswara, P. R., Liu, J., Balasenthil, S., Le, X.-F., Burow, M. E., Auersperg, N., Tekmal, R. R., Broaddus, R. R., &amp; Vadlamudi, R. K. (2008) Role of PELP1/MNAR signaling in ovarian tumorigenesis.. </w:t>
      </w:r>
      <w:r w:rsidR="00572B35">
        <w:rPr>
          <w:rFonts w:ascii="Times New Roman" w:hAnsi="Times New Roman"/>
          <w:i/>
          <w:sz w:val="24"/>
        </w:rPr>
        <w:t>Cancer research</w:t>
      </w:r>
      <w:r w:rsidR="00572B35">
        <w:rPr>
          <w:rFonts w:ascii="Times New Roman" w:hAnsi="Times New Roman"/>
          <w:sz w:val="24"/>
        </w:rPr>
        <w:t xml:space="preserve"> 68, 4902--4909, PMCID: .</w:t>
      </w:r>
      <w:r w:rsidR="00572B35">
        <w:rPr>
          <w:rFonts w:ascii="Times New Roman" w:hAnsi="Times New Roman"/>
          <w:sz w:val="24"/>
        </w:rPr>
        <w:cr/>
        <w:t>130.</w:t>
      </w:r>
      <w:r w:rsidR="00572B35">
        <w:rPr>
          <w:rFonts w:ascii="Times New Roman" w:hAnsi="Times New Roman"/>
          <w:sz w:val="24"/>
        </w:rPr>
        <w:tab/>
        <w:t xml:space="preserve">Lamesch, P., Li, N., Milstein, S., Fan, C., Hao, T., Szabo, G., Hu, Z., Venkatesan, K., Bethel, G., Martin, P., Rogers, J., Lawlor, S., McLaren, S., Dricot, A., Borick, H., Cusick, M. E., Vandenhaute, J., Dunham, I., Hill, D. E., &amp; Vidal, M. (2007) hORFeome v3.1: a resource of human open reading frames representing over 10,000 human genes.. </w:t>
      </w:r>
      <w:r w:rsidR="00572B35">
        <w:rPr>
          <w:rFonts w:ascii="Times New Roman" w:hAnsi="Times New Roman"/>
          <w:i/>
          <w:sz w:val="24"/>
        </w:rPr>
        <w:t>Genomics</w:t>
      </w:r>
      <w:r w:rsidR="00572B35">
        <w:rPr>
          <w:rFonts w:ascii="Times New Roman" w:hAnsi="Times New Roman"/>
          <w:sz w:val="24"/>
        </w:rPr>
        <w:t xml:space="preserve"> 89, 307--315, PMCID: .</w:t>
      </w:r>
      <w:r w:rsidR="00572B35">
        <w:rPr>
          <w:rFonts w:ascii="Times New Roman" w:hAnsi="Times New Roman"/>
          <w:sz w:val="24"/>
        </w:rPr>
        <w:cr/>
        <w:t>131.</w:t>
      </w:r>
      <w:r w:rsidR="00572B35">
        <w:rPr>
          <w:rFonts w:ascii="Times New Roman" w:hAnsi="Times New Roman"/>
          <w:sz w:val="24"/>
        </w:rPr>
        <w:tab/>
        <w:t xml:space="preserve"> (last accessed on may 22nd 2015) http://www.yulab.org/Supp/MutPrimer.  , , PMCID: .</w:t>
      </w:r>
      <w:r w:rsidR="00572B35">
        <w:rPr>
          <w:rFonts w:ascii="Times New Roman" w:hAnsi="Times New Roman"/>
          <w:sz w:val="24"/>
        </w:rPr>
        <w:cr/>
        <w:t>132.</w:t>
      </w:r>
      <w:r w:rsidR="00572B35">
        <w:rPr>
          <w:rFonts w:ascii="Times New Roman" w:hAnsi="Times New Roman"/>
          <w:sz w:val="24"/>
        </w:rPr>
        <w:tab/>
        <w:t xml:space="preserve">Bartsch, G., Horninger, W., Klocker, H., Pelzer, A., Bektic, J., Oberaigner, W., Schennach, H., Schäfer, G., Frauscher, F., Boniol, M., Severi, G., Robertson, C., Boyle, P., &amp; Tyrol Prostate Cancer Screening Group (2008) Tyrol Prostate Cancer Demonstration Project: early detection, treatment, outcome, incidence and mortality.. </w:t>
      </w:r>
      <w:r w:rsidR="00572B35">
        <w:rPr>
          <w:rFonts w:ascii="Times New Roman" w:hAnsi="Times New Roman"/>
          <w:i/>
          <w:sz w:val="24"/>
        </w:rPr>
        <w:t>BJU international</w:t>
      </w:r>
      <w:r w:rsidR="00572B35">
        <w:rPr>
          <w:rFonts w:ascii="Times New Roman" w:hAnsi="Times New Roman"/>
          <w:sz w:val="24"/>
        </w:rPr>
        <w:t xml:space="preserve"> 101, 809--816, PMCID: .</w:t>
      </w:r>
      <w:r w:rsidR="00572B35">
        <w:rPr>
          <w:rFonts w:ascii="Times New Roman" w:hAnsi="Times New Roman"/>
          <w:sz w:val="24"/>
        </w:rPr>
        <w:cr/>
        <w:t>133.</w:t>
      </w:r>
      <w:r w:rsidR="00572B35">
        <w:rPr>
          <w:rFonts w:ascii="Times New Roman" w:hAnsi="Times New Roman"/>
          <w:sz w:val="24"/>
        </w:rPr>
        <w:tab/>
        <w:t xml:space="preserve">Oberaigner, W., Horninger, W., Klocker, H., Schönitzer, D., Stühlinger, W., &amp; Bartsch, G. (2006) Reduction of prostate cancer mortality in Tyrol, Austria, after introduction of prostate-specific antigen testing.. </w:t>
      </w:r>
      <w:r w:rsidR="00572B35">
        <w:rPr>
          <w:rFonts w:ascii="Times New Roman" w:hAnsi="Times New Roman"/>
          <w:i/>
          <w:sz w:val="24"/>
        </w:rPr>
        <w:t>American journal of epidemiology</w:t>
      </w:r>
      <w:r w:rsidR="00572B35">
        <w:rPr>
          <w:rFonts w:ascii="Times New Roman" w:hAnsi="Times New Roman"/>
          <w:sz w:val="24"/>
        </w:rPr>
        <w:t xml:space="preserve"> 164, 376--384, PMCID: .</w:t>
      </w:r>
      <w:r w:rsidR="00572B35">
        <w:rPr>
          <w:rFonts w:ascii="Times New Roman" w:hAnsi="Times New Roman"/>
          <w:sz w:val="24"/>
        </w:rPr>
        <w:cr/>
        <w:t>134.</w:t>
      </w:r>
      <w:r w:rsidR="00572B35">
        <w:rPr>
          <w:rFonts w:ascii="Times New Roman" w:hAnsi="Times New Roman"/>
          <w:sz w:val="24"/>
        </w:rPr>
        <w:tab/>
        <w:t>http://edrn.nci.nih.gov/ () Last accessed on 21st May 2015.  , , PMCID: .</w:t>
      </w:r>
      <w:r w:rsidR="00572B35">
        <w:rPr>
          <w:rFonts w:ascii="Times New Roman" w:hAnsi="Times New Roman"/>
          <w:sz w:val="24"/>
        </w:rPr>
        <w:cr/>
        <w:t>135.</w:t>
      </w:r>
      <w:r w:rsidR="00572B35">
        <w:rPr>
          <w:rFonts w:ascii="Times New Roman" w:hAnsi="Times New Roman"/>
          <w:sz w:val="24"/>
        </w:rPr>
        <w:tab/>
        <w:t xml:space="preserve">Garritano, S., Romanel, A., Ciribilli, Y., Bisio, A., Gavoci, A., Inga, A., &amp; Demichelis, F. (2015) In-silico identification and functional validation of allele-dependent AR enhancers.. </w:t>
      </w:r>
      <w:r w:rsidR="00572B35">
        <w:rPr>
          <w:rFonts w:ascii="Times New Roman" w:hAnsi="Times New Roman"/>
          <w:i/>
          <w:sz w:val="24"/>
        </w:rPr>
        <w:t>Oncotarget</w:t>
      </w:r>
      <w:r w:rsidR="00572B35">
        <w:rPr>
          <w:rFonts w:ascii="Times New Roman" w:hAnsi="Times New Roman"/>
          <w:sz w:val="24"/>
        </w:rPr>
        <w:t xml:space="preserve"> 6, 4816--4828, PMCID: .</w:t>
      </w:r>
      <w:r w:rsidR="00572B35">
        <w:rPr>
          <w:rFonts w:ascii="Times New Roman" w:hAnsi="Times New Roman"/>
          <w:sz w:val="24"/>
        </w:rPr>
        <w:cr/>
        <w:t>136.</w:t>
      </w:r>
      <w:r w:rsidR="00572B35">
        <w:rPr>
          <w:rFonts w:ascii="Times New Roman" w:hAnsi="Times New Roman"/>
          <w:sz w:val="24"/>
        </w:rPr>
        <w:tab/>
        <w:t xml:space="preserve">Ran, F. A., Hsu, P. D., Wright, J., Agarwala, V., Scott, D. A., &amp; Zhang, F. (2013) Genome engineering using the CRISPR-Cas9 system.. </w:t>
      </w:r>
      <w:r w:rsidR="00572B35">
        <w:rPr>
          <w:rFonts w:ascii="Times New Roman" w:hAnsi="Times New Roman"/>
          <w:i/>
          <w:sz w:val="24"/>
        </w:rPr>
        <w:t>Nature protocols</w:t>
      </w:r>
      <w:r w:rsidR="00572B35">
        <w:rPr>
          <w:rFonts w:ascii="Times New Roman" w:hAnsi="Times New Roman"/>
          <w:sz w:val="24"/>
        </w:rPr>
        <w:t xml:space="preserve"> 8, 2281--2308, PMCID: .</w:t>
      </w:r>
      <w:r w:rsidR="00572B35">
        <w:rPr>
          <w:rFonts w:ascii="Times New Roman" w:hAnsi="Times New Roman"/>
          <w:sz w:val="24"/>
        </w:rPr>
        <w:cr/>
        <w:t>137.</w:t>
      </w:r>
      <w:r w:rsidR="00572B35">
        <w:rPr>
          <w:rFonts w:ascii="Times New Roman" w:hAnsi="Times New Roman"/>
          <w:sz w:val="24"/>
        </w:rPr>
        <w:tab/>
        <w:t xml:space="preserve">Hsu, P. D., Scott, D. A., Weinstein, J. A., Ran, F. A., Konermann, S., Agarwala, V., Li, Y., Fine, E. J., Wu, X., Shalem, O., Cradick, T. J., Marraffini, L. A., Bao, G., &amp; Zhang, F. (2013) DNA targeting specificity of RNA-guided Cas9 nucleases.. </w:t>
      </w:r>
      <w:r w:rsidR="00572B35">
        <w:rPr>
          <w:rFonts w:ascii="Times New Roman" w:hAnsi="Times New Roman"/>
          <w:i/>
          <w:sz w:val="24"/>
        </w:rPr>
        <w:t>Nature biotechnology</w:t>
      </w:r>
      <w:r w:rsidR="00572B35">
        <w:rPr>
          <w:rFonts w:ascii="Times New Roman" w:hAnsi="Times New Roman"/>
          <w:sz w:val="24"/>
        </w:rPr>
        <w:t xml:space="preserve"> 31, 827--832, PMCID: .</w:t>
      </w:r>
      <w:r w:rsidR="00572B35">
        <w:rPr>
          <w:rFonts w:ascii="Times New Roman" w:hAnsi="Times New Roman"/>
          <w:sz w:val="24"/>
        </w:rPr>
        <w:cr/>
        <w:t>138.</w:t>
      </w:r>
      <w:r w:rsidR="00572B35">
        <w:rPr>
          <w:rFonts w:ascii="Times New Roman" w:hAnsi="Times New Roman"/>
          <w:sz w:val="24"/>
        </w:rPr>
        <w:tab/>
        <w:t xml:space="preserve">Beltran (2015) . </w:t>
      </w:r>
      <w:r w:rsidR="00572B35">
        <w:rPr>
          <w:rFonts w:ascii="Times New Roman" w:hAnsi="Times New Roman"/>
          <w:i/>
          <w:sz w:val="24"/>
        </w:rPr>
        <w:t>JAMA oncology</w:t>
      </w:r>
      <w:r w:rsidR="00572B35">
        <w:rPr>
          <w:rFonts w:ascii="Times New Roman" w:hAnsi="Times New Roman"/>
          <w:sz w:val="24"/>
        </w:rPr>
        <w:t xml:space="preserve"> in press, , PMCID: .</w:t>
      </w:r>
      <w:r w:rsidR="00572B35">
        <w:rPr>
          <w:rFonts w:ascii="Times New Roman" w:hAnsi="Times New Roman"/>
          <w:sz w:val="24"/>
        </w:rPr>
        <w:cr/>
        <w:t>139.</w:t>
      </w:r>
      <w:r w:rsidR="00572B35">
        <w:rPr>
          <w:rFonts w:ascii="Times New Roman" w:hAnsi="Times New Roman"/>
          <w:sz w:val="24"/>
        </w:rPr>
        <w:tab/>
        <w:t xml:space="preserve">Jinek, M., East, A., Cheng, A., Lin, S., Ma, E., &amp; Doudna, J. (2013) RNA-programmed genome editing in human cells.. </w:t>
      </w:r>
      <w:r w:rsidR="00572B35">
        <w:rPr>
          <w:rFonts w:ascii="Times New Roman" w:hAnsi="Times New Roman"/>
          <w:i/>
          <w:sz w:val="24"/>
        </w:rPr>
        <w:t>eLife</w:t>
      </w:r>
      <w:r w:rsidR="00572B35">
        <w:rPr>
          <w:rFonts w:ascii="Times New Roman" w:hAnsi="Times New Roman"/>
          <w:sz w:val="24"/>
        </w:rPr>
        <w:t xml:space="preserve"> 2, e00471, PMCID: .</w:t>
      </w:r>
      <w:r w:rsidR="00572B35">
        <w:rPr>
          <w:rFonts w:ascii="Times New Roman" w:hAnsi="Times New Roman"/>
          <w:sz w:val="24"/>
        </w:rPr>
        <w:cr/>
        <w:t>140.</w:t>
      </w:r>
      <w:r w:rsidR="00572B35">
        <w:rPr>
          <w:rFonts w:ascii="Times New Roman" w:hAnsi="Times New Roman"/>
          <w:sz w:val="24"/>
        </w:rPr>
        <w:tab/>
        <w:t xml:space="preserve">Cong, L., Ran, F. A., Cox, D., Lin, S., Barretto, R., Habib, N., Hsu, P. D., Wu, X., Jiang, W., Marraffini, L. A., &amp; Zhang, F. (2013) Multiplex genome engineering using CRISPR/Cas systems.. </w:t>
      </w:r>
      <w:r w:rsidR="00572B35">
        <w:rPr>
          <w:rFonts w:ascii="Times New Roman" w:hAnsi="Times New Roman"/>
          <w:i/>
          <w:sz w:val="24"/>
        </w:rPr>
        <w:t>Science (New York, N.Y.)</w:t>
      </w:r>
      <w:r w:rsidR="00572B35">
        <w:rPr>
          <w:rFonts w:ascii="Times New Roman" w:hAnsi="Times New Roman"/>
          <w:sz w:val="24"/>
        </w:rPr>
        <w:t xml:space="preserve"> 339, 819--823, PMCID: .</w:t>
      </w:r>
      <w:r w:rsidR="00572B35">
        <w:rPr>
          <w:rFonts w:ascii="Times New Roman" w:hAnsi="Times New Roman"/>
          <w:sz w:val="24"/>
        </w:rPr>
        <w:cr/>
      </w:r>
      <w:r w:rsidR="00572B35">
        <w:rPr>
          <w:rFonts w:ascii="Times New Roman" w:hAnsi="Times New Roman"/>
          <w:sz w:val="24"/>
        </w:rPr>
        <w:lastRenderedPageBreak/>
        <w:t>141.</w:t>
      </w:r>
      <w:r w:rsidR="00572B35">
        <w:rPr>
          <w:rFonts w:ascii="Times New Roman" w:hAnsi="Times New Roman"/>
          <w:sz w:val="24"/>
        </w:rPr>
        <w:tab/>
        <w:t xml:space="preserve">Mali, P., Yang, L., Esvelt, K. M., Aach, J., Guell, M., DiCarlo, J. E., Norville, J. E., &amp; Church, G. M. (2013) RNA-guided human genome engineering via Cas9.. </w:t>
      </w:r>
      <w:r w:rsidR="00572B35">
        <w:rPr>
          <w:rFonts w:ascii="Times New Roman" w:hAnsi="Times New Roman"/>
          <w:i/>
          <w:sz w:val="24"/>
        </w:rPr>
        <w:t>Science (New York, N.Y.)</w:t>
      </w:r>
      <w:r w:rsidR="00572B35">
        <w:rPr>
          <w:rFonts w:ascii="Times New Roman" w:hAnsi="Times New Roman"/>
          <w:sz w:val="24"/>
        </w:rPr>
        <w:t xml:space="preserve"> 339, 823--826, PMCID: .</w:t>
      </w:r>
      <w:r w:rsidR="00572B35">
        <w:rPr>
          <w:rFonts w:ascii="Times New Roman" w:hAnsi="Times New Roman"/>
          <w:sz w:val="24"/>
        </w:rPr>
        <w:cr/>
        <w:t>142.</w:t>
      </w:r>
      <w:r w:rsidR="00572B35">
        <w:rPr>
          <w:rFonts w:ascii="Times New Roman" w:hAnsi="Times New Roman"/>
          <w:sz w:val="24"/>
        </w:rPr>
        <w:tab/>
        <w:t xml:space="preserve">Wang, H., Yang, H., Shivalila, C. S., Dawlaty, M. M., Cheng, A. W., Zhang, F., &amp; Jaenisch, R. (2013) One-step generation of mice carrying mutations in multiple genes by CRISPR/Cas-mediated genome engineering.. </w:t>
      </w:r>
      <w:r w:rsidR="00572B35">
        <w:rPr>
          <w:rFonts w:ascii="Times New Roman" w:hAnsi="Times New Roman"/>
          <w:i/>
          <w:sz w:val="24"/>
        </w:rPr>
        <w:t>Cell</w:t>
      </w:r>
      <w:r w:rsidR="00572B35">
        <w:rPr>
          <w:rFonts w:ascii="Times New Roman" w:hAnsi="Times New Roman"/>
          <w:sz w:val="24"/>
        </w:rPr>
        <w:t xml:space="preserve"> 153, 910--918, PMCID: .</w:t>
      </w:r>
    </w:p>
    <w:p w14:paraId="0750679F" w14:textId="0715C510" w:rsidR="00427F75" w:rsidRDefault="00572B35">
      <w:pPr>
        <w:pStyle w:val="normal0"/>
        <w:spacing w:before="20" w:line="240" w:lineRule="auto"/>
      </w:pPr>
      <w:r>
        <w:fldChar w:fldCharType="end"/>
      </w:r>
    </w:p>
    <w:sectPr w:rsidR="00427F7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grammar="clean"/>
  <w:defaultTabStop w:val="720"/>
  <w:characterSpacingControl w:val="doNotCompress"/>
  <w:compat>
    <w:compatSetting w:name="compatibilityMode" w:uri="http://schemas.microsoft.com/office/word" w:val="14"/>
  </w:compat>
  <w:rsids>
    <w:rsidRoot w:val="00427F75"/>
    <w:rsid w:val="00000B7C"/>
    <w:rsid w:val="001A0089"/>
    <w:rsid w:val="001C1CA7"/>
    <w:rsid w:val="003122E6"/>
    <w:rsid w:val="003A647E"/>
    <w:rsid w:val="00427F75"/>
    <w:rsid w:val="004833CB"/>
    <w:rsid w:val="00502449"/>
    <w:rsid w:val="005178C2"/>
    <w:rsid w:val="00552786"/>
    <w:rsid w:val="005540A9"/>
    <w:rsid w:val="0055742B"/>
    <w:rsid w:val="00572B35"/>
    <w:rsid w:val="006731E2"/>
    <w:rsid w:val="0069618E"/>
    <w:rsid w:val="006C59E5"/>
    <w:rsid w:val="007229A1"/>
    <w:rsid w:val="00757028"/>
    <w:rsid w:val="007D5AE5"/>
    <w:rsid w:val="008459EF"/>
    <w:rsid w:val="00A13A12"/>
    <w:rsid w:val="00AF2A36"/>
    <w:rsid w:val="00B40AA8"/>
    <w:rsid w:val="00BF059F"/>
    <w:rsid w:val="00E34660"/>
    <w:rsid w:val="00E62AEA"/>
    <w:rsid w:val="00EC4369"/>
    <w:rsid w:val="00EC51A9"/>
    <w:rsid w:val="00ED0C4A"/>
    <w:rsid w:val="00F60617"/>
    <w:rsid w:val="00F76E2A"/>
    <w:rsid w:val="00FD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2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76E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E2A"/>
    <w:rPr>
      <w:rFonts w:ascii="Lucida Grande" w:hAnsi="Lucida Grande" w:cs="Lucida Grande"/>
      <w:sz w:val="18"/>
      <w:szCs w:val="18"/>
    </w:rPr>
  </w:style>
  <w:style w:type="character" w:customStyle="1" w:styleId="Heading1Char">
    <w:name w:val="Heading 1 Char"/>
    <w:basedOn w:val="DefaultParagraphFont"/>
    <w:link w:val="Heading1"/>
    <w:rsid w:val="001C1CA7"/>
    <w:rPr>
      <w:rFonts w:ascii="Trebuchet MS" w:eastAsia="Trebuchet MS" w:hAnsi="Trebuchet MS" w:cs="Trebuchet MS"/>
      <w:sz w:val="32"/>
    </w:rPr>
  </w:style>
  <w:style w:type="character" w:customStyle="1" w:styleId="Heading2Char">
    <w:name w:val="Heading 2 Char"/>
    <w:basedOn w:val="DefaultParagraphFont"/>
    <w:link w:val="Heading2"/>
    <w:rsid w:val="001C1CA7"/>
    <w:rPr>
      <w:rFonts w:ascii="Trebuchet MS" w:eastAsia="Trebuchet MS" w:hAnsi="Trebuchet MS" w:cs="Trebuchet MS"/>
      <w:b/>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link w:val="Heading2Char"/>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76E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E2A"/>
    <w:rPr>
      <w:rFonts w:ascii="Lucida Grande" w:hAnsi="Lucida Grande" w:cs="Lucida Grande"/>
      <w:sz w:val="18"/>
      <w:szCs w:val="18"/>
    </w:rPr>
  </w:style>
  <w:style w:type="character" w:customStyle="1" w:styleId="Heading1Char">
    <w:name w:val="Heading 1 Char"/>
    <w:basedOn w:val="DefaultParagraphFont"/>
    <w:link w:val="Heading1"/>
    <w:rsid w:val="001C1CA7"/>
    <w:rPr>
      <w:rFonts w:ascii="Trebuchet MS" w:eastAsia="Trebuchet MS" w:hAnsi="Trebuchet MS" w:cs="Trebuchet MS"/>
      <w:sz w:val="32"/>
    </w:rPr>
  </w:style>
  <w:style w:type="character" w:customStyle="1" w:styleId="Heading2Char">
    <w:name w:val="Heading 2 Char"/>
    <w:basedOn w:val="DefaultParagraphFont"/>
    <w:link w:val="Heading2"/>
    <w:rsid w:val="001C1CA7"/>
    <w:rPr>
      <w:rFonts w:ascii="Trebuchet MS" w:eastAsia="Trebuchet MS" w:hAnsi="Trebuchet MS" w:cs="Trebuchet MS"/>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19536</Words>
  <Characters>106864</Characters>
  <Application>Microsoft Macintosh Word</Application>
  <DocSecurity>0</DocSecurity>
  <Lines>1463</Lines>
  <Paragraphs>223</Paragraphs>
  <ScaleCrop>false</ScaleCrop>
  <Company>YALE</Company>
  <LinksUpToDate>false</LinksUpToDate>
  <CharactersWithSpaces>126177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sushant</cp:lastModifiedBy>
  <cp:revision>7</cp:revision>
  <dcterms:created xsi:type="dcterms:W3CDTF">2015-05-14T22:40:00Z</dcterms:created>
  <dcterms:modified xsi:type="dcterms:W3CDTF">2015-05-14T22:50:00Z</dcterms:modified>
</cp:coreProperties>
</file>