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Default="0013626F" w:rsidP="00674E09">
      <w:pPr>
        <w:spacing w:after="0" w:line="240" w:lineRule="auto"/>
        <w:rPr>
          <w:rFonts w:ascii="Times New Roman" w:hAnsi="Times New Roman" w:cs="Times New Roman"/>
          <w:b/>
          <w:sz w:val="24"/>
          <w:szCs w:val="24"/>
        </w:rPr>
      </w:pPr>
    </w:p>
    <w:p w:rsidR="00194545" w:rsidRDefault="00A5343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Genomic variant d</w:t>
      </w:r>
      <w:r w:rsidR="004C560D" w:rsidRPr="004C560D">
        <w:rPr>
          <w:rFonts w:ascii="Times New Roman" w:hAnsi="Times New Roman" w:cs="Times New Roman"/>
          <w:sz w:val="24"/>
          <w:szCs w:val="24"/>
        </w:rPr>
        <w:t>atabases are central to the large-scale annotation of personal genomes.</w:t>
      </w:r>
      <w:r w:rsidR="004C560D">
        <w:rPr>
          <w:rFonts w:ascii="Times New Roman" w:hAnsi="Times New Roman" w:cs="Times New Roman"/>
          <w:sz w:val="24"/>
          <w:szCs w:val="24"/>
        </w:rPr>
        <w:t xml:space="preserve"> </w:t>
      </w:r>
      <w:r w:rsidR="00993D3A">
        <w:rPr>
          <w:rFonts w:ascii="Times New Roman" w:hAnsi="Times New Roman" w:cs="Times New Roman"/>
          <w:sz w:val="24"/>
          <w:szCs w:val="24"/>
        </w:rPr>
        <w:t>A</w:t>
      </w:r>
      <w:r w:rsidR="00750882">
        <w:rPr>
          <w:rFonts w:ascii="Times New Roman" w:hAnsi="Times New Roman" w:cs="Times New Roman"/>
          <w:sz w:val="24"/>
          <w:szCs w:val="24"/>
        </w:rPr>
        <w:t>n</w:t>
      </w:r>
      <w:r w:rsidR="00993D3A">
        <w:rPr>
          <w:rFonts w:ascii="Times New Roman" w:hAnsi="Times New Roman" w:cs="Times New Roman"/>
          <w:sz w:val="24"/>
          <w:szCs w:val="24"/>
        </w:rPr>
        <w:t xml:space="preserve"> </w:t>
      </w:r>
      <w:r w:rsidR="00750882">
        <w:rPr>
          <w:rFonts w:ascii="Times New Roman" w:hAnsi="Times New Roman" w:cs="Times New Roman"/>
          <w:sz w:val="24"/>
          <w:szCs w:val="24"/>
        </w:rPr>
        <w:t xml:space="preserve">important </w:t>
      </w:r>
      <w:r w:rsidR="00993D3A">
        <w:rPr>
          <w:rFonts w:ascii="Times New Roman" w:hAnsi="Times New Roman" w:cs="Times New Roman"/>
          <w:sz w:val="24"/>
          <w:szCs w:val="24"/>
        </w:rPr>
        <w:t>class of genomic variants is associated with a</w:t>
      </w:r>
      <w:r w:rsidR="006C5143">
        <w:rPr>
          <w:rFonts w:ascii="Times New Roman" w:hAnsi="Times New Roman" w:cs="Times New Roman"/>
          <w:sz w:val="24"/>
          <w:szCs w:val="24"/>
        </w:rPr>
        <w:t>llele-specific behavior</w:t>
      </w:r>
      <w:r w:rsidR="00993D3A">
        <w:rPr>
          <w:rFonts w:ascii="Times New Roman" w:hAnsi="Times New Roman" w:cs="Times New Roman"/>
          <w:sz w:val="24"/>
          <w:szCs w:val="24"/>
        </w:rPr>
        <w:t>, which occurs when</w:t>
      </w:r>
      <w:r w:rsidR="00E85E36">
        <w:rPr>
          <w:rFonts w:ascii="Times New Roman" w:hAnsi="Times New Roman" w:cs="Times New Roman"/>
          <w:sz w:val="24"/>
          <w:szCs w:val="24"/>
        </w:rPr>
        <w:t xml:space="preserve"> there is a differential effect between the two alleles in the human diploid genome. </w:t>
      </w:r>
      <w:r w:rsidR="00993D3A">
        <w:rPr>
          <w:rFonts w:ascii="Times New Roman" w:hAnsi="Times New Roman" w:cs="Times New Roman"/>
          <w:sz w:val="24"/>
          <w:szCs w:val="24"/>
        </w:rPr>
        <w:t xml:space="preserve">Many </w:t>
      </w:r>
      <w:r w:rsidR="00472FB6">
        <w:rPr>
          <w:rFonts w:ascii="Times New Roman" w:hAnsi="Times New Roman" w:cs="Times New Roman"/>
          <w:sz w:val="24"/>
          <w:szCs w:val="24"/>
        </w:rPr>
        <w:t>se</w:t>
      </w:r>
      <w:r w:rsidR="00993D3A">
        <w:rPr>
          <w:rFonts w:ascii="Times New Roman" w:hAnsi="Times New Roman" w:cs="Times New Roman"/>
          <w:sz w:val="24"/>
          <w:szCs w:val="24"/>
        </w:rPr>
        <w:t xml:space="preserve">parate </w:t>
      </w:r>
      <w:r w:rsidR="00253107">
        <w:rPr>
          <w:rFonts w:ascii="Times New Roman" w:hAnsi="Times New Roman" w:cs="Times New Roman"/>
          <w:sz w:val="24"/>
          <w:szCs w:val="24"/>
        </w:rPr>
        <w:t xml:space="preserve">studies </w:t>
      </w:r>
      <w:r w:rsidR="00993D3A">
        <w:rPr>
          <w:rFonts w:ascii="Times New Roman" w:hAnsi="Times New Roman" w:cs="Times New Roman"/>
          <w:sz w:val="24"/>
          <w:szCs w:val="24"/>
        </w:rPr>
        <w:t xml:space="preserve">have </w:t>
      </w:r>
      <w:r w:rsidR="009D77C2">
        <w:rPr>
          <w:rFonts w:ascii="Times New Roman" w:hAnsi="Times New Roman" w:cs="Times New Roman"/>
          <w:sz w:val="24"/>
          <w:szCs w:val="24"/>
        </w:rPr>
        <w:t xml:space="preserve">conducted </w:t>
      </w:r>
      <w:r w:rsidR="006C5143">
        <w:rPr>
          <w:rFonts w:ascii="Times New Roman" w:hAnsi="Times New Roman" w:cs="Times New Roman"/>
          <w:sz w:val="24"/>
          <w:szCs w:val="24"/>
        </w:rPr>
        <w:t>RNA sequencing (RNA-seq) and chromatin immunoprecipitation sequencing (ChIP-seq)</w:t>
      </w:r>
      <w:r w:rsidR="000C58CB">
        <w:rPr>
          <w:rFonts w:ascii="Times New Roman" w:hAnsi="Times New Roman" w:cs="Times New Roman"/>
          <w:b/>
          <w:sz w:val="24"/>
          <w:szCs w:val="24"/>
        </w:rPr>
        <w:t xml:space="preserve"> </w:t>
      </w:r>
      <w:r w:rsidR="006C5143">
        <w:rPr>
          <w:rFonts w:ascii="Times New Roman" w:hAnsi="Times New Roman" w:cs="Times New Roman"/>
          <w:sz w:val="24"/>
          <w:szCs w:val="24"/>
        </w:rPr>
        <w:t>experiments to detect variants associated with allele-specific expression (ASE) and binding (ASB)</w:t>
      </w:r>
      <w:r w:rsidR="00993D3A">
        <w:rPr>
          <w:rFonts w:ascii="Times New Roman" w:hAnsi="Times New Roman" w:cs="Times New Roman"/>
          <w:sz w:val="24"/>
          <w:szCs w:val="24"/>
        </w:rPr>
        <w:t xml:space="preserve">. However, the </w:t>
      </w:r>
      <w:r w:rsidR="004C560D">
        <w:rPr>
          <w:rFonts w:ascii="Times New Roman" w:hAnsi="Times New Roman" w:cs="Times New Roman"/>
          <w:sz w:val="24"/>
          <w:szCs w:val="24"/>
        </w:rPr>
        <w:t xml:space="preserve">heterogeneity </w:t>
      </w:r>
      <w:r w:rsidR="00227674">
        <w:rPr>
          <w:rFonts w:ascii="Times New Roman" w:hAnsi="Times New Roman" w:cs="Times New Roman"/>
          <w:sz w:val="24"/>
          <w:szCs w:val="24"/>
        </w:rPr>
        <w:t>makes it difficult to</w:t>
      </w:r>
      <w:r w:rsidR="004C560D">
        <w:rPr>
          <w:rFonts w:ascii="Times New Roman" w:hAnsi="Times New Roman" w:cs="Times New Roman"/>
          <w:sz w:val="24"/>
          <w:szCs w:val="24"/>
        </w:rPr>
        <w:t xml:space="preserve"> </w:t>
      </w:r>
      <w:r w:rsidR="00227674">
        <w:rPr>
          <w:rFonts w:ascii="Times New Roman" w:hAnsi="Times New Roman" w:cs="Times New Roman"/>
          <w:sz w:val="24"/>
          <w:szCs w:val="24"/>
        </w:rPr>
        <w:t xml:space="preserve">perform </w:t>
      </w:r>
      <w:r w:rsidR="00993D3A">
        <w:rPr>
          <w:rFonts w:ascii="Times New Roman" w:hAnsi="Times New Roman" w:cs="Times New Roman"/>
          <w:sz w:val="24"/>
          <w:szCs w:val="24"/>
        </w:rPr>
        <w:t>a naive</w:t>
      </w:r>
      <w:r w:rsidR="004C560D">
        <w:rPr>
          <w:rFonts w:ascii="Times New Roman" w:hAnsi="Times New Roman" w:cs="Times New Roman"/>
          <w:sz w:val="24"/>
          <w:szCs w:val="24"/>
        </w:rPr>
        <w:t xml:space="preserve"> aggregation of results</w:t>
      </w:r>
      <w:r w:rsidR="00993D3A">
        <w:rPr>
          <w:rFonts w:ascii="Times New Roman" w:hAnsi="Times New Roman" w:cs="Times New Roman"/>
          <w:sz w:val="24"/>
          <w:szCs w:val="24"/>
        </w:rPr>
        <w:t xml:space="preserve"> to build a database</w:t>
      </w:r>
      <w:r w:rsidR="004C560D">
        <w:rPr>
          <w:rFonts w:ascii="Times New Roman" w:hAnsi="Times New Roman" w:cs="Times New Roman"/>
          <w:sz w:val="24"/>
          <w:szCs w:val="24"/>
        </w:rPr>
        <w:t xml:space="preserve">. </w:t>
      </w:r>
      <w:r w:rsidR="00472FB6">
        <w:rPr>
          <w:rFonts w:ascii="Times New Roman" w:hAnsi="Times New Roman" w:cs="Times New Roman"/>
          <w:sz w:val="24"/>
          <w:szCs w:val="24"/>
        </w:rPr>
        <w:t xml:space="preserve">To meaningfully </w:t>
      </w:r>
      <w:r w:rsidR="004C560D">
        <w:rPr>
          <w:rFonts w:ascii="Times New Roman" w:hAnsi="Times New Roman" w:cs="Times New Roman"/>
          <w:sz w:val="24"/>
          <w:szCs w:val="24"/>
        </w:rPr>
        <w:t>detect</w:t>
      </w:r>
      <w:r w:rsidR="0012416E">
        <w:rPr>
          <w:rFonts w:ascii="Times New Roman" w:hAnsi="Times New Roman" w:cs="Times New Roman"/>
          <w:sz w:val="24"/>
          <w:szCs w:val="24"/>
        </w:rPr>
        <w:t xml:space="preserve"> </w:t>
      </w:r>
      <w:r w:rsidR="009D77C2">
        <w:rPr>
          <w:rFonts w:ascii="Times New Roman" w:hAnsi="Times New Roman" w:cs="Times New Roman"/>
          <w:sz w:val="24"/>
          <w:szCs w:val="24"/>
        </w:rPr>
        <w:t>ASE and ASB variants</w:t>
      </w:r>
      <w:r w:rsidR="00472FB6">
        <w:rPr>
          <w:rFonts w:ascii="Times New Roman" w:hAnsi="Times New Roman" w:cs="Times New Roman"/>
          <w:sz w:val="24"/>
          <w:szCs w:val="24"/>
        </w:rPr>
        <w:t xml:space="preserve"> </w:t>
      </w:r>
      <w:r w:rsidR="00472FB6">
        <w:rPr>
          <w:rFonts w:ascii="Times New Roman" w:hAnsi="Times New Roman" w:cs="Times New Roman"/>
          <w:sz w:val="24"/>
          <w:szCs w:val="24"/>
        </w:rPr>
        <w:t>from different studies</w:t>
      </w:r>
      <w:r w:rsidR="0012416E">
        <w:rPr>
          <w:rFonts w:ascii="Times New Roman" w:hAnsi="Times New Roman" w:cs="Times New Roman"/>
          <w:sz w:val="24"/>
          <w:szCs w:val="24"/>
        </w:rPr>
        <w:t xml:space="preserve">, </w:t>
      </w:r>
      <w:r w:rsidR="00253107">
        <w:rPr>
          <w:rFonts w:ascii="Times New Roman" w:hAnsi="Times New Roman" w:cs="Times New Roman"/>
          <w:sz w:val="24"/>
          <w:szCs w:val="24"/>
        </w:rPr>
        <w:t>we re</w:t>
      </w:r>
      <w:r w:rsidR="00253107" w:rsidRPr="00B71FDE">
        <w:rPr>
          <w:rFonts w:ascii="Times New Roman" w:hAnsi="Times New Roman" w:cs="Times New Roman"/>
          <w:sz w:val="24"/>
          <w:szCs w:val="24"/>
        </w:rPr>
        <w:t>process</w:t>
      </w:r>
      <w:r w:rsidR="00253107">
        <w:rPr>
          <w:rFonts w:ascii="Times New Roman" w:hAnsi="Times New Roman" w:cs="Times New Roman"/>
          <w:sz w:val="24"/>
          <w:szCs w:val="24"/>
        </w:rPr>
        <w:t>ed</w:t>
      </w:r>
      <w:r w:rsidR="00253107" w:rsidRPr="00B71FDE">
        <w:rPr>
          <w:rFonts w:ascii="Times New Roman" w:hAnsi="Times New Roman" w:cs="Times New Roman"/>
          <w:sz w:val="24"/>
          <w:szCs w:val="24"/>
        </w:rPr>
        <w:t xml:space="preserve"> </w:t>
      </w:r>
      <w:r w:rsidR="00253107">
        <w:rPr>
          <w:rFonts w:ascii="Times New Roman" w:hAnsi="Times New Roman" w:cs="Times New Roman"/>
          <w:sz w:val="24"/>
          <w:szCs w:val="24"/>
        </w:rPr>
        <w:t>1,</w:t>
      </w:r>
      <w:r w:rsidR="000D7161">
        <w:rPr>
          <w:rFonts w:ascii="Times New Roman" w:hAnsi="Times New Roman" w:cs="Times New Roman"/>
          <w:sz w:val="24"/>
          <w:szCs w:val="24"/>
        </w:rPr>
        <w:t>141</w:t>
      </w:r>
      <w:r w:rsidR="00253107">
        <w:rPr>
          <w:rFonts w:ascii="Times New Roman" w:hAnsi="Times New Roman" w:cs="Times New Roman"/>
          <w:sz w:val="24"/>
          <w:szCs w:val="24"/>
        </w:rPr>
        <w:t xml:space="preserve"> RNA-seq and ChIP-seq</w:t>
      </w:r>
      <w:r w:rsidR="001C3CA8">
        <w:rPr>
          <w:rFonts w:ascii="Times New Roman" w:hAnsi="Times New Roman" w:cs="Times New Roman"/>
          <w:sz w:val="24"/>
          <w:szCs w:val="24"/>
        </w:rPr>
        <w:t xml:space="preserve"> experiments</w:t>
      </w:r>
      <w:r w:rsidR="00253107">
        <w:rPr>
          <w:rFonts w:ascii="Times New Roman" w:hAnsi="Times New Roman" w:cs="Times New Roman"/>
          <w:sz w:val="24"/>
          <w:szCs w:val="24"/>
        </w:rPr>
        <w:t xml:space="preserve"> over 382 individuals</w:t>
      </w:r>
      <w:r w:rsidR="00750882">
        <w:rPr>
          <w:rFonts w:ascii="Times New Roman" w:hAnsi="Times New Roman" w:cs="Times New Roman"/>
          <w:sz w:val="24"/>
          <w:szCs w:val="24"/>
        </w:rPr>
        <w:t xml:space="preserve"> in a uniform fashion</w:t>
      </w:r>
      <w:r w:rsidR="00253107">
        <w:rPr>
          <w:rFonts w:ascii="Times New Roman" w:hAnsi="Times New Roman" w:cs="Times New Roman"/>
          <w:sz w:val="24"/>
          <w:szCs w:val="24"/>
        </w:rPr>
        <w:t>.</w:t>
      </w:r>
      <w:r w:rsidR="00253107" w:rsidRPr="00253107">
        <w:rPr>
          <w:rFonts w:ascii="Times New Roman" w:hAnsi="Times New Roman" w:cs="Times New Roman"/>
          <w:sz w:val="24"/>
          <w:szCs w:val="24"/>
        </w:rPr>
        <w:t xml:space="preserve"> </w:t>
      </w:r>
      <w:r w:rsidR="00253107">
        <w:rPr>
          <w:rFonts w:ascii="Times New Roman" w:hAnsi="Times New Roman" w:cs="Times New Roman"/>
          <w:sz w:val="24"/>
          <w:szCs w:val="24"/>
        </w:rPr>
        <w:t xml:space="preserve">By taking into account varying degrees of overdispersion in </w:t>
      </w:r>
      <w:r w:rsidR="009D77C2">
        <w:rPr>
          <w:rFonts w:ascii="Times New Roman" w:hAnsi="Times New Roman" w:cs="Times New Roman"/>
          <w:sz w:val="24"/>
          <w:szCs w:val="24"/>
        </w:rPr>
        <w:t xml:space="preserve">the various </w:t>
      </w:r>
      <w:r w:rsidR="00253107">
        <w:rPr>
          <w:rFonts w:ascii="Times New Roman" w:hAnsi="Times New Roman" w:cs="Times New Roman"/>
          <w:sz w:val="24"/>
          <w:szCs w:val="24"/>
        </w:rPr>
        <w:t xml:space="preserve">experiments, we were able to harmonize </w:t>
      </w:r>
      <w:r w:rsidR="006D6AF2">
        <w:rPr>
          <w:rFonts w:ascii="Times New Roman" w:hAnsi="Times New Roman" w:cs="Times New Roman"/>
          <w:sz w:val="24"/>
          <w:szCs w:val="24"/>
        </w:rPr>
        <w:t>the datasets</w:t>
      </w:r>
      <w:r>
        <w:rPr>
          <w:rFonts w:ascii="Times New Roman" w:hAnsi="Times New Roman" w:cs="Times New Roman"/>
          <w:sz w:val="24"/>
          <w:szCs w:val="24"/>
        </w:rPr>
        <w:t xml:space="preserve"> and detect</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7,462</w:t>
      </w:r>
      <w:r w:rsidR="006D6AF2" w:rsidRPr="00F36294">
        <w:rPr>
          <w:rFonts w:ascii="Times New Roman" w:hAnsi="Times New Roman" w:cs="Times New Roman"/>
          <w:sz w:val="24"/>
          <w:szCs w:val="24"/>
        </w:rPr>
        <w:t xml:space="preserve"> and </w:t>
      </w:r>
      <w:r w:rsidR="006D6AF2">
        <w:rPr>
          <w:rFonts w:ascii="Times New Roman" w:hAnsi="Times New Roman" w:cs="Times New Roman"/>
          <w:sz w:val="24"/>
          <w:szCs w:val="24"/>
        </w:rPr>
        <w:t>85,742 allelic SNVs</w:t>
      </w:r>
      <w:r w:rsidR="006D6AF2" w:rsidRPr="00F36294">
        <w:rPr>
          <w:rFonts w:ascii="Times New Roman" w:hAnsi="Times New Roman" w:cs="Times New Roman"/>
          <w:sz w:val="24"/>
          <w:szCs w:val="24"/>
        </w:rPr>
        <w:t xml:space="preserve"> for </w:t>
      </w:r>
      <w:r w:rsidR="006D6AF2">
        <w:rPr>
          <w:rFonts w:ascii="Times New Roman" w:hAnsi="Times New Roman" w:cs="Times New Roman"/>
          <w:sz w:val="24"/>
          <w:szCs w:val="24"/>
        </w:rPr>
        <w:t xml:space="preserve">ASB </w:t>
      </w:r>
      <w:r w:rsidR="006D6AF2" w:rsidRPr="00F36294">
        <w:rPr>
          <w:rFonts w:ascii="Times New Roman" w:hAnsi="Times New Roman" w:cs="Times New Roman"/>
          <w:sz w:val="24"/>
          <w:szCs w:val="24"/>
        </w:rPr>
        <w:t xml:space="preserve">and </w:t>
      </w:r>
      <w:r w:rsidR="006D6AF2">
        <w:rPr>
          <w:rFonts w:ascii="Times New Roman" w:hAnsi="Times New Roman" w:cs="Times New Roman"/>
          <w:sz w:val="24"/>
          <w:szCs w:val="24"/>
        </w:rPr>
        <w:t>ASE respectively</w:t>
      </w:r>
      <w:r>
        <w:rPr>
          <w:rFonts w:ascii="Times New Roman" w:hAnsi="Times New Roman" w:cs="Times New Roman"/>
          <w:sz w:val="24"/>
          <w:szCs w:val="24"/>
        </w:rPr>
        <w:t>; these represents</w:t>
      </w:r>
      <w:r w:rsidR="006D6AF2" w:rsidRPr="00F36294">
        <w:rPr>
          <w:rFonts w:ascii="Times New Roman" w:hAnsi="Times New Roman" w:cs="Times New Roman"/>
          <w:sz w:val="24"/>
          <w:szCs w:val="24"/>
        </w:rPr>
        <w:t xml:space="preserve"> </w:t>
      </w:r>
      <w:r w:rsidR="006D6AF2">
        <w:rPr>
          <w:rFonts w:ascii="Times New Roman" w:hAnsi="Times New Roman" w:cs="Times New Roman"/>
          <w:sz w:val="24"/>
          <w:szCs w:val="24"/>
        </w:rPr>
        <w:t>6% and 16</w:t>
      </w:r>
      <w:r w:rsidR="006D6AF2" w:rsidRPr="00F36294">
        <w:rPr>
          <w:rFonts w:ascii="Times New Roman" w:hAnsi="Times New Roman" w:cs="Times New Roman"/>
          <w:sz w:val="24"/>
          <w:szCs w:val="24"/>
        </w:rPr>
        <w:t xml:space="preserve">% of </w:t>
      </w:r>
      <w:r w:rsidR="006D6AF2">
        <w:rPr>
          <w:rFonts w:ascii="Times New Roman" w:hAnsi="Times New Roman" w:cs="Times New Roman"/>
          <w:sz w:val="24"/>
          <w:szCs w:val="24"/>
        </w:rPr>
        <w:t xml:space="preserve">accessible </w:t>
      </w:r>
      <w:r w:rsidR="006D6AF2" w:rsidRPr="00F36294">
        <w:rPr>
          <w:rFonts w:ascii="Times New Roman" w:hAnsi="Times New Roman" w:cs="Times New Roman"/>
          <w:sz w:val="24"/>
          <w:szCs w:val="24"/>
        </w:rPr>
        <w:t>SNVs</w:t>
      </w:r>
      <w:r w:rsidR="006D6AF2">
        <w:rPr>
          <w:rFonts w:ascii="Times New Roman" w:hAnsi="Times New Roman" w:cs="Times New Roman"/>
          <w:sz w:val="24"/>
          <w:szCs w:val="24"/>
        </w:rPr>
        <w:t>.</w:t>
      </w:r>
      <w:r w:rsidR="004C560D">
        <w:rPr>
          <w:rFonts w:ascii="Times New Roman" w:hAnsi="Times New Roman" w:cs="Times New Roman"/>
          <w:sz w:val="24"/>
          <w:szCs w:val="24"/>
        </w:rPr>
        <w:t xml:space="preserve"> </w:t>
      </w:r>
      <w:r>
        <w:rPr>
          <w:rFonts w:ascii="Times New Roman" w:hAnsi="Times New Roman" w:cs="Times New Roman"/>
          <w:sz w:val="24"/>
          <w:szCs w:val="24"/>
        </w:rPr>
        <w:t xml:space="preserve">In addition to variants, we also quantify </w:t>
      </w:r>
      <w:r w:rsidR="00D84ADA">
        <w:rPr>
          <w:rFonts w:ascii="Times New Roman" w:hAnsi="Times New Roman" w:cs="Times New Roman"/>
          <w:sz w:val="24"/>
          <w:szCs w:val="24"/>
        </w:rPr>
        <w:t xml:space="preserve">20,000 genes and </w:t>
      </w:r>
      <w:r w:rsidR="00C55AAA">
        <w:rPr>
          <w:rFonts w:ascii="Times New Roman" w:hAnsi="Times New Roman" w:cs="Times New Roman"/>
          <w:sz w:val="24"/>
          <w:szCs w:val="24"/>
        </w:rPr>
        <w:t>708</w:t>
      </w:r>
      <w:r w:rsidR="00D84ADA">
        <w:rPr>
          <w:rFonts w:ascii="Times New Roman" w:hAnsi="Times New Roman" w:cs="Times New Roman"/>
          <w:sz w:val="24"/>
          <w:szCs w:val="24"/>
        </w:rPr>
        <w:t xml:space="preserve"> </w:t>
      </w:r>
      <w:r w:rsidR="00472FB6">
        <w:rPr>
          <w:rFonts w:ascii="Times New Roman" w:hAnsi="Times New Roman" w:cs="Times New Roman"/>
          <w:sz w:val="24"/>
          <w:szCs w:val="24"/>
        </w:rPr>
        <w:t xml:space="preserve">categories of </w:t>
      </w:r>
      <w:r>
        <w:rPr>
          <w:rFonts w:ascii="Times New Roman" w:hAnsi="Times New Roman" w:cs="Times New Roman"/>
          <w:sz w:val="24"/>
          <w:szCs w:val="24"/>
        </w:rPr>
        <w:t xml:space="preserve">coding and non-coding genomic annotations in terms of their allele-specific behavior. </w:t>
      </w:r>
      <w:r w:rsidR="00455394">
        <w:rPr>
          <w:rFonts w:ascii="Times New Roman" w:hAnsi="Times New Roman" w:cs="Times New Roman"/>
          <w:sz w:val="24"/>
          <w:szCs w:val="24"/>
        </w:rPr>
        <w:t>These results are housed in a searchable database, AlleleDB (</w:t>
      </w:r>
      <w:hyperlink r:id="rId7" w:history="1">
        <w:r w:rsidR="00455394" w:rsidRPr="00A04AE3">
          <w:rPr>
            <w:rStyle w:val="Hyperlink"/>
            <w:rFonts w:ascii="Times New Roman" w:hAnsi="Times New Roman" w:cs="Times New Roman"/>
            <w:sz w:val="24"/>
            <w:szCs w:val="24"/>
          </w:rPr>
          <w:t>www.alleledb.gersteinlab.org</w:t>
        </w:r>
      </w:hyperlink>
      <w:r w:rsidR="00455394">
        <w:rPr>
          <w:rFonts w:ascii="Times New Roman" w:hAnsi="Times New Roman" w:cs="Times New Roman"/>
          <w:sz w:val="24"/>
          <w:szCs w:val="24"/>
        </w:rPr>
        <w:t xml:space="preserve">), which </w:t>
      </w:r>
      <w:r w:rsidR="00E96E3A">
        <w:rPr>
          <w:rFonts w:ascii="Times New Roman" w:hAnsi="Times New Roman" w:cs="Times New Roman"/>
          <w:sz w:val="24"/>
          <w:szCs w:val="24"/>
        </w:rPr>
        <w:t xml:space="preserve">conveniently </w:t>
      </w:r>
      <w:r w:rsidR="00455394">
        <w:rPr>
          <w:rFonts w:ascii="Times New Roman" w:hAnsi="Times New Roman" w:cs="Times New Roman"/>
          <w:sz w:val="24"/>
          <w:szCs w:val="24"/>
        </w:rPr>
        <w:t xml:space="preserve">allows </w:t>
      </w:r>
      <w:r w:rsidR="00E96E3A">
        <w:rPr>
          <w:rFonts w:ascii="Times New Roman" w:hAnsi="Times New Roman" w:cs="Times New Roman"/>
          <w:sz w:val="24"/>
          <w:szCs w:val="24"/>
        </w:rPr>
        <w:t xml:space="preserve">for </w:t>
      </w:r>
      <w:r w:rsidR="00455394">
        <w:rPr>
          <w:rFonts w:ascii="Times New Roman" w:hAnsi="Times New Roman" w:cs="Times New Roman"/>
          <w:sz w:val="24"/>
          <w:szCs w:val="24"/>
        </w:rPr>
        <w:t xml:space="preserve">viewing of these SNVs across multiple individuals. </w:t>
      </w:r>
    </w:p>
    <w:p w:rsidR="00253107" w:rsidRDefault="00253107"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8"/>
          <w:pgSz w:w="12240" w:h="15840"/>
          <w:pgMar w:top="1440" w:right="1440" w:bottom="1440" w:left="1440" w:header="720" w:footer="720" w:gutter="0"/>
          <w:cols w:space="720"/>
          <w:docGrid w:linePitch="360"/>
        </w:sect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useful, in terms of functionally annotating personal genomes, for identifying cis-regulatory variants on a large scale.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Early high throughput implementations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employed microarray technologies, and thus are restricted to a </w:t>
      </w:r>
      <w:r>
        <w:rPr>
          <w:rFonts w:ascii="Times New Roman" w:hAnsi="Times New Roman" w:cs="Times New Roman"/>
          <w:sz w:val="24"/>
          <w:szCs w:val="24"/>
        </w:rPr>
        <w:t xml:space="preserve">small </w:t>
      </w:r>
      <w:r w:rsidRPr="00635F82">
        <w:rPr>
          <w:rFonts w:ascii="Times New Roman" w:hAnsi="Times New Roman" w:cs="Times New Roman"/>
          <w:sz w:val="24"/>
          <w:szCs w:val="24"/>
        </w:rPr>
        <w:t>subset of loci.</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Later studies have used ChIP-seq and RNA-seq experiments for genome-wide </w:t>
      </w:r>
      <w:r>
        <w:rPr>
          <w:rFonts w:ascii="Times New Roman" w:hAnsi="Times New Roman" w:cs="Times New Roman"/>
          <w:sz w:val="24"/>
          <w:szCs w:val="24"/>
        </w:rPr>
        <w:t xml:space="preserve">measurements </w:t>
      </w:r>
      <w:r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but have been mostly limited to a single assay with a variety of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or a few individuals with deeply-sequenced and well-annotated genomes.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Pr>
          <w:rFonts w:ascii="Times New Roman" w:hAnsi="Times New Roman" w:cs="Times New Roman"/>
          <w:sz w:val="24"/>
          <w:szCs w:val="24"/>
        </w:rPr>
        <w:t xml:space="preserve">for </w:t>
      </w:r>
      <w:r w:rsidRPr="00635F82">
        <w:rPr>
          <w:rFonts w:ascii="Times New Roman" w:hAnsi="Times New Roman" w:cs="Times New Roman"/>
          <w:sz w:val="24"/>
          <w:szCs w:val="24"/>
        </w:rPr>
        <w:t>more than 50 transcription factors (TFs) distributed</w:t>
      </w:r>
      <w:r>
        <w:rPr>
          <w:rFonts w:ascii="Times New Roman" w:hAnsi="Times New Roman" w:cs="Times New Roman"/>
          <w:sz w:val="24"/>
          <w:szCs w:val="24"/>
        </w:rPr>
        <w:t xml:space="preserve"> across multiple studies</w:t>
      </w:r>
      <w:r w:rsidRPr="00635F82">
        <w:rPr>
          <w:rFonts w:ascii="Times New Roman" w:hAnsi="Times New Roman" w:cs="Times New Roman"/>
          <w:sz w:val="24"/>
          <w:szCs w:val="24"/>
        </w:rPr>
        <w:t>.</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ASB-ASE coordination</w:t>
      </w:r>
      <w:r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RNA-seq and ChIP-seq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r w:rsidR="00416F3A" w:rsidRPr="00416F3A">
        <w:rPr>
          <w:rFonts w:ascii="Times New Roman" w:hAnsi="Times New Roman" w:cs="Times New Roman"/>
          <w:color w:val="FF0000"/>
          <w:sz w:val="24"/>
          <w:szCs w:val="24"/>
        </w:rPr>
        <w:t xml:space="preserve">Supp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In addition, 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r w:rsidR="00BD3122">
        <w:rPr>
          <w:rFonts w:ascii="Times New Roman" w:hAnsi="Times New Roman" w:cs="Times New Roman"/>
          <w:sz w:val="24"/>
          <w:szCs w:val="24"/>
        </w:rPr>
        <w:t xml:space="preserve">also sensitive to the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 xml:space="preserve">RNA-seq and ChIP-seq experiments, such </w:t>
      </w:r>
      <w:r w:rsidR="00BD3122">
        <w:rPr>
          <w:rFonts w:ascii="Times New Roman" w:hAnsi="Times New Roman" w:cs="Times New Roman"/>
          <w:sz w:val="24"/>
          <w:szCs w:val="24"/>
        </w:rPr>
        <w:t xml:space="preserve">as thresholding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 xml:space="preserve">For example, homozygous SNVs incorrectly called as heterozygous will result in reads mapping to one allele (over the other), giving rise to false signals of allelic imbalance. Variants called using shorter reads such as those in RNA-seq datasets can also contain many artefacts. Thus, it is important to have a call set, particularly obtained from whole genome DNA sequencing, such as the 1000 Genomes Project. Also, </w:t>
      </w:r>
      <w:r w:rsidR="00BD3122" w:rsidRPr="00843FA2">
        <w:rPr>
          <w:rFonts w:ascii="Times New Roman" w:hAnsi="Times New Roman" w:cs="Times New Roman"/>
          <w:sz w:val="24"/>
          <w:szCs w:val="24"/>
        </w:rPr>
        <w:t>allele-</w:t>
      </w:r>
      <w:r w:rsidR="00BD3122" w:rsidRPr="00843FA2">
        <w:rPr>
          <w:rFonts w:ascii="Times New Roman" w:hAnsi="Times New Roman" w:cs="Times New Roman"/>
          <w:sz w:val="24"/>
          <w:szCs w:val="24"/>
        </w:rPr>
        <w:lastRenderedPageBreak/>
        <w:t>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categories of coding and non-coding genomic annotations</w:t>
      </w:r>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 in a resource, AlleleDB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AlleleDB Workflow</w:t>
      </w:r>
    </w:p>
    <w:p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r w:rsidR="00FC3C12">
        <w:rPr>
          <w:rFonts w:ascii="Times New Roman" w:hAnsi="Times New Roman" w:cs="Times New Roman"/>
          <w:sz w:val="24"/>
          <w:szCs w:val="24"/>
        </w:rPr>
        <w:t xml:space="preserve">AlleleDB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reads from either the ChIP</w:t>
      </w:r>
      <w:r w:rsidR="00672EBC" w:rsidRPr="00635F82">
        <w:rPr>
          <w:rFonts w:ascii="Times New Roman" w:hAnsi="Times New Roman" w:cs="Times New Roman"/>
          <w:sz w:val="24"/>
          <w:szCs w:val="24"/>
        </w:rPr>
        <w:t xml:space="preserve">-seq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-seq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ChIP-seq or RNA-seq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ChIP-seq or RNA-seq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r w:rsidR="00931B6E">
        <w:rPr>
          <w:rFonts w:ascii="Times New Roman" w:hAnsi="Times New Roman" w:cs="Times New Roman"/>
          <w:sz w:val="24"/>
          <w:szCs w:val="24"/>
        </w:rPr>
        <w:t xml:space="preserve">genome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r w:rsidR="00931B6E">
        <w:rPr>
          <w:rFonts w:ascii="Times New Roman" w:hAnsi="Times New Roman" w:cs="Times New Roman"/>
          <w:sz w:val="24"/>
          <w:szCs w:val="24"/>
        </w:rPr>
        <w:t>In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94743C">
        <w:rPr>
          <w:rFonts w:ascii="Times New Roman" w:hAnsi="Times New Roman" w:cs="Times New Roman"/>
          <w:sz w:val="24"/>
          <w:szCs w:val="24"/>
        </w:rPr>
        <w:t>276</w:t>
      </w:r>
      <w:r w:rsidR="00AE7938" w:rsidRPr="00757A54">
        <w:rPr>
          <w:rFonts w:ascii="Times New Roman" w:hAnsi="Times New Roman" w:cs="Times New Roman"/>
          <w:sz w:val="24"/>
          <w:szCs w:val="24"/>
        </w:rPr>
        <w:t xml:space="preserve"> ChIP-seq and </w:t>
      </w:r>
      <w:r w:rsidR="0094743C">
        <w:rPr>
          <w:rFonts w:ascii="Times New Roman" w:hAnsi="Times New Roman" w:cs="Times New Roman"/>
          <w:sz w:val="24"/>
          <w:szCs w:val="24"/>
        </w:rPr>
        <w:t xml:space="preserve">987 </w:t>
      </w:r>
      <w:r w:rsidR="00AE7938">
        <w:rPr>
          <w:rFonts w:ascii="Times New Roman" w:hAnsi="Times New Roman" w:cs="Times New Roman"/>
          <w:sz w:val="24"/>
          <w:szCs w:val="24"/>
        </w:rPr>
        <w:t>RNA-seq datasets to calculate a measure</w:t>
      </w:r>
      <w:r w:rsidR="00825561">
        <w:rPr>
          <w:rFonts w:ascii="Times New Roman" w:hAnsi="Times New Roman" w:cs="Times New Roman"/>
          <w:sz w:val="24"/>
          <w:szCs w:val="24"/>
        </w:rPr>
        <w:t xml:space="preserve"> of over</w:t>
      </w:r>
      <w:r w:rsidR="00AE7938">
        <w:rPr>
          <w:rFonts w:ascii="Times New Roman" w:hAnsi="Times New Roman" w:cs="Times New Roman"/>
          <w:sz w:val="24"/>
          <w:szCs w:val="24"/>
        </w:rPr>
        <w:t>dispersion</w:t>
      </w:r>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over</w:t>
      </w:r>
      <w:r w:rsidR="00AE7938">
        <w:rPr>
          <w:rFonts w:ascii="Times New Roman" w:hAnsi="Times New Roman" w:cs="Times New Roman"/>
          <w:sz w:val="24"/>
          <w:szCs w:val="24"/>
        </w:rPr>
        <w:t>dispersion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overdispersion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AE7938">
        <w:rPr>
          <w:rFonts w:ascii="Times New Roman" w:hAnsi="Times New Roman" w:cs="Times New Roman"/>
          <w:sz w:val="24"/>
          <w:szCs w:val="24"/>
        </w:rPr>
        <w:t xml:space="preserve">RNA-seq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overdispersion </w:t>
      </w:r>
      <w:r w:rsidR="00AE7938">
        <w:rPr>
          <w:rFonts w:ascii="Times New Roman" w:hAnsi="Times New Roman" w:cs="Times New Roman"/>
          <w:sz w:val="24"/>
          <w:szCs w:val="24"/>
        </w:rPr>
        <w:t>than ChIP-seq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overdispersion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r w:rsidR="009C7FD5">
        <w:rPr>
          <w:rFonts w:ascii="Times New Roman" w:hAnsi="Times New Roman" w:cs="Times New Roman"/>
          <w:sz w:val="24"/>
          <w:szCs w:val="24"/>
        </w:rPr>
        <w:t>set aside</w:t>
      </w:r>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r w:rsidR="00E25CB9" w:rsidRPr="00AB13FB">
        <w:rPr>
          <w:rFonts w:ascii="Times New Roman" w:hAnsi="Times New Roman" w:cs="Times New Roman"/>
          <w:sz w:val="24"/>
          <w:szCs w:val="24"/>
        </w:rPr>
        <w:t xml:space="preserve"> ChIP-seq and 955 RNA-seq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r w:rsidR="00E25CB9" w:rsidRPr="00AB13FB">
        <w:rPr>
          <w:rFonts w:ascii="Times New Roman" w:hAnsi="Times New Roman" w:cs="Times New Roman"/>
          <w:color w:val="FF0000"/>
          <w:sz w:val="24"/>
          <w:szCs w:val="24"/>
        </w:rPr>
        <w:t xml:space="preserve">Supp Table </w:t>
      </w:r>
      <w:r w:rsidR="007129F3">
        <w:rPr>
          <w:rFonts w:ascii="Times New Roman" w:hAnsi="Times New Roman" w:cs="Times New Roman"/>
          <w:color w:val="FF0000"/>
          <w:sz w:val="24"/>
          <w:szCs w:val="24"/>
        </w:rPr>
        <w:t>2</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The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r w:rsidR="00851B4E" w:rsidRPr="00AB13FB">
        <w:rPr>
          <w:rFonts w:ascii="Times New Roman" w:hAnsi="Times New Roman" w:cs="Times New Roman"/>
          <w:sz w:val="24"/>
          <w:szCs w:val="24"/>
        </w:rPr>
        <w:t xml:space="preserve">ChIP-seq and </w:t>
      </w:r>
      <w:r w:rsidR="009C7FD5">
        <w:rPr>
          <w:rFonts w:ascii="Times New Roman" w:hAnsi="Times New Roman" w:cs="Times New Roman"/>
          <w:sz w:val="24"/>
          <w:szCs w:val="24"/>
        </w:rPr>
        <w:t xml:space="preserve">955 </w:t>
      </w:r>
      <w:r w:rsidR="00851B4E" w:rsidRPr="00AB13FB">
        <w:rPr>
          <w:rFonts w:ascii="Times New Roman" w:hAnsi="Times New Roman" w:cs="Times New Roman"/>
          <w:sz w:val="24"/>
          <w:szCs w:val="24"/>
        </w:rPr>
        <w:t>RNA-seq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t been filtered in Step 2a. The pooling</w:t>
      </w:r>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transcription factor (for ChIP-seq)</w:t>
      </w:r>
      <w:r w:rsidR="009C7FD5">
        <w:rPr>
          <w:rFonts w:ascii="Times New Roman" w:hAnsi="Times New Roman" w:cs="Times New Roman"/>
          <w:sz w:val="24"/>
          <w:szCs w:val="24"/>
        </w:rPr>
        <w:t>; e.g. ChIP-seq datasets for CTCF for NA12878 that were not filtered were pooled together</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overdispersion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r w:rsidR="00787002">
        <w:rPr>
          <w:rFonts w:ascii="Times New Roman" w:hAnsi="Times New Roman" w:cs="Times New Roman"/>
          <w:sz w:val="24"/>
          <w:szCs w:val="24"/>
        </w:rPr>
        <w:t>overdispersion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ChIP-seq data, the SNVs are further pared down to those within </w:t>
      </w:r>
      <w:r w:rsidR="00672EBC" w:rsidRPr="00E562C5">
        <w:rPr>
          <w:rFonts w:ascii="Times New Roman" w:hAnsi="Times New Roman" w:cs="Times New Roman"/>
          <w:sz w:val="24"/>
          <w:szCs w:val="24"/>
        </w:rPr>
        <w:lastRenderedPageBreak/>
        <w:t>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ChIP-seq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Supp Table </w:t>
      </w:r>
      <w:r w:rsidR="007129F3">
        <w:rPr>
          <w:rFonts w:ascii="Times New Roman" w:hAnsi="Times New Roman" w:cs="Times New Roman"/>
          <w:color w:val="FF0000"/>
          <w:sz w:val="24"/>
          <w:szCs w:val="24"/>
        </w:rPr>
        <w:t>3</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Using the AlleleDB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ASE and</w:t>
      </w:r>
      <w:r w:rsidR="00923985">
        <w:rPr>
          <w:rFonts w:ascii="Times New Roman" w:hAnsi="Times New Roman" w:cs="Times New Roman"/>
          <w:sz w:val="24"/>
          <w:szCs w:val="24"/>
        </w:rPr>
        <w:t xml:space="preserve"> 7,462 ASB SNVs, representing 16% and 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9A5194">
        <w:rPr>
          <w:rFonts w:ascii="Times New Roman" w:hAnsi="Times New Roman" w:cs="Times New Roman"/>
          <w:sz w:val="24"/>
          <w:szCs w:val="24"/>
        </w:rPr>
        <w:t xml:space="preserve">15% of our candidate ASE SNVs and 3%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p>
    <w:p w:rsidR="00C353A9" w:rsidRDefault="00C353A9" w:rsidP="00674E09">
      <w:pPr>
        <w:spacing w:after="0" w:line="240" w:lineRule="auto"/>
        <w:rPr>
          <w:rFonts w:ascii="Times New Roman" w:hAnsi="Times New Roman" w:cs="Times New Roman"/>
          <w:sz w:val="24"/>
          <w:szCs w:val="24"/>
        </w:rPr>
      </w:pPr>
    </w:p>
    <w:p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r w:rsidR="003634B4">
        <w:rPr>
          <w:rFonts w:ascii="Times New Roman" w:hAnsi="Times New Roman" w:cs="Times New Roman"/>
          <w:sz w:val="24"/>
          <w:szCs w:val="24"/>
        </w:rPr>
        <w:t xml:space="preserve">pooled </w:t>
      </w:r>
      <w:r w:rsidR="00C353A9" w:rsidRPr="00E562C5">
        <w:rPr>
          <w:rFonts w:ascii="Times New Roman" w:hAnsi="Times New Roman" w:cs="Times New Roman"/>
          <w:sz w:val="24"/>
          <w:szCs w:val="24"/>
        </w:rPr>
        <w:t>ChIP-seq (grouped by individual and TF, not by study</w:t>
      </w:r>
      <w:r w:rsidR="00C353A9">
        <w:rPr>
          <w:rFonts w:ascii="Times New Roman" w:hAnsi="Times New Roman" w:cs="Times New Roman"/>
          <w:sz w:val="24"/>
          <w:szCs w:val="24"/>
        </w:rPr>
        <w:t xml:space="preserve">) or RNA-seq dataset </w:t>
      </w:r>
      <w:r w:rsidR="00EA5BDE">
        <w:rPr>
          <w:rFonts w:ascii="Times New Roman" w:hAnsi="Times New Roman" w:cs="Times New Roman"/>
          <w:sz w:val="24"/>
          <w:szCs w:val="24"/>
        </w:rPr>
        <w:t xml:space="preserve">(grouped by individual) </w:t>
      </w:r>
      <w:r w:rsidR="00C353A9">
        <w:rPr>
          <w:rFonts w:ascii="Times New Roman" w:hAnsi="Times New Roman" w:cs="Times New Roman"/>
          <w:sz w:val="24"/>
          <w:szCs w:val="24"/>
        </w:rPr>
        <w:t>(</w:t>
      </w:r>
      <w:r w:rsidR="00D16AFF" w:rsidRPr="00DB4A01">
        <w:rPr>
          <w:rFonts w:ascii="Times New Roman" w:hAnsi="Times New Roman" w:cs="Times New Roman"/>
          <w:color w:val="FF0000"/>
          <w:sz w:val="24"/>
          <w:szCs w:val="24"/>
        </w:rPr>
        <w:t xml:space="preserve">Supp File </w:t>
      </w:r>
      <w:r w:rsidR="00D16AFF">
        <w:rPr>
          <w:rFonts w:ascii="Times New Roman" w:hAnsi="Times New Roman" w:cs="Times New Roman"/>
          <w:color w:val="FF0000"/>
          <w:sz w:val="24"/>
          <w:szCs w:val="24"/>
        </w:rPr>
        <w:t>7</w:t>
      </w:r>
      <w:r w:rsidR="00C353A9">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5572C3"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(or depletion)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73700A">
        <w:rPr>
          <w:rFonts w:ascii="Times New Roman" w:hAnsi="Times New Roman" w:cs="Times New Roman"/>
          <w:sz w:val="24"/>
          <w:szCs w:val="24"/>
        </w:rPr>
        <w:t>Enrichment analyses are performed i</w:t>
      </w:r>
      <w:r w:rsidRPr="00E562C5">
        <w:rPr>
          <w:rFonts w:ascii="Times New Roman" w:hAnsi="Times New Roman" w:cs="Times New Roman"/>
          <w:sz w:val="24"/>
          <w:szCs w:val="24"/>
        </w:rPr>
        <w:t xml:space="preserve">n </w:t>
      </w:r>
      <w:r w:rsidR="00B76A9E">
        <w:rPr>
          <w:rFonts w:ascii="Times New Roman" w:hAnsi="Times New Roman" w:cs="Times New Roman"/>
          <w:sz w:val="24"/>
          <w:szCs w:val="24"/>
        </w:rPr>
        <w:t>genomic annotations</w:t>
      </w:r>
      <w:r w:rsidR="00FE6817">
        <w:rPr>
          <w:rFonts w:ascii="Times New Roman" w:hAnsi="Times New Roman" w:cs="Times New Roman"/>
          <w:sz w:val="24"/>
          <w:szCs w:val="24"/>
        </w:rPr>
        <w:t xml:space="preserve"> (or categories) </w:t>
      </w:r>
      <w:r w:rsidR="0073700A">
        <w:rPr>
          <w:rFonts w:ascii="Times New Roman" w:hAnsi="Times New Roman" w:cs="Times New Roman"/>
          <w:sz w:val="24"/>
          <w:szCs w:val="24"/>
        </w:rPr>
        <w:t>with differing granularities</w:t>
      </w:r>
      <w:r w:rsidR="005572C3">
        <w:rPr>
          <w:rFonts w:ascii="Times New Roman" w:hAnsi="Times New Roman" w:cs="Times New Roman"/>
          <w:sz w:val="24"/>
          <w:szCs w:val="24"/>
        </w:rPr>
        <w:t>, from broad genomic categories to individual genes</w:t>
      </w:r>
      <w:r w:rsidR="0027182C">
        <w:rPr>
          <w:rFonts w:ascii="Times New Roman" w:hAnsi="Times New Roman" w:cs="Times New Roman"/>
          <w:sz w:val="24"/>
          <w:szCs w:val="24"/>
        </w:rPr>
        <w:t>.</w:t>
      </w:r>
      <w:r w:rsidR="00EF0E23">
        <w:rPr>
          <w:rFonts w:ascii="Times New Roman" w:hAnsi="Times New Roman" w:cs="Times New Roman"/>
          <w:sz w:val="24"/>
          <w:szCs w:val="24"/>
        </w:rPr>
        <w:t xml:space="preserve"> </w:t>
      </w:r>
    </w:p>
    <w:p w:rsidR="005572C3" w:rsidRDefault="005572C3" w:rsidP="00674E09">
      <w:pPr>
        <w:spacing w:after="0" w:line="240" w:lineRule="auto"/>
        <w:rPr>
          <w:rFonts w:ascii="Times New Roman" w:hAnsi="Times New Roman" w:cs="Times New Roman"/>
          <w:sz w:val="24"/>
          <w:szCs w:val="24"/>
        </w:rPr>
      </w:pPr>
    </w:p>
    <w:p w:rsidR="00360FE5" w:rsidRDefault="005572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r w:rsidR="00360FE5" w:rsidRPr="00E562C5">
        <w:rPr>
          <w:rFonts w:ascii="Times New Roman" w:hAnsi="Times New Roman" w:cs="Times New Roman"/>
          <w:sz w:val="24"/>
          <w:szCs w:val="24"/>
        </w:rPr>
        <w:t>DNaseI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known to be involved in monoallelic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360FE5">
        <w:rPr>
          <w:rFonts w:ascii="Times New Roman" w:hAnsi="Times New Roman" w:cs="Times New Roman"/>
          <w:sz w:val="24"/>
          <w:szCs w:val="24"/>
        </w:rPr>
        <w:t xml:space="preserve">From </w:t>
      </w:r>
      <w:r w:rsidR="00360FE5">
        <w:rPr>
          <w:rFonts w:ascii="Times New Roman" w:hAnsi="Times New Roman" w:cs="Times New Roman"/>
          <w:color w:val="FF0000"/>
          <w:sz w:val="24"/>
          <w:szCs w:val="24"/>
        </w:rPr>
        <w:t>708</w:t>
      </w:r>
      <w:r w:rsidR="00360FE5" w:rsidRPr="00BA40D7">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non-coding categories, we observed statistical significance (Bonfer</w:t>
      </w:r>
      <w:r w:rsidR="00360FE5">
        <w:rPr>
          <w:rFonts w:ascii="Times New Roman" w:hAnsi="Times New Roman" w:cs="Times New Roman"/>
          <w:sz w:val="24"/>
          <w:szCs w:val="24"/>
        </w:rPr>
        <w:t>r</w:t>
      </w:r>
      <w:r w:rsidR="00360FE5" w:rsidRPr="00E562C5">
        <w:rPr>
          <w:rFonts w:ascii="Times New Roman" w:hAnsi="Times New Roman" w:cs="Times New Roman"/>
          <w:sz w:val="24"/>
          <w:szCs w:val="24"/>
        </w:rPr>
        <w:t xml:space="preserve">oni-corrected p </w:t>
      </w:r>
      <w:r w:rsidR="00360FE5">
        <w:rPr>
          <w:rFonts w:ascii="Times New Roman" w:hAnsi="Times New Roman" w:cs="Times New Roman"/>
          <w:sz w:val="24"/>
          <w:szCs w:val="24"/>
        </w:rPr>
        <w:t>≤</w:t>
      </w:r>
      <w:r w:rsidR="00360FE5" w:rsidRPr="00E562C5">
        <w:rPr>
          <w:rFonts w:ascii="Times New Roman" w:hAnsi="Times New Roman" w:cs="Times New Roman"/>
          <w:sz w:val="24"/>
          <w:szCs w:val="24"/>
        </w:rPr>
        <w:t xml:space="preserve"> 0.05) for </w:t>
      </w:r>
      <w:r w:rsidR="00360FE5">
        <w:rPr>
          <w:rFonts w:ascii="Times New Roman" w:hAnsi="Times New Roman" w:cs="Times New Roman"/>
          <w:color w:val="FF0000"/>
          <w:sz w:val="24"/>
          <w:szCs w:val="24"/>
        </w:rPr>
        <w:t>201</w:t>
      </w:r>
      <w:r w:rsidR="00360FE5" w:rsidRPr="0004145F">
        <w:rPr>
          <w:rFonts w:ascii="Times New Roman" w:hAnsi="Times New Roman" w:cs="Times New Roman"/>
          <w:color w:val="FF0000"/>
          <w:sz w:val="24"/>
          <w:szCs w:val="24"/>
        </w:rPr>
        <w:t xml:space="preserve"> </w:t>
      </w:r>
      <w:r w:rsidR="00360FE5" w:rsidRPr="00E562C5">
        <w:rPr>
          <w:rFonts w:ascii="Times New Roman" w:hAnsi="Times New Roman" w:cs="Times New Roman"/>
          <w:sz w:val="24"/>
          <w:szCs w:val="24"/>
        </w:rPr>
        <w:t xml:space="preserve">and </w:t>
      </w:r>
      <w:r w:rsidR="00360FE5">
        <w:rPr>
          <w:rFonts w:ascii="Times New Roman" w:hAnsi="Times New Roman" w:cs="Times New Roman"/>
          <w:color w:val="FF0000"/>
          <w:sz w:val="24"/>
          <w:szCs w:val="24"/>
        </w:rPr>
        <w:t>320</w:t>
      </w:r>
      <w:r w:rsidR="00360FE5" w:rsidRPr="00E562C5">
        <w:rPr>
          <w:rFonts w:ascii="Times New Roman" w:hAnsi="Times New Roman" w:cs="Times New Roman"/>
          <w:sz w:val="24"/>
          <w:szCs w:val="24"/>
        </w:rPr>
        <w:t xml:space="preserve"> categories for ASB and ASE SNVs respectively</w:t>
      </w:r>
      <w:r w:rsidR="00360FE5">
        <w:rPr>
          <w:rFonts w:ascii="Times New Roman" w:hAnsi="Times New Roman" w:cs="Times New Roman"/>
          <w:sz w:val="24"/>
          <w:szCs w:val="24"/>
        </w:rPr>
        <w:t xml:space="preserve"> (</w:t>
      </w:r>
      <w:r w:rsidR="00360FE5" w:rsidRPr="0004145F">
        <w:rPr>
          <w:rFonts w:ascii="Times New Roman" w:hAnsi="Times New Roman" w:cs="Times New Roman"/>
          <w:color w:val="FF0000"/>
          <w:sz w:val="24"/>
          <w:szCs w:val="24"/>
        </w:rPr>
        <w:t xml:space="preserve">Supp file </w:t>
      </w:r>
      <w:r w:rsidR="00360FE5">
        <w:rPr>
          <w:rFonts w:ascii="Times New Roman" w:hAnsi="Times New Roman" w:cs="Times New Roman"/>
          <w:color w:val="FF0000"/>
          <w:sz w:val="24"/>
          <w:szCs w:val="24"/>
        </w:rPr>
        <w:t>1</w:t>
      </w:r>
      <w:r w:rsidR="00360FE5" w:rsidRPr="00E562C5">
        <w:rPr>
          <w:rFonts w:ascii="Times New Roman" w:hAnsi="Times New Roman" w:cs="Times New Roman"/>
          <w:sz w:val="24"/>
          <w:szCs w:val="24"/>
        </w:rPr>
        <w:t>).</w:t>
      </w:r>
      <w:r w:rsidR="00360FE5">
        <w:rPr>
          <w:rFonts w:ascii="Times New Roman" w:hAnsi="Times New Roman" w:cs="Times New Roman"/>
          <w:sz w:val="24"/>
          <w:szCs w:val="24"/>
        </w:rPr>
        <w:t xml:space="preserve"> For the MAE gene sets, most of them </w:t>
      </w:r>
      <w:r w:rsidR="00B76A9E" w:rsidRPr="00E562C5">
        <w:rPr>
          <w:rFonts w:ascii="Times New Roman" w:hAnsi="Times New Roman" w:cs="Times New Roman"/>
          <w:sz w:val="24"/>
          <w:szCs w:val="24"/>
        </w:rPr>
        <w:t>have been found to be significantly en</w:t>
      </w:r>
      <w:r w:rsidR="00B76A9E">
        <w:rPr>
          <w:rFonts w:ascii="Times New Roman" w:hAnsi="Times New Roman" w:cs="Times New Roman"/>
          <w:sz w:val="24"/>
          <w:szCs w:val="24"/>
        </w:rPr>
        <w:t>riched in both ASB and ASE SNVs (except for ASB SNVs in MHC)</w:t>
      </w:r>
      <w:r w:rsidR="00B76A9E" w:rsidRPr="00E562C5">
        <w:rPr>
          <w:rFonts w:ascii="Times New Roman" w:hAnsi="Times New Roman" w:cs="Times New Roman"/>
          <w:sz w:val="24"/>
          <w:szCs w:val="24"/>
        </w:rPr>
        <w:t xml:space="preserve">. We include a list of genes found to experience random monoallelic expression (RME) in a study by Gimelbrant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w:t>
      </w:r>
      <w:r w:rsidR="00B76A9E" w:rsidRPr="00E562C5">
        <w:rPr>
          <w:rFonts w:ascii="Times New Roman" w:hAnsi="Times New Roman" w:cs="Times New Roman"/>
          <w:sz w:val="24"/>
          <w:szCs w:val="24"/>
        </w:rPr>
        <w:t xml:space="preserve"> </w:t>
      </w:r>
      <w:r w:rsidR="00B76A9E">
        <w:rPr>
          <w:rFonts w:ascii="Times New Roman" w:hAnsi="Times New Roman" w:cs="Times New Roman"/>
          <w:sz w:val="24"/>
          <w:szCs w:val="24"/>
        </w:rPr>
        <w:t xml:space="preserve">and we show that the category is only enriched in ASE SNVs.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76A9E" w:rsidRPr="007F0E76">
        <w:rPr>
          <w:rFonts w:ascii="Times New Roman" w:hAnsi="Times New Roman" w:cs="Times New Roman"/>
          <w:color w:val="FF0000"/>
          <w:sz w:val="24"/>
          <w:szCs w:val="24"/>
        </w:rPr>
        <w:t>Figure 4</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rsidR="00360FE5" w:rsidRDefault="00360FE5" w:rsidP="00674E09">
      <w:pPr>
        <w:spacing w:after="0" w:line="240" w:lineRule="auto"/>
        <w:rPr>
          <w:rFonts w:ascii="Times New Roman" w:hAnsi="Times New Roman" w:cs="Times New Roman"/>
          <w:sz w:val="24"/>
          <w:szCs w:val="24"/>
        </w:rPr>
      </w:pPr>
    </w:p>
    <w:p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r>
        <w:rPr>
          <w:rFonts w:ascii="Times New Roman" w:hAnsi="Times New Roman" w:cs="Times New Roman"/>
          <w:color w:val="FF0000"/>
          <w:sz w:val="24"/>
          <w:szCs w:val="24"/>
        </w:rPr>
        <w:t>Supp</w:t>
      </w:r>
      <w:r w:rsidRPr="0004145F">
        <w:rPr>
          <w:rFonts w:ascii="Times New Roman" w:hAnsi="Times New Roman" w:cs="Times New Roman"/>
          <w:color w:val="FF0000"/>
          <w:sz w:val="24"/>
          <w:szCs w:val="24"/>
        </w:rPr>
        <w:t xml:space="preserve"> file 2</w:t>
      </w:r>
      <w:r w:rsidRPr="00E562C5">
        <w:rPr>
          <w:rFonts w:ascii="Times New Roman" w:hAnsi="Times New Roman" w:cs="Times New Roman"/>
          <w:sz w:val="24"/>
          <w:szCs w:val="24"/>
        </w:rPr>
        <w:t xml:space="preserve">). </w:t>
      </w:r>
      <w:r w:rsidR="00AD1C5B">
        <w:rPr>
          <w:rFonts w:ascii="Times New Roman" w:hAnsi="Times New Roman" w:cs="Times New Roman"/>
          <w:sz w:val="24"/>
          <w:szCs w:val="24"/>
        </w:rPr>
        <w:t xml:space="preserve">The database is extremely useful in showing evidence of the allele-specific status of specific genes. In particular, the database allows us to visualize allele-specific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Pr="00D6478E">
        <w:rPr>
          <w:rFonts w:ascii="Times New Roman" w:hAnsi="Times New Roman" w:cs="Times New Roman"/>
          <w:sz w:val="24"/>
          <w:szCs w:val="24"/>
        </w:rPr>
        <w:t>is a maternally-imprinted gene, shown to be highly implicated in the Prader-Willi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FB54C1" w:rsidRPr="00D6478E">
        <w:rPr>
          <w:rFonts w:ascii="Times New Roman" w:hAnsi="Times New Roman" w:cs="Times New Roman"/>
          <w:sz w:val="24"/>
          <w:szCs w:val="24"/>
        </w:rPr>
        <w:t xml:space="preserve">it is one of </w:t>
      </w:r>
      <w:r w:rsidR="00DE2596" w:rsidRPr="00D6478E">
        <w:rPr>
          <w:rFonts w:ascii="Times New Roman" w:hAnsi="Times New Roman" w:cs="Times New Roman"/>
          <w:sz w:val="24"/>
          <w:szCs w:val="24"/>
        </w:rPr>
        <w:t xml:space="preserve">our most highly-ranked </w:t>
      </w:r>
      <w:r w:rsidR="00DE2596" w:rsidRPr="00D6478E">
        <w:rPr>
          <w:rFonts w:ascii="Times New Roman" w:hAnsi="Times New Roman" w:cs="Times New Roman"/>
          <w:sz w:val="24"/>
          <w:szCs w:val="24"/>
        </w:rPr>
        <w:t>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r w:rsidR="00FB54C1" w:rsidRPr="00D6478E">
        <w:rPr>
          <w:rFonts w:ascii="Times New Roman" w:hAnsi="Times New Roman" w:cs="Times New Roman"/>
          <w:color w:val="FF0000"/>
          <w:sz w:val="24"/>
          <w:szCs w:val="24"/>
        </w:rPr>
        <w:t>Supp file 2</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it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one variant even up to 169 individuals</w:t>
      </w:r>
      <w:r w:rsidR="00D6478E" w:rsidRPr="00D6478E">
        <w:rPr>
          <w:rFonts w:ascii="Times New Roman" w:hAnsi="Times New Roman" w:cs="Times New Roman"/>
          <w:sz w:val="24"/>
          <w:szCs w:val="24"/>
        </w:rPr>
        <w:t xml:space="preserve"> (</w:t>
      </w:r>
      <w:r w:rsidR="00D6478E"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4</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p>
    <w:p w:rsidR="000827C3" w:rsidRDefault="000827C3" w:rsidP="00674E09">
      <w:pPr>
        <w:spacing w:after="0" w:line="240" w:lineRule="auto"/>
        <w:rPr>
          <w:rFonts w:ascii="Times New Roman" w:hAnsi="Times New Roman" w:cs="Times New Roman"/>
          <w:sz w:val="24"/>
          <w:szCs w:val="24"/>
        </w:rPr>
      </w:pPr>
    </w:p>
    <w:p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r w:rsidR="00C3446A">
        <w:rPr>
          <w:rFonts w:ascii="Times New Roman" w:hAnsi="Times New Roman" w:cs="Times New Roman"/>
          <w:sz w:val="24"/>
          <w:szCs w:val="24"/>
        </w:rPr>
        <w:t>the enrichment</w:t>
      </w:r>
      <w:r w:rsidR="00C353A9" w:rsidRPr="00E562C5">
        <w:rPr>
          <w:rFonts w:ascii="Times New Roman" w:hAnsi="Times New Roman" w:cs="Times New Roman"/>
          <w:sz w:val="24"/>
          <w:szCs w:val="24"/>
        </w:rPr>
        <w:t xml:space="preserve"> analysis to gene elements, such as introns and promoter regions and </w:t>
      </w:r>
      <w:r w:rsidR="001D273D">
        <w:rPr>
          <w:rFonts w:ascii="Times New Roman" w:hAnsi="Times New Roman" w:cs="Times New Roman"/>
          <w:sz w:val="24"/>
          <w:szCs w:val="24"/>
        </w:rPr>
        <w:t>seven</w:t>
      </w:r>
      <w:r w:rsidR="00C353A9" w:rsidRPr="00E562C5">
        <w:rPr>
          <w:rFonts w:ascii="Times New Roman" w:hAnsi="Times New Roman" w:cs="Times New Roman"/>
          <w:sz w:val="24"/>
          <w:szCs w:val="24"/>
        </w:rPr>
        <w:t xml:space="preserve"> other gene categories, including h</w:t>
      </w:r>
      <w:r w:rsidR="00C353A9">
        <w:rPr>
          <w:rFonts w:ascii="Times New Roman" w:hAnsi="Times New Roman" w:cs="Times New Roman"/>
          <w:sz w:val="24"/>
          <w:szCs w:val="24"/>
        </w:rPr>
        <w:t>ousekeeping and imprinted genes.</w:t>
      </w:r>
      <w:r w:rsidR="00C353A9" w:rsidRPr="00E562C5">
        <w:rPr>
          <w:rFonts w:ascii="Times New Roman" w:hAnsi="Times New Roman" w:cs="Times New Roman"/>
          <w:sz w:val="24"/>
          <w:szCs w:val="24"/>
        </w:rPr>
        <w:t xml:space="preserve"> </w:t>
      </w:r>
      <w:r w:rsidR="005A41DB">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5</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In general, AS</w:t>
      </w:r>
      <w:r w:rsidR="005A41DB">
        <w:rPr>
          <w:rFonts w:ascii="Times New Roman" w:hAnsi="Times New Roman" w:cs="Times New Roman"/>
          <w:sz w:val="24"/>
          <w:szCs w:val="24"/>
        </w:rPr>
        <w:t>E</w:t>
      </w:r>
      <w:r w:rsidR="0013626F" w:rsidRPr="00E562C5">
        <w:rPr>
          <w:rFonts w:ascii="Times New Roman" w:hAnsi="Times New Roman" w:cs="Times New Roman"/>
          <w:sz w:val="24"/>
          <w:szCs w:val="24"/>
        </w:rPr>
        <w:t xml:space="preserve"> SNVs are more likely found in the 5’ and 3’ UTRs, suggesting allele-specific regulatory roles </w:t>
      </w:r>
      <w:r w:rsidR="005A41DB">
        <w:rPr>
          <w:rFonts w:ascii="Times New Roman" w:hAnsi="Times New Roman" w:cs="Times New Roman"/>
          <w:sz w:val="24"/>
          <w:szCs w:val="24"/>
        </w:rPr>
        <w:t xml:space="preserve">in expression </w:t>
      </w:r>
      <w:r w:rsidR="0013626F" w:rsidRPr="00E562C5">
        <w:rPr>
          <w:rFonts w:ascii="Times New Roman" w:hAnsi="Times New Roman" w:cs="Times New Roman"/>
          <w:sz w:val="24"/>
          <w:szCs w:val="24"/>
        </w:rPr>
        <w:t xml:space="preserve">in these regions. On the other hand, intronic regions seem to exhibit a dearth of allele-specific regulation. For SNVs associated with allele-specific expression (ASE), a </w:t>
      </w:r>
      <w:r w:rsidR="00EB67E9">
        <w:rPr>
          <w:rFonts w:ascii="Times New Roman" w:hAnsi="Times New Roman" w:cs="Times New Roman"/>
          <w:sz w:val="24"/>
          <w:szCs w:val="24"/>
        </w:rPr>
        <w:t xml:space="preserve">slightly </w:t>
      </w:r>
      <w:r w:rsidR="0013626F" w:rsidRPr="00E562C5">
        <w:rPr>
          <w:rFonts w:ascii="Times New Roman" w:hAnsi="Times New Roman" w:cs="Times New Roman"/>
          <w:sz w:val="24"/>
          <w:szCs w:val="24"/>
        </w:rPr>
        <w:t>greater enrichment in 3’ UTR than 5’ UTR regions might be, in part, a result of known RNA-seq bias.</w:t>
      </w:r>
      <w:r w:rsidR="0013626F"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"10.1038/nrg2484", "ISSN" : "1471-0064", "PMID" : "19015660",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"1" ] ] }, "page" : "57-63", "title" : "RNA-Seq: a revolutionary tool for transcriptomics.", "type" : "article-journal", "volume" : "10" }, "uris" : [ "http://www.mendeley.com/documents/?uuid=aef55e13-8fbc-4b85-b8ee-70d3647075b7" ] }, { "id" : "ITEM-2", "itemData" : { "DOI" : "10.1126/science.1158441", "ISSN" : "1095-9203", "PMID" : "18451266", "abstract" : "The identification of untranslated regions, introns, and coding regions within an organism remains challenging. We developed a quantitative sequencing-based method called RNA-Seq for mapping transcribed regions, in which complementary DNA fragments are subjected to high-throughput sequencing and mapped to the genome. We applied RNA-Seq to generate a high-resolution transcriptome map of the yeast genome and demonstrated that most (74.5%) of the nonrepetitive sequence of the yeast genome is transcribed. We confirmed many known and predicted introns and demonstrated that others are not actively used. Alternative initiation codons and upstream open reading frames also were identified for many yeast genes. We also found unexpected 3'-end heterogeneity and the presence of many overlapping genes. These results indicate that the yeast transcriptome is more complex than previously appreciated.", "author" : [ { "dropping-particle" : "", "family" : "Nagalakshmi", "given" : "Ugrappa", "non-dropping-particle" : "", "parse-names" : false, "suffix" : "" }, { "dropping-particle" : "", "family" : "Wang", "given" : "Zhong", "non-dropping-particle" : "", "parse-names" : false, "suffix" : "" }, { "dropping-particle" : "", "family" : "Waern", "given" : "Karl", "non-dropping-particle" : "", "parse-names" : false, "suffix" : "" }, { "dropping-particle" : "", "family" : "Shou", "given" : "Chong", "non-dropping-particle" : "", "parse-names" : false, "suffix" : "" }, { "dropping-particle" : "", "family" : "Raha", "given" : "Debasish", "non-dropping-particle" : "", "parse-names" : false, "suffix" : "" }, { "dropping-particle" : "", "family" : "Gerstein", "given" : "Mark", "non-dropping-particle" : "", "parse-names" : false, "suffix" : "" }, { "dropping-particle" : "", "family" : "Snyder", "given" : "Michael", "non-dropping-particle" : "", "parse-names" : false, "suffix" : "" } ], "container-title" : "Science (New York, N.Y.)", "id" : "ITEM-2", "issue" : "5881", "issued" : { "date-parts" : [ [ "2008", "6", "6" ] ] }, "page" : "1344-9", "title" : "The transcriptional landscape of the yeast genome defined by RNA sequencing.", "type" : "article-journal", "volume" : "320" }, "uris" : [ "http://www.mendeley.com/documents/?uuid=9a6b64c6-8ab7-40ef-be43-a67bea9cfeb2" ] } ], "mendeley" : { "formattedCitation" : "&lt;sup&gt;34,35&lt;/sup&gt;", "plainTextFormattedCitation" : "34,35", "previouslyFormattedCitation" : "&lt;sup&gt;34,35&lt;/sup&gt;"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34,35</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For SNVs associated with allele-specific binding (ASB), w</w:t>
      </w:r>
      <w:r w:rsidR="00EB67E9">
        <w:rPr>
          <w:rFonts w:ascii="Times New Roman" w:hAnsi="Times New Roman" w:cs="Times New Roman"/>
          <w:sz w:val="24"/>
          <w:szCs w:val="24"/>
        </w:rPr>
        <w:t xml:space="preserve">e also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However, we see variable enrichments of ASB SNVs </w:t>
      </w:r>
      <w:r w:rsidR="00EB67E9">
        <w:rPr>
          <w:rFonts w:ascii="Times New Roman" w:hAnsi="Times New Roman" w:cs="Times New Roman"/>
          <w:sz w:val="24"/>
          <w:szCs w:val="24"/>
        </w:rPr>
        <w:t xml:space="preserve">in the peaks of </w:t>
      </w:r>
      <w:r w:rsidR="0013626F" w:rsidRPr="00E562C5">
        <w:rPr>
          <w:rFonts w:ascii="Times New Roman" w:hAnsi="Times New Roman" w:cs="Times New Roman"/>
          <w:sz w:val="24"/>
          <w:szCs w:val="24"/>
        </w:rPr>
        <w:t xml:space="preserve">particular TFs such as </w:t>
      </w:r>
      <w:r w:rsidR="00EB67E9">
        <w:rPr>
          <w:rFonts w:ascii="Times New Roman" w:hAnsi="Times New Roman" w:cs="Times New Roman"/>
          <w:sz w:val="24"/>
          <w:szCs w:val="24"/>
        </w:rPr>
        <w:t>POL2</w:t>
      </w:r>
      <w:r w:rsidR="00E32779">
        <w:rPr>
          <w:rFonts w:ascii="Times New Roman" w:hAnsi="Times New Roman" w:cs="Times New Roman"/>
          <w:sz w:val="24"/>
          <w:szCs w:val="24"/>
        </w:rPr>
        <w:t>,</w:t>
      </w:r>
      <w:r w:rsidR="00DC38AF">
        <w:rPr>
          <w:rFonts w:ascii="Times New Roman" w:hAnsi="Times New Roman" w:cs="Times New Roman"/>
          <w:sz w:val="24"/>
          <w:szCs w:val="24"/>
        </w:rPr>
        <w:t xml:space="preserve"> </w:t>
      </w:r>
      <w:r w:rsidR="00E32779">
        <w:rPr>
          <w:rFonts w:ascii="Times New Roman" w:hAnsi="Times New Roman" w:cs="Times New Roman"/>
          <w:sz w:val="24"/>
          <w:szCs w:val="24"/>
        </w:rPr>
        <w:t>SA1 and CTCF</w:t>
      </w:r>
      <w:r w:rsidR="00EB67E9">
        <w:rPr>
          <w:rFonts w:ascii="Times New Roman" w:hAnsi="Times New Roman" w:cs="Times New Roman"/>
          <w:sz w:val="24"/>
          <w:szCs w:val="24"/>
        </w:rPr>
        <w:t xml:space="preserve"> </w:t>
      </w:r>
      <w:r w:rsidR="00EB67E9" w:rsidRPr="00E562C5">
        <w:rPr>
          <w:rFonts w:ascii="Times New Roman" w:hAnsi="Times New Roman" w:cs="Times New Roman"/>
          <w:sz w:val="24"/>
          <w:szCs w:val="24"/>
        </w:rPr>
        <w:t>in promoter regions</w:t>
      </w:r>
      <w:r w:rsidR="0013626F" w:rsidRPr="00E562C5">
        <w:rPr>
          <w:rFonts w:ascii="Times New Roman" w:hAnsi="Times New Roman" w:cs="Times New Roman"/>
          <w:sz w:val="24"/>
          <w:szCs w:val="24"/>
        </w:rPr>
        <w:t>, while depletion in others, such as PU.1 (</w:t>
      </w:r>
      <w:r w:rsidR="00E32779" w:rsidRPr="00E32779">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5</w:t>
      </w:r>
      <w:r w:rsidR="00E32779" w:rsidRPr="00E32779">
        <w:rPr>
          <w:rFonts w:ascii="Times New Roman" w:hAnsi="Times New Roman" w:cs="Times New Roman"/>
          <w:color w:val="FF0000"/>
          <w:sz w:val="24"/>
          <w:szCs w:val="24"/>
        </w:rPr>
        <w:t>, Supp</w:t>
      </w:r>
      <w:r w:rsidR="0013626F" w:rsidRPr="00E32779">
        <w:rPr>
          <w:rFonts w:ascii="Times New Roman" w:hAnsi="Times New Roman" w:cs="Times New Roman"/>
          <w:color w:val="FF0000"/>
          <w:sz w:val="24"/>
          <w:szCs w:val="24"/>
        </w:rPr>
        <w:t xml:space="preserve"> file 3</w:t>
      </w:r>
      <w:r w:rsidR="0013626F" w:rsidRPr="00E562C5">
        <w:rPr>
          <w:rFonts w:ascii="Times New Roman" w:hAnsi="Times New Roman" w:cs="Times New Roman"/>
          <w:sz w:val="24"/>
          <w:szCs w:val="24"/>
        </w:rPr>
        <w:t xml:space="preserve">). These differences </w:t>
      </w:r>
      <w:r w:rsidR="00E32779">
        <w:rPr>
          <w:rFonts w:ascii="Times New Roman" w:hAnsi="Times New Roman" w:cs="Times New Roman"/>
          <w:sz w:val="24"/>
          <w:szCs w:val="24"/>
        </w:rPr>
        <w:t xml:space="preserve">might </w:t>
      </w:r>
      <w:r w:rsidR="0013626F" w:rsidRPr="00E562C5">
        <w:rPr>
          <w:rFonts w:ascii="Times New Roman" w:hAnsi="Times New Roman" w:cs="Times New Roman"/>
          <w:sz w:val="24"/>
          <w:szCs w:val="24"/>
        </w:rPr>
        <w:t>imply that some TFs are more likely to participate in allele-specific regulation than others.</w:t>
      </w:r>
      <w:r w:rsidR="001D273D">
        <w:rPr>
          <w:rFonts w:ascii="Times New Roman" w:hAnsi="Times New Roman" w:cs="Times New Roman"/>
          <w:sz w:val="24"/>
          <w:szCs w:val="24"/>
        </w:rPr>
        <w:t xml:space="preserve"> </w:t>
      </w:r>
      <w:r w:rsidR="00AA686A">
        <w:rPr>
          <w:rFonts w:ascii="Times New Roman" w:hAnsi="Times New Roman" w:cs="Times New Roman"/>
          <w:sz w:val="24"/>
          <w:szCs w:val="24"/>
        </w:rPr>
        <w:t xml:space="preserve">Overall in CDS regions, there is a general depletion of ASE SNVs but enrichment of ASB SNVs.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r w:rsidR="00EF0848">
        <w:rPr>
          <w:rFonts w:ascii="Times New Roman" w:hAnsi="Times New Roman" w:cs="Times New Roman"/>
          <w:sz w:val="24"/>
          <w:szCs w:val="24"/>
        </w:rPr>
        <w:t>F</w:t>
      </w:r>
      <w:r w:rsidR="00EF0848">
        <w:rPr>
          <w:rFonts w:ascii="Times New Roman" w:hAnsi="Times New Roman" w:cs="Times New Roman"/>
          <w:sz w:val="24"/>
          <w:szCs w:val="24"/>
        </w:rPr>
        <w:t>or each category of allele frequency</w:t>
      </w:r>
      <w:r w:rsidR="00EF0848">
        <w:rPr>
          <w:rFonts w:ascii="Times New Roman" w:hAnsi="Times New Roman" w:cs="Times New Roman"/>
          <w:sz w:val="24"/>
          <w:szCs w:val="24"/>
        </w:rPr>
        <w:t>, t</w:t>
      </w:r>
      <w:r w:rsidR="00EF0848">
        <w:rPr>
          <w:rFonts w:ascii="Times New Roman" w:hAnsi="Times New Roman" w:cs="Times New Roman"/>
          <w:sz w:val="24"/>
          <w:szCs w:val="24"/>
        </w:rPr>
        <w:t>he proportion of allele-specific SNVs detected (with respect to accessible SNVs)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w:t>
      </w:r>
      <w:r w:rsidR="00EF0848">
        <w:rPr>
          <w:rFonts w:ascii="Times New Roman" w:hAnsi="Times New Roman" w:cs="Times New Roman"/>
          <w:sz w:val="24"/>
          <w:szCs w:val="24"/>
        </w:rPr>
        <w:t>CEU, FIN, GBR, TSI and YRI</w:t>
      </w:r>
      <w:r w:rsidR="00EF0848">
        <w:rPr>
          <w:rFonts w:ascii="Times New Roman" w:hAnsi="Times New Roman" w:cs="Times New Roman"/>
          <w:sz w:val="24"/>
          <w:szCs w:val="24"/>
        </w:rPr>
        <w:t xml:space="preserve">),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w:t>
      </w:r>
      <w:r w:rsidR="00237FC0">
        <w:rPr>
          <w:rFonts w:ascii="Times New Roman" w:hAnsi="Times New Roman" w:cs="Times New Roman"/>
          <w:sz w:val="24"/>
          <w:szCs w:val="24"/>
        </w:rPr>
        <w:t xml:space="preserve">then </w:t>
      </w:r>
      <w:r w:rsidRPr="00E562C5">
        <w:rPr>
          <w:rFonts w:ascii="Times New Roman" w:hAnsi="Times New Roman" w:cs="Times New Roman"/>
          <w:sz w:val="24"/>
          <w:szCs w:val="24"/>
        </w:rPr>
        <w:t>consider the enrichment of rare variants with MAF ≤ 0.5%.</w:t>
      </w:r>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r w:rsidR="00307D80">
        <w:rPr>
          <w:rFonts w:ascii="Times New Roman" w:hAnsi="Times New Roman" w:cs="Times New Roman"/>
          <w:color w:val="FF0000"/>
          <w:sz w:val="24"/>
          <w:szCs w:val="24"/>
        </w:rPr>
        <w:t>Supp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6</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Default="00DD6562" w:rsidP="00674E09">
      <w:pPr>
        <w:spacing w:after="0" w:line="240" w:lineRule="auto"/>
        <w:rPr>
          <w:rFonts w:ascii="Times New Roman" w:hAnsi="Times New Roman" w:cs="Times New Roman"/>
          <w:b/>
          <w:color w:val="FF0000"/>
          <w:sz w:val="24"/>
          <w:szCs w:val="24"/>
          <w:u w:val="single"/>
        </w:rPr>
      </w:pPr>
    </w:p>
    <w:p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w:t>
      </w:r>
      <w:r w:rsidR="005E1C0C">
        <w:rPr>
          <w:rFonts w:ascii="Times New Roman" w:hAnsi="Times New Roman" w:cs="Times New Roman"/>
          <w:sz w:val="24"/>
          <w:szCs w:val="24"/>
        </w:rPr>
        <w:lastRenderedPageBreak/>
        <w:t xml:space="preserve">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r w:rsidR="001F6FE2" w:rsidRPr="001F6FE2">
        <w:rPr>
          <w:rFonts w:ascii="Times New Roman" w:hAnsi="Times New Roman" w:cs="Times New Roman"/>
          <w:color w:val="FF0000"/>
          <w:sz w:val="24"/>
          <w:szCs w:val="24"/>
        </w:rPr>
        <w:t>Supp File 4</w:t>
      </w:r>
      <w:r w:rsidR="001F6FE2">
        <w:rPr>
          <w:rFonts w:ascii="Times New Roman" w:hAnsi="Times New Roman" w:cs="Times New Roman"/>
          <w:sz w:val="24"/>
          <w:szCs w:val="24"/>
        </w:rPr>
        <w:t>)</w:t>
      </w:r>
      <w:r w:rsidR="00A3427A">
        <w:rPr>
          <w:rFonts w:ascii="Times New Roman" w:hAnsi="Times New Roman" w:cs="Times New Roman"/>
          <w:sz w:val="24"/>
          <w:szCs w:val="24"/>
        </w:rPr>
        <w:t>.</w:t>
      </w:r>
    </w:p>
    <w:p w:rsidR="000B72B1" w:rsidRDefault="000B72B1" w:rsidP="00674E09">
      <w:pPr>
        <w:spacing w:after="0" w:line="240" w:lineRule="auto"/>
        <w:rPr>
          <w:rFonts w:ascii="Times New Roman" w:hAnsi="Times New Roman" w:cs="Times New Roman"/>
          <w:b/>
          <w:sz w:val="24"/>
          <w:szCs w:val="24"/>
          <w:u w:val="single"/>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Discussion</w:t>
      </w:r>
    </w:p>
    <w:p w:rsidR="0013626F" w:rsidRPr="00E562C5" w:rsidRDefault="0013626F" w:rsidP="00674E09">
      <w:pPr>
        <w:spacing w:after="0" w:line="240" w:lineRule="auto"/>
        <w:rPr>
          <w:rFonts w:ascii="Times New Roman" w:hAnsi="Times New Roman" w:cs="Times New Roman"/>
          <w:b/>
          <w:sz w:val="24"/>
          <w:szCs w:val="24"/>
          <w:u w:val="single"/>
        </w:rPr>
      </w:pPr>
    </w:p>
    <w:p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Pr>
          <w:rFonts w:ascii="Times New Roman" w:hAnsi="Times New Roman" w:cs="Times New Roman"/>
          <w:sz w:val="24"/>
          <w:szCs w:val="24"/>
        </w:rPr>
        <w:t>tributions, i.e. overdispersed.</w:t>
      </w:r>
      <w:r w:rsidR="0082771B">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"mendeley" : { "formattedCitation" : "&lt;sup&gt;7,37,38&lt;/sup&gt;", "plainTextFormattedCitation" : "7,37,38", "previouslyFormattedCitation" : "&lt;sup&gt;7,37,38&lt;/sup&gt;" }, "properties" : { "noteIndex" : 0 }, "schema" : "https://github.com/citation-style-language/schema/raw/master/csl-citation.json" }</w:instrText>
      </w:r>
      <w:r w:rsidR="0082771B">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7,37,38</w:t>
      </w:r>
      <w:r w:rsidR="0082771B">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r w:rsidR="00A62F37">
        <w:rPr>
          <w:rFonts w:ascii="Times New Roman" w:hAnsi="Times New Roman" w:cs="Times New Roman"/>
          <w:sz w:val="24"/>
          <w:szCs w:val="24"/>
        </w:rPr>
        <w:t>W</w:t>
      </w:r>
      <w:r w:rsidR="00A62F37">
        <w:rPr>
          <w:rFonts w:ascii="Times New Roman" w:hAnsi="Times New Roman" w:cs="Times New Roman"/>
          <w:sz w:val="24"/>
          <w:szCs w:val="24"/>
        </w:rPr>
        <w:t xml:space="preserve">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would have more balanced allelic ratios.</w:t>
      </w:r>
      <w:r w:rsidR="00A62F37">
        <w:rPr>
          <w:rFonts w:ascii="Times New Roman" w:hAnsi="Times New Roman" w:cs="Times New Roman"/>
          <w:sz w:val="24"/>
          <w:szCs w:val="24"/>
        </w:rPr>
        <w:t xml:space="preserve"> Hence, while o</w:t>
      </w:r>
      <w:r w:rsidR="00A62F37">
        <w:rPr>
          <w:rFonts w:ascii="Times New Roman" w:hAnsi="Times New Roman" w:cs="Times New Roman"/>
          <w:sz w:val="24"/>
          <w:szCs w:val="24"/>
        </w:rPr>
        <w:t xml:space="preserve">verdispersion </w:t>
      </w:r>
      <w:r w:rsidR="00A62F37">
        <w:rPr>
          <w:rFonts w:ascii="Times New Roman" w:hAnsi="Times New Roman" w:cs="Times New Roman"/>
          <w:sz w:val="24"/>
          <w:szCs w:val="24"/>
        </w:rPr>
        <w:t>could</w:t>
      </w:r>
      <w:r w:rsidR="00A62F37">
        <w:rPr>
          <w:rFonts w:ascii="Times New Roman" w:hAnsi="Times New Roman" w:cs="Times New Roman"/>
          <w:sz w:val="24"/>
          <w:szCs w:val="24"/>
        </w:rPr>
        <w:t xml:space="preserve"> be a biological consequence of allele-specific behavior</w:t>
      </w:r>
      <w:r w:rsidR="00A62F37">
        <w:rPr>
          <w:rFonts w:ascii="Times New Roman" w:hAnsi="Times New Roman" w:cs="Times New Roman"/>
          <w:sz w:val="24"/>
          <w:szCs w:val="24"/>
        </w:rPr>
        <w:t xml:space="preserve">, </w:t>
      </w:r>
      <w:r w:rsidR="00A54276">
        <w:rPr>
          <w:rFonts w:ascii="Times New Roman" w:hAnsi="Times New Roman" w:cs="Times New Roman"/>
          <w:sz w:val="24"/>
          <w:szCs w:val="24"/>
        </w:rPr>
        <w:t xml:space="preserve">high overdispersion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w:t>
      </w:r>
      <w:r w:rsidR="00034A9E">
        <w:rPr>
          <w:rFonts w:ascii="Times New Roman" w:hAnsi="Times New Roman" w:cs="Times New Roman"/>
          <w:sz w:val="24"/>
          <w:szCs w:val="24"/>
        </w:rPr>
        <w:t xml:space="preserve">a </w:t>
      </w:r>
      <w:r w:rsidR="00034A9E">
        <w:rPr>
          <w:rFonts w:ascii="Times New Roman" w:hAnsi="Times New Roman" w:cs="Times New Roman"/>
          <w:sz w:val="24"/>
          <w:szCs w:val="24"/>
        </w:rPr>
        <w:t xml:space="preserve">more </w:t>
      </w:r>
      <w:r w:rsidR="00034A9E">
        <w:rPr>
          <w:rFonts w:ascii="Times New Roman" w:hAnsi="Times New Roman" w:cs="Times New Roman"/>
          <w:sz w:val="24"/>
          <w:szCs w:val="24"/>
        </w:rPr>
        <w:t xml:space="preserve">conservative set of allele-specific SNVs </w:t>
      </w:r>
      <w:r w:rsidR="00A54276">
        <w:rPr>
          <w:rFonts w:ascii="Times New Roman" w:hAnsi="Times New Roman" w:cs="Times New Roman"/>
          <w:sz w:val="24"/>
          <w:szCs w:val="24"/>
        </w:rPr>
        <w:t xml:space="preserve">for </w:t>
      </w:r>
      <w:r w:rsidR="00034A9E">
        <w:rPr>
          <w:rFonts w:ascii="Times New Roman" w:hAnsi="Times New Roman" w:cs="Times New Roman"/>
          <w:sz w:val="24"/>
          <w:szCs w:val="24"/>
        </w:rPr>
        <w:t>AlleleDB</w:t>
      </w:r>
      <w:r w:rsidR="00034A9E">
        <w:rPr>
          <w:rFonts w:ascii="Times New Roman" w:hAnsi="Times New Roman" w:cs="Times New Roman"/>
          <w:sz w:val="24"/>
          <w:szCs w:val="24"/>
        </w:rPr>
        <w:t xml:space="preserve">. In addition to accounting for </w:t>
      </w:r>
      <w:r w:rsidR="00034A9E">
        <w:rPr>
          <w:rFonts w:ascii="Times New Roman" w:hAnsi="Times New Roman" w:cs="Times New Roman"/>
          <w:sz w:val="24"/>
          <w:szCs w:val="24"/>
        </w:rPr>
        <w:t>the overdispersion in the statistical inference of allele-specific SNVs</w:t>
      </w:r>
      <w:r w:rsidR="00034A9E">
        <w:rPr>
          <w:rFonts w:ascii="Times New Roman" w:hAnsi="Times New Roman" w:cs="Times New Roman"/>
          <w:sz w:val="24"/>
          <w:szCs w:val="24"/>
        </w:rPr>
        <w:t>,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the use of the overdispersion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atasets with low overdispersion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overdispersion,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overdispersion</w:t>
      </w:r>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AlleleDB</w:t>
      </w:r>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(Supp File 6)</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p>
    <w:p w:rsidR="00A9583A" w:rsidRDefault="00A9583A" w:rsidP="00674E09">
      <w:pPr>
        <w:tabs>
          <w:tab w:val="left" w:pos="3240"/>
        </w:tabs>
        <w:spacing w:after="0" w:line="240" w:lineRule="auto"/>
        <w:rPr>
          <w:rFonts w:ascii="Times New Roman" w:hAnsi="Times New Roman" w:cs="Times New Roman"/>
          <w:sz w:val="24"/>
          <w:szCs w:val="24"/>
        </w:rPr>
      </w:pPr>
    </w:p>
    <w:p w:rsidR="00F93982" w:rsidRDefault="00F93982" w:rsidP="00F93982">
      <w:pPr>
        <w:spacing w:after="0" w:line="240" w:lineRule="auto"/>
        <w:rPr>
          <w:rFonts w:ascii="Times New Roman" w:hAnsi="Times New Roman" w:cs="Times New Roman"/>
          <w:sz w:val="24"/>
          <w:szCs w:val="24"/>
        </w:rPr>
      </w:pPr>
      <w:r>
        <w:rPr>
          <w:rFonts w:ascii="Times New Roman" w:hAnsi="Times New Roman" w:cs="Times New Roman"/>
          <w:sz w:val="24"/>
          <w:szCs w:val="24"/>
        </w:rPr>
        <w:t>So far, a</w:t>
      </w:r>
      <w:r>
        <w:rPr>
          <w:rFonts w:ascii="Times New Roman" w:hAnsi="Times New Roman" w:cs="Times New Roman"/>
          <w:sz w:val="24"/>
          <w:szCs w:val="24"/>
        </w:rPr>
        <w:t xml:space="preserve">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analyses focuses on relating allele-specific activity to known genomic 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4A1A16">
        <w:rPr>
          <w:rFonts w:ascii="Times New Roman" w:hAnsi="Times New Roman" w:cs="Times New Roman"/>
          <w:noProof/>
          <w:sz w:val="24"/>
          <w:szCs w:val="24"/>
          <w:vertAlign w:val="superscript"/>
        </w:rPr>
        <w:t>39–41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Pr>
          <w:rFonts w:ascii="Times New Roman" w:hAnsi="Times New Roman" w:cs="Times New Roman"/>
          <w:sz w:val="24"/>
          <w:szCs w:val="24"/>
        </w:rPr>
        <w:t>This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 in only a few individuals</w:t>
      </w:r>
      <w:r>
        <w:rPr>
          <w:rFonts w:ascii="Times New Roman" w:hAnsi="Times New Roman" w:cs="Times New Roman"/>
          <w:sz w:val="24"/>
          <w:szCs w:val="24"/>
        </w:rPr>
        <w:t xml:space="preserve"> (MAF ≤ 0.5%)</w:t>
      </w:r>
      <w:r>
        <w:rPr>
          <w:rFonts w:ascii="Times New Roman" w:hAnsi="Times New Roman" w:cs="Times New Roman"/>
          <w:sz w:val="24"/>
          <w:szCs w:val="24"/>
        </w:rPr>
        <w:t>, and they are often in close proximity to each other. Consolidating rare allele-specific SNVs as SNV sets is helpful in assigning weights to variants or regions based on allele-specific activity when incorporating into large-scale annotation pipelines.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"&lt;sup&gt;45&lt;/sup&gt;", "plainTextFormattedCitation" : "45"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45</w:t>
      </w:r>
      <w:r>
        <w:rPr>
          <w:rFonts w:ascii="Times New Roman" w:hAnsi="Times New Roman" w:cs="Times New Roman"/>
          <w:sz w:val="24"/>
          <w:szCs w:val="24"/>
        </w:rPr>
        <w:fldChar w:fldCharType="end"/>
      </w:r>
      <w:r>
        <w:rPr>
          <w:rFonts w:ascii="Times New Roman" w:hAnsi="Times New Roman" w:cs="Times New Roman"/>
          <w:sz w:val="24"/>
          <w:szCs w:val="24"/>
        </w:rPr>
        <w:t xml:space="preserve"> Also, b</w:t>
      </w:r>
      <w:r w:rsidRPr="00E562C5">
        <w:rPr>
          <w:rFonts w:ascii="Times New Roman" w:hAnsi="Times New Roman" w:cs="Times New Roman"/>
          <w:sz w:val="24"/>
          <w:szCs w:val="24"/>
        </w:rPr>
        <w:t xml:space="preserve">y comparing ASB and ASE enrichments within </w:t>
      </w:r>
      <w:r>
        <w:rPr>
          <w:rFonts w:ascii="Times New Roman" w:hAnsi="Times New Roman" w:cs="Times New Roman"/>
          <w:sz w:val="24"/>
          <w:szCs w:val="24"/>
        </w:rPr>
        <w:t xml:space="preserve">specific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sidRPr="00E562C5">
        <w:rPr>
          <w:rFonts w:ascii="Times New Roman" w:hAnsi="Times New Roman" w:cs="Times New Roman"/>
          <w:sz w:val="24"/>
          <w:szCs w:val="24"/>
        </w:rPr>
        <w:t xml:space="preserve">, we can provide </w:t>
      </w:r>
      <w:r>
        <w:rPr>
          <w:rFonts w:ascii="Times New Roman" w:hAnsi="Times New Roman" w:cs="Times New Roman"/>
          <w:sz w:val="24"/>
          <w:szCs w:val="24"/>
        </w:rPr>
        <w:t xml:space="preserve">some </w:t>
      </w:r>
      <w:r w:rsidRPr="00E562C5">
        <w:rPr>
          <w:rFonts w:ascii="Times New Roman" w:hAnsi="Times New Roman" w:cs="Times New Roman"/>
          <w:sz w:val="24"/>
          <w:szCs w:val="24"/>
        </w:rPr>
        <w:t>insights into the coor</w:t>
      </w:r>
      <w:r>
        <w:rPr>
          <w:rFonts w:ascii="Times New Roman" w:hAnsi="Times New Roman" w:cs="Times New Roman"/>
          <w:sz w:val="24"/>
          <w:szCs w:val="24"/>
        </w:rPr>
        <w:t>dination of ASB and ASE within that category</w:t>
      </w:r>
      <w:r w:rsidRPr="00E562C5">
        <w:rPr>
          <w:rFonts w:ascii="Times New Roman" w:hAnsi="Times New Roman" w:cs="Times New Roman"/>
          <w:sz w:val="24"/>
          <w:szCs w:val="24"/>
        </w:rPr>
        <w:t>. For example, loci associated with monoallelic</w:t>
      </w:r>
      <w:r>
        <w:rPr>
          <w:rFonts w:ascii="Times New Roman" w:hAnsi="Times New Roman" w:cs="Times New Roman"/>
          <w:sz w:val="24"/>
          <w:szCs w:val="24"/>
        </w:rPr>
        <w:t xml:space="preserve"> expression have shown to be associated with ASB of various transcription factors, such as imprinted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"&lt;sup&gt;42,43&lt;/sup&gt;", "plainTextFormattedCitation" : "42,43", "previouslyFormattedCitation" : "&lt;sup&gt;44,45&lt;/sup&gt;"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42,43</w:t>
      </w:r>
      <w:r>
        <w:rPr>
          <w:rFonts w:ascii="Times New Roman" w:hAnsi="Times New Roman" w:cs="Times New Roman"/>
          <w:sz w:val="24"/>
          <w:szCs w:val="24"/>
        </w:rPr>
        <w:fldChar w:fldCharType="end"/>
      </w:r>
      <w:r>
        <w:rPr>
          <w:rFonts w:ascii="Times New Roman" w:hAnsi="Times New Roman" w:cs="Times New Roman"/>
          <w:sz w:val="24"/>
          <w:szCs w:val="24"/>
        </w:rPr>
        <w:t xml:space="preserve"> and immunoglobulins genes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"&lt;sup&gt;44&lt;/sup&gt;", "plainTextFormattedCitation" : "44", "previouslyFormattedCitation" : "&lt;sup&gt;46&lt;/sup&gt;" }, "properties" : { "noteIndex" : 0 }, "schema" : "https://github.com/citation-style-language/schema/raw/master/csl-citation.json" }</w:instrText>
      </w:r>
      <w:r>
        <w:rPr>
          <w:rFonts w:ascii="Times New Roman" w:hAnsi="Times New Roman" w:cs="Times New Roman"/>
          <w:sz w:val="24"/>
          <w:szCs w:val="24"/>
        </w:rPr>
        <w:fldChar w:fldCharType="separate"/>
      </w:r>
      <w:r w:rsidRPr="008C5085">
        <w:rPr>
          <w:rFonts w:ascii="Times New Roman" w:hAnsi="Times New Roman" w:cs="Times New Roman"/>
          <w:noProof/>
          <w:sz w:val="24"/>
          <w:szCs w:val="24"/>
          <w:vertAlign w:val="superscript"/>
        </w:rPr>
        <w:t>44</w:t>
      </w:r>
      <w:r>
        <w:rPr>
          <w:rFonts w:ascii="Times New Roman" w:hAnsi="Times New Roman" w:cs="Times New Roman"/>
          <w:sz w:val="24"/>
          <w:szCs w:val="24"/>
        </w:rPr>
        <w:fldChar w:fldCharType="end"/>
      </w:r>
      <w:r>
        <w:rPr>
          <w:rFonts w:ascii="Times New Roman" w:hAnsi="Times New Roman" w:cs="Times New Roman"/>
          <w:sz w:val="24"/>
          <w:szCs w:val="24"/>
        </w:rPr>
        <w:t>. B</w:t>
      </w:r>
      <w:r w:rsidRPr="00E562C5">
        <w:rPr>
          <w:rFonts w:ascii="Times New Roman" w:hAnsi="Times New Roman" w:cs="Times New Roman"/>
          <w:sz w:val="24"/>
          <w:szCs w:val="24"/>
        </w:rPr>
        <w:t xml:space="preserve">y associating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a genomic annotation</w:t>
      </w:r>
      <w:r>
        <w:rPr>
          <w:rFonts w:ascii="Times New Roman" w:hAnsi="Times New Roman" w:cs="Times New Roman"/>
          <w:sz w:val="24"/>
          <w:szCs w:val="24"/>
        </w:rPr>
        <w:t xml:space="preserve"> and assigning a proxy measure of allele-specific behavior</w:t>
      </w:r>
      <w:r w:rsidRPr="00E562C5">
        <w:rPr>
          <w:rFonts w:ascii="Times New Roman" w:hAnsi="Times New Roman" w:cs="Times New Roman"/>
          <w:sz w:val="24"/>
          <w:szCs w:val="24"/>
        </w:rPr>
        <w:t xml:space="preserve">, we </w:t>
      </w:r>
      <w:r>
        <w:rPr>
          <w:rFonts w:ascii="Times New Roman" w:hAnsi="Times New Roman" w:cs="Times New Roman"/>
          <w:sz w:val="24"/>
          <w:szCs w:val="24"/>
        </w:rPr>
        <w:t xml:space="preserve">are </w:t>
      </w:r>
      <w:r w:rsidRPr="00E562C5">
        <w:rPr>
          <w:rFonts w:ascii="Times New Roman" w:hAnsi="Times New Roman" w:cs="Times New Roman"/>
          <w:sz w:val="24"/>
          <w:szCs w:val="24"/>
        </w:rPr>
        <w:t xml:space="preserve">able to define categories of genomic regions </w:t>
      </w:r>
      <w:r>
        <w:rPr>
          <w:rFonts w:ascii="Times New Roman" w:hAnsi="Times New Roman" w:cs="Times New Roman"/>
          <w:sz w:val="24"/>
          <w:szCs w:val="24"/>
        </w:rPr>
        <w:t>with more</w:t>
      </w:r>
      <w:r w:rsidRPr="00E562C5">
        <w:rPr>
          <w:rFonts w:ascii="Times New Roman" w:hAnsi="Times New Roman" w:cs="Times New Roman"/>
          <w:sz w:val="24"/>
          <w:szCs w:val="24"/>
        </w:rPr>
        <w:t xml:space="preserve"> allele-specific activity.</w:t>
      </w:r>
      <w:r>
        <w:rPr>
          <w:rFonts w:ascii="Times New Roman" w:hAnsi="Times New Roman" w:cs="Times New Roman"/>
          <w:sz w:val="24"/>
          <w:szCs w:val="24"/>
        </w:rPr>
        <w:t xml:space="preserve"> </w:t>
      </w:r>
    </w:p>
    <w:p w:rsidR="003A2DD4" w:rsidRDefault="003A2DD4" w:rsidP="00674E09">
      <w:pPr>
        <w:spacing w:after="0" w:line="240" w:lineRule="auto"/>
        <w:rPr>
          <w:rFonts w:ascii="Times New Roman" w:hAnsi="Times New Roman" w:cs="Times New Roman"/>
          <w:sz w:val="24"/>
          <w:szCs w:val="24"/>
        </w:rPr>
      </w:pPr>
    </w:p>
    <w:p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Data </w:t>
      </w:r>
      <w:r w:rsidR="0013626F" w:rsidRPr="00E562C5">
        <w:rPr>
          <w:rFonts w:ascii="Times New Roman" w:hAnsi="Times New Roman" w:cs="Times New Roman"/>
          <w:sz w:val="24"/>
          <w:szCs w:val="24"/>
        </w:rPr>
        <w:lastRenderedPageBreak/>
        <w:t>from projects, such as GTEx</w:t>
      </w:r>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"&lt;sup&gt;47&lt;/sup&gt;"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48</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r w:rsidR="0013626F"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"&lt;sup&gt;49&lt;/sup&gt;", "plainTextFormattedCitation" : "49", "previouslyFormattedCitation" : "&lt;sup&gt;48&lt;/sup&gt;"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r w:rsidR="009A7439" w:rsidRPr="00E562C5">
        <w:rPr>
          <w:rFonts w:ascii="Times New Roman" w:hAnsi="Times New Roman" w:cs="Times New Roman"/>
          <w:sz w:val="24"/>
          <w:szCs w:val="24"/>
        </w:rPr>
        <w:fldChar w:fldCharType="begin" w:fldLock="1"/>
      </w:r>
      <w:r w:rsidR="009A7439">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"&lt;sup&gt;49\u201351&lt;/sup&gt;"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9A7439" w:rsidRPr="008C5085">
        <w:rPr>
          <w:rFonts w:ascii="Times New Roman" w:hAnsi="Times New Roman" w:cs="Times New Roman"/>
          <w:noProof/>
          <w:sz w:val="24"/>
          <w:szCs w:val="24"/>
          <w:vertAlign w:val="superscript"/>
        </w:rPr>
        <w:t>50–52</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r w:rsidR="00FD6FBD">
        <w:rPr>
          <w:rFonts w:ascii="Times New Roman" w:hAnsi="Times New Roman" w:cs="Times New Roman"/>
          <w:sz w:val="24"/>
          <w:szCs w:val="24"/>
        </w:rPr>
        <w:t xml:space="preserve">AlleleDB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the database allows the visualization of</w:t>
      </w:r>
      <w:r w:rsidR="00FD6FBD">
        <w:rPr>
          <w:rFonts w:ascii="Times New Roman" w:hAnsi="Times New Roman" w:cs="Times New Roman"/>
          <w:sz w:val="24"/>
          <w:szCs w:val="24"/>
        </w:rPr>
        <w:t xml:space="preserve"> ASB and ASE </w:t>
      </w:r>
      <w:r w:rsidR="00FD6FBD">
        <w:rPr>
          <w:rFonts w:ascii="Times New Roman" w:hAnsi="Times New Roman" w:cs="Times New Roman"/>
          <w:sz w:val="24"/>
          <w:szCs w:val="24"/>
        </w:rPr>
        <w:t xml:space="preserve">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"&lt;sup&gt;53&lt;/sup&gt;", "plainTextFormattedCitation" : "53", "previouslyFormattedCitation" : "&lt;sup&gt;52&lt;/sup&gt;"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w:t>
      </w:r>
      <w:r w:rsidRPr="00E562C5">
        <w:rPr>
          <w:rFonts w:ascii="Times New Roman" w:hAnsi="Times New Roman" w:cs="Times New Roman"/>
          <w:sz w:val="24"/>
          <w:szCs w:val="24"/>
        </w:rPr>
        <w:lastRenderedPageBreak/>
        <w:t xml:space="preserve">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RNA-seq and ChIP-seq datasets </w:t>
      </w:r>
    </w:p>
    <w:p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w:t>
      </w:r>
      <w:r w:rsidR="001264F7">
        <w:rPr>
          <w:rFonts w:ascii="Times New Roman" w:hAnsi="Times New Roman" w:cs="Times New Roman"/>
          <w:sz w:val="24"/>
          <w:szCs w:val="24"/>
        </w:rPr>
        <w:t>ed</w:t>
      </w:r>
      <w:r w:rsidRPr="00E11AAD">
        <w:rPr>
          <w:rFonts w:ascii="Times New Roman" w:hAnsi="Times New Roman" w:cs="Times New Roman"/>
          <w:sz w:val="24"/>
          <w:szCs w:val="24"/>
        </w:rPr>
        <w:t xml:space="preserve"> 287 ChIP-seq and 993 RNA-seq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r w:rsidR="001264F7" w:rsidRPr="001264F7">
        <w:rPr>
          <w:rFonts w:ascii="Times New Roman" w:hAnsi="Times New Roman" w:cs="Times New Roman"/>
          <w:color w:val="FF0000"/>
          <w:sz w:val="24"/>
          <w:szCs w:val="24"/>
        </w:rPr>
        <w:t xml:space="preserve">Supp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r w:rsidR="001328AD">
        <w:rPr>
          <w:rFonts w:ascii="Times New Roman" w:hAnsi="Times New Roman" w:cs="Times New Roman"/>
          <w:sz w:val="24"/>
          <w:szCs w:val="24"/>
        </w:rPr>
        <w:t xml:space="preserve"> </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RNA-seq datasets</w:t>
      </w:r>
      <w:r w:rsidR="0023567C">
        <w:rPr>
          <w:rFonts w:ascii="Times New Roman" w:hAnsi="Times New Roman" w:cs="Times New Roman"/>
          <w:sz w:val="24"/>
          <w:szCs w:val="24"/>
        </w:rPr>
        <w:t xml:space="preserve"> are obtained from the following</w:t>
      </w:r>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Lalonde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"&lt;sup&gt;54&lt;/sup&gt;", "plainTextFormattedCitation" : "54", "previouslyFormattedCitation" : "&lt;sup&gt;53&lt;/sup&gt;"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"&lt;sup&gt;55&lt;/sup&gt;", "plainTextFormattedCitation" : "55", "previouslyFormattedCitation" : "&lt;sup&gt;54&lt;/sup&gt;"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Pickrell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ChIP-seq datasets are obtained from the following: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r w:rsidRPr="00E562C5">
        <w:rPr>
          <w:rFonts w:ascii="Times New Roman" w:hAnsi="Times New Roman" w:cs="Times New Roman"/>
          <w:sz w:val="24"/>
          <w:szCs w:val="24"/>
        </w:rPr>
        <w:t xml:space="preserve">Kasowski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r w:rsidR="00711774" w:rsidRPr="00E562C5">
        <w:rPr>
          <w:rFonts w:ascii="Times New Roman" w:hAnsi="Times New Roman" w:cs="Times New Roman"/>
          <w:sz w:val="24"/>
          <w:szCs w:val="24"/>
        </w:rPr>
        <w:t xml:space="preserve">McVicker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"&lt;sup&gt;56&lt;/sup&gt;", "plainTextFormattedCitation" : "56", "previouslyFormattedCitation" : "&lt;sup&gt;55&lt;/sup&gt;"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56</w: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711774" w:rsidRDefault="00711774"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"&lt;sup&gt;57&lt;/sup&gt;", "plainTextFormattedCitation" : "57",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"&lt;sup&gt;58&lt;/sup&gt;", "plainTextFormattedCitation" : "58", "previouslyFormattedCitation" : "&lt;sup&gt;57&lt;/sup&gt;"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58</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9C7FD5"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Default="000F2CBC" w:rsidP="00674E0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where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B(x,y)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overdispersion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 xml:space="preserve">upp </w:t>
      </w:r>
      <w:r w:rsidR="00BE1E00">
        <w:rPr>
          <w:rFonts w:ascii="Times New Roman" w:hAnsi="Times New Roman" w:cs="Times New Roman"/>
          <w:color w:val="FF0000"/>
          <w:sz w:val="24"/>
          <w:szCs w:val="24"/>
        </w:rPr>
        <w:t xml:space="preserve">file </w:t>
      </w:r>
      <w:r w:rsidR="00711FF9">
        <w:rPr>
          <w:rFonts w:ascii="Times New Roman" w:hAnsi="Times New Roman" w:cs="Times New Roman"/>
          <w:color w:val="FF0000"/>
          <w:sz w:val="24"/>
          <w:szCs w:val="24"/>
        </w:rPr>
        <w:t>5</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rsidR="007A2B04" w:rsidRDefault="007A2B04" w:rsidP="00674E09">
      <w:pPr>
        <w:spacing w:after="0" w:line="240" w:lineRule="auto"/>
        <w:rPr>
          <w:rFonts w:ascii="Times New Roman" w:hAnsi="Times New Roman" w:cs="Times New Roman"/>
          <w:sz w:val="24"/>
          <w:szCs w:val="24"/>
        </w:rPr>
      </w:pPr>
    </w:p>
    <w:p w:rsidR="002E71F8" w:rsidRDefault="00C71C27"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After removing</w:t>
      </w:r>
      <w:r>
        <w:rPr>
          <w:rFonts w:ascii="Times New Roman" w:hAnsi="Times New Roman" w:cs="Times New Roman"/>
          <w:sz w:val="24"/>
          <w:szCs w:val="24"/>
        </w:rPr>
        <w:t xml:space="preserve"> </w:t>
      </w:r>
      <w:r w:rsidR="00A729E8">
        <w:rPr>
          <w:rFonts w:ascii="Times New Roman" w:hAnsi="Times New Roman" w:cs="Times New Roman"/>
          <w:sz w:val="24"/>
          <w:szCs w:val="24"/>
        </w:rPr>
        <w:t>11</w:t>
      </w:r>
      <w:r>
        <w:rPr>
          <w:rFonts w:ascii="Times New Roman" w:hAnsi="Times New Roman" w:cs="Times New Roman"/>
          <w:sz w:val="24"/>
          <w:szCs w:val="24"/>
        </w:rPr>
        <w:t xml:space="preserve"> ChIP-seq and 6 RNA-seq datasets that have insufficient read alignments</w:t>
      </w:r>
      <w:r>
        <w:rPr>
          <w:rFonts w:ascii="Times New Roman" w:hAnsi="Times New Roman" w:cs="Times New Roman"/>
          <w:sz w:val="24"/>
          <w:szCs w:val="24"/>
        </w:rPr>
        <w:t>, w</w:t>
      </w:r>
      <w:r w:rsidR="002E71F8">
        <w:rPr>
          <w:rFonts w:ascii="Times New Roman" w:hAnsi="Times New Roman" w:cs="Times New Roman"/>
          <w:sz w:val="24"/>
          <w:szCs w:val="24"/>
        </w:rPr>
        <w:t xml:space="preserve">e calculate ρ for each </w:t>
      </w:r>
      <w:r>
        <w:rPr>
          <w:rFonts w:ascii="Times New Roman" w:hAnsi="Times New Roman" w:cs="Times New Roman"/>
          <w:sz w:val="24"/>
          <w:szCs w:val="24"/>
        </w:rPr>
        <w:t xml:space="preserve">276 </w:t>
      </w:r>
      <w:r w:rsidR="002E71F8" w:rsidRPr="00E11AAD">
        <w:rPr>
          <w:rFonts w:ascii="Times New Roman" w:hAnsi="Times New Roman" w:cs="Times New Roman"/>
          <w:sz w:val="24"/>
          <w:szCs w:val="24"/>
        </w:rPr>
        <w:t xml:space="preserve">ChIP-seq and </w:t>
      </w:r>
      <w:r>
        <w:rPr>
          <w:rFonts w:ascii="Times New Roman" w:hAnsi="Times New Roman" w:cs="Times New Roman"/>
          <w:sz w:val="24"/>
          <w:szCs w:val="24"/>
        </w:rPr>
        <w:t xml:space="preserve">987 </w:t>
      </w:r>
      <w:r w:rsidR="002E71F8" w:rsidRPr="00E11AAD">
        <w:rPr>
          <w:rFonts w:ascii="Times New Roman" w:hAnsi="Times New Roman" w:cs="Times New Roman"/>
          <w:sz w:val="24"/>
          <w:szCs w:val="24"/>
        </w:rPr>
        <w:t xml:space="preserve">RNA-seq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Pr>
          <w:rFonts w:ascii="Times New Roman" w:hAnsi="Times New Roman" w:cs="Times New Roman"/>
          <w:sz w:val="24"/>
          <w:szCs w:val="24"/>
        </w:rPr>
        <w:t xml:space="preserve"> For RNA-seq datasets, we removed 32 datasets with </w:t>
      </w:r>
      <w:r>
        <w:rPr>
          <w:rFonts w:ascii="Times New Roman" w:hAnsi="Times New Roman" w:cs="Times New Roman"/>
          <w:sz w:val="24"/>
          <w:szCs w:val="24"/>
        </w:rPr>
        <w:t>ρ</w:t>
      </w:r>
      <w:r>
        <w:rPr>
          <w:rFonts w:ascii="Times New Roman" w:hAnsi="Times New Roman" w:cs="Times New Roman"/>
          <w:sz w:val="24"/>
          <w:szCs w:val="24"/>
        </w:rPr>
        <w:t xml:space="preserve"> ≥ 0.125, which is one standard deviation higher than the mean </w:t>
      </w:r>
      <w:r>
        <w:rPr>
          <w:rFonts w:ascii="Times New Roman" w:hAnsi="Times New Roman" w:cs="Times New Roman"/>
          <w:sz w:val="24"/>
          <w:szCs w:val="24"/>
        </w:rPr>
        <w:t>ρ</w:t>
      </w:r>
      <w:r>
        <w:rPr>
          <w:rFonts w:ascii="Times New Roman" w:hAnsi="Times New Roman" w:cs="Times New Roman"/>
          <w:sz w:val="24"/>
          <w:szCs w:val="24"/>
        </w:rPr>
        <w:t xml:space="preserve"> amongst the RNA-seq datasets. For ChIP-seq datasets, because many of the datasets have considerable ρ, w</w:t>
      </w:r>
      <w:r w:rsidR="002E71F8">
        <w:rPr>
          <w:rFonts w:ascii="Times New Roman" w:hAnsi="Times New Roman" w:cs="Times New Roman"/>
          <w:sz w:val="24"/>
          <w:szCs w:val="24"/>
        </w:rPr>
        <w:t xml:space="preserve">e </w:t>
      </w:r>
      <w:r>
        <w:rPr>
          <w:rFonts w:ascii="Times New Roman" w:hAnsi="Times New Roman" w:cs="Times New Roman"/>
          <w:sz w:val="24"/>
          <w:szCs w:val="24"/>
        </w:rPr>
        <w:t>use a less stringent arbitrary threshold of ρ ≥ 0.3 to remove 90 ChIP-seq datasets. 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r>
        <w:rPr>
          <w:rFonts w:ascii="Times New Roman" w:hAnsi="Times New Roman" w:cs="Times New Roman"/>
          <w:sz w:val="24"/>
          <w:szCs w:val="24"/>
        </w:rPr>
        <w:t xml:space="preserve">186 </w:t>
      </w:r>
      <w:r w:rsidR="002E71F8" w:rsidRPr="00D87DC3">
        <w:rPr>
          <w:rFonts w:ascii="Times New Roman" w:hAnsi="Times New Roman" w:cs="Times New Roman"/>
          <w:sz w:val="24"/>
          <w:szCs w:val="24"/>
        </w:rPr>
        <w:t>ChIP-seq and 955 RNA-seq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 xml:space="preserve">we pool datasets by TF </w:t>
      </w:r>
      <w:r w:rsidR="002E71F8" w:rsidRPr="00D87DC3">
        <w:rPr>
          <w:rFonts w:ascii="Times New Roman" w:hAnsi="Times New Roman" w:cs="Times New Roman"/>
          <w:sz w:val="24"/>
          <w:szCs w:val="24"/>
        </w:rPr>
        <w:lastRenderedPageBreak/>
        <w:t>and individual for ChIP-seq and by i</w:t>
      </w:r>
      <w:r w:rsidR="002E71F8">
        <w:rPr>
          <w:rFonts w:ascii="Times New Roman" w:hAnsi="Times New Roman" w:cs="Times New Roman"/>
          <w:sz w:val="24"/>
          <w:szCs w:val="24"/>
        </w:rPr>
        <w:t>ndividual for RNA-seq and re-calculate ρ for each pooled dataset. This final ρ is used in the beta-binomial test for allele-specific SNV detection.</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ChIP-seq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"&lt;sup&gt;59&lt;/sup&gt;", "plainTextFormattedCitation" : "59", "previouslyFormattedCitation" : "&lt;sup&gt;58&lt;/sup&gt;"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59</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"&lt;sup&gt;60&lt;/sup&gt;", "plainTextFormattedCitation" : "60",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60</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conventional measure of ‘heritability’ allows the estimation of (additive) genetic contribution to a certain trait. The population genetics definition of ‘heritability’ in a parent-offspring setting is described by the slope, β, of a regression (Y=βX + α), with the dependent </w:t>
      </w:r>
      <w:r>
        <w:rPr>
          <w:rFonts w:ascii="Times New Roman" w:hAnsi="Times New Roman" w:cs="Times New Roman"/>
          <w:sz w:val="24"/>
          <w:szCs w:val="24"/>
        </w:rPr>
        <w:lastRenderedPageBreak/>
        <w:t>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"&lt;sup&gt;61&lt;/sup&gt;", "plainTextFormattedCitation" : "61",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61</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Given that Pearson’s correlation coefficient, r, always gives a value between 0 and 1, we use r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185B0E">
        <w:rPr>
          <w:rFonts w:ascii="Times New Roman" w:hAnsi="Times New Roman" w:cs="Times New Roman"/>
          <w:color w:val="FF0000"/>
          <w:sz w:val="24"/>
          <w:szCs w:val="24"/>
        </w:rPr>
        <w:t>Figure 4</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674E09">
      <w:pPr>
        <w:spacing w:after="0" w:line="240" w:lineRule="auto"/>
        <w:rPr>
          <w:rFonts w:ascii="Times New Roman" w:hAnsi="Times New Roman" w:cs="Times New Roman"/>
          <w:sz w:val="24"/>
          <w:szCs w:val="24"/>
        </w:rPr>
      </w:pP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Vaquerizas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"&lt;sup&gt;62&lt;/sup&gt;", "plainTextFormattedCitation" : "62", "previouslyFormattedCitation" : "&lt;sup&gt;61&lt;/sup&gt;"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62</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"&lt;sup&gt;47&lt;/sup&gt;", "plainTextFormattedCitation" : "47", "previouslyFormattedCitation" : "&lt;sup&gt;43&lt;/sup&gt;"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47</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ChIP-seq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monoallelic expression are from Gimelbrant </w:t>
      </w:r>
      <w:r w:rsidRPr="00E562C5">
        <w:rPr>
          <w:rFonts w:ascii="Times New Roman" w:hAnsi="Times New Roman" w:cs="Times New Roman"/>
          <w:i/>
          <w:sz w:val="24"/>
          <w:szCs w:val="24"/>
        </w:rPr>
        <w:t>et.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2"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"&lt;sup&gt;63&lt;/sup&gt;"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64</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"&lt;sup&gt;65&lt;/sup&gt;", "plainTextFormattedCitation" : "65", "previouslyFormattedCitation" : "&lt;sup&gt;64&lt;/sup&gt;"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65</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"&lt;sup&gt;66&lt;/sup&gt;", "plainTextFormattedCitation" : "66", "previouslyFormattedCitation" : "&lt;sup&gt;65&lt;/sup&gt;"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We performed enrichment analyses on a number of enhancer lists, which are derived using the ChromHMM and Segway algorithms (Ernst and Kellis (2012)</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"&lt;sup&gt;67&lt;/sup&gt;", "plainTextFormattedCitation" : "67",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"&lt;sup&gt;68&lt;/sup&gt;", "plainTextFormattedCitation" : "68", "previouslyFormattedCitation" : "&lt;sup&gt;67&lt;/sup&gt;"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"&lt;sup&gt;69&lt;/sup&gt;", "plainTextFormattedCitation" : "69", "previouslyFormattedCitation" : "&lt;sup&gt;68&lt;/sup&gt;"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69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Pr="00185B0E">
        <w:rPr>
          <w:rFonts w:ascii="Times New Roman" w:hAnsi="Times New Roman" w:cs="Times New Roman"/>
          <w:color w:val="FF0000"/>
          <w:sz w:val="24"/>
          <w:szCs w:val="24"/>
        </w:rPr>
        <w:t xml:space="preserve">Figure </w:t>
      </w:r>
      <w:r w:rsidR="00185B0E" w:rsidRPr="00185B0E">
        <w:rPr>
          <w:rFonts w:ascii="Times New Roman" w:hAnsi="Times New Roman" w:cs="Times New Roman"/>
          <w:color w:val="FF0000"/>
          <w:sz w:val="24"/>
          <w:szCs w:val="24"/>
        </w:rPr>
        <w:t>4</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3"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"&lt;sup&gt;70&lt;/sup&gt;", "plainTextFormattedCitation" : "70", "previouslyFormattedCitation" : "&lt;sup&gt;69&lt;/sup&gt;"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70</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14"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5"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"&lt;sup&gt;71&lt;/sup&gt;", "plainTextFormattedCitation" : "71", "previouslyFormattedCitation" : "&lt;sup&gt;70&lt;/sup&gt;" }, "properties" : { "noteIndex" : 0 }, "schema" : "https://github.com/citation-style-language/schema/raw/master/csl-citation.json" }</w:instrText>
      </w:r>
      <w:r>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71</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All enrichment analyses results with respect to these annotations are provided in the supplementary files, which are provided for download on the AlleleDB website (</w:t>
      </w:r>
      <w:hyperlink r:id="rId16"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Enrichment analyses</w:t>
      </w:r>
    </w:p>
    <w:p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AlleleSeq pipeline. The minimum number of reads varies with the pooled size (coverage) of the ChIP-seq or RNA-seq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16707A">
        <w:rPr>
          <w:rFonts w:ascii="Times New Roman" w:hAnsi="Times New Roman" w:cs="Times New Roman"/>
          <w:color w:val="FF0000"/>
          <w:sz w:val="24"/>
          <w:szCs w:val="24"/>
        </w:rPr>
        <w:t>By considering only case</w:t>
      </w:r>
      <w:r w:rsidR="00D946B6">
        <w:rPr>
          <w:rFonts w:ascii="Times New Roman" w:hAnsi="Times New Roman" w:cs="Times New Roman"/>
          <w:color w:val="FF0000"/>
          <w:sz w:val="24"/>
          <w:szCs w:val="24"/>
        </w:rPr>
        <w:t>s</w:t>
      </w:r>
      <w:r w:rsidR="0016707A" w:rsidRPr="0016707A">
        <w:rPr>
          <w:rFonts w:ascii="Times New Roman" w:hAnsi="Times New Roman" w:cs="Times New Roman"/>
          <w:color w:val="FF0000"/>
          <w:sz w:val="24"/>
          <w:szCs w:val="24"/>
        </w:rPr>
        <w:t xml:space="preserve"> with the largest effect size, </w:t>
      </w:r>
      <w:r w:rsidR="007471D0" w:rsidRPr="00C52AEC">
        <w:rPr>
          <w:rFonts w:ascii="Times New Roman" w:hAnsi="Times New Roman" w:cs="Times New Roman"/>
          <w:color w:val="FF0000"/>
          <w:sz w:val="24"/>
          <w:szCs w:val="24"/>
        </w:rPr>
        <w:t xml:space="preserve">we underestimate the number of control SNVs </w:t>
      </w:r>
      <w:r w:rsidR="0016707A">
        <w:rPr>
          <w:rFonts w:ascii="Times New Roman" w:hAnsi="Times New Roman" w:cs="Times New Roman"/>
          <w:color w:val="FF0000"/>
          <w:sz w:val="24"/>
          <w:szCs w:val="24"/>
        </w:rPr>
        <w:t>and this</w:t>
      </w:r>
      <w:r w:rsidR="002C5FFF">
        <w:rPr>
          <w:rFonts w:ascii="Times New Roman" w:hAnsi="Times New Roman" w:cs="Times New Roman"/>
          <w:color w:val="FF0000"/>
          <w:sz w:val="24"/>
          <w:szCs w:val="24"/>
        </w:rPr>
        <w:t xml:space="preserve"> </w:t>
      </w:r>
      <w:r w:rsidR="00851334">
        <w:rPr>
          <w:rFonts w:ascii="Times New Roman" w:hAnsi="Times New Roman" w:cs="Times New Roman"/>
          <w:color w:val="FF0000"/>
          <w:sz w:val="24"/>
          <w:szCs w:val="24"/>
        </w:rPr>
        <w:t>provides</w:t>
      </w:r>
      <w:r w:rsidR="002C5FFF">
        <w:rPr>
          <w:rFonts w:ascii="Times New Roman" w:hAnsi="Times New Roman" w:cs="Times New Roman"/>
          <w:color w:val="FF0000"/>
          <w:sz w:val="24"/>
          <w:szCs w:val="24"/>
        </w:rPr>
        <w:t xml:space="preserve"> a conservative </w:t>
      </w:r>
      <w:r w:rsidR="0016707A">
        <w:rPr>
          <w:rFonts w:ascii="Times New Roman" w:hAnsi="Times New Roman" w:cs="Times New Roman"/>
          <w:color w:val="FF0000"/>
          <w:sz w:val="24"/>
          <w:szCs w:val="24"/>
        </w:rPr>
        <w:t>approximation</w:t>
      </w:r>
      <w:r w:rsidR="002C5FFF">
        <w:rPr>
          <w:rFonts w:ascii="Times New Roman" w:hAnsi="Times New Roman" w:cs="Times New Roman"/>
          <w:color w:val="FF0000"/>
          <w:sz w:val="24"/>
          <w:szCs w:val="24"/>
        </w:rPr>
        <w:t xml:space="preserve"> of the statistical significance of the enrichment (or depletion)</w:t>
      </w:r>
      <w:r w:rsidR="007471D0" w:rsidRPr="00C52AEC">
        <w:rPr>
          <w:rFonts w:ascii="Times New Roman" w:hAnsi="Times New Roman" w:cs="Times New Roman"/>
          <w:color w:val="FF0000"/>
          <w:sz w:val="24"/>
          <w:szCs w:val="24"/>
        </w:rPr>
        <w:t>.</w:t>
      </w:r>
      <w:r w:rsidR="007471D0">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Bonferroni-corrected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"&lt;sup&gt;72&lt;/sup&gt;"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73</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w:t>
      </w:r>
      <w:r w:rsidR="00DE3014">
        <w:rPr>
          <w:rFonts w:ascii="Times New Roman" w:hAnsi="Times New Roman" w:cs="Times New Roman"/>
          <w:sz w:val="24"/>
          <w:szCs w:val="24"/>
        </w:rPr>
        <w:lastRenderedPageBreak/>
        <w:t xml:space="preserve">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The authors would like to thank 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8C5085" w:rsidRPr="008C5085" w:rsidRDefault="006D4465">
      <w:pPr>
        <w:pStyle w:val="NormalWeb"/>
        <w:ind w:left="640" w:hanging="640"/>
        <w:divId w:val="964579723"/>
        <w:rPr>
          <w:noProof/>
        </w:rPr>
      </w:pPr>
      <w:r w:rsidRPr="00635F82">
        <w:fldChar w:fldCharType="begin" w:fldLock="1"/>
      </w:r>
      <w:r w:rsidRPr="00635F82">
        <w:instrText xml:space="preserve">ADDIN Mendeley Bibliography CSL_BIBLIOGRAPHY </w:instrText>
      </w:r>
      <w:r w:rsidRPr="00635F82">
        <w:fldChar w:fldCharType="separate"/>
      </w:r>
      <w:r w:rsidR="008C5085" w:rsidRPr="008C5085">
        <w:rPr>
          <w:noProof/>
        </w:rPr>
        <w:t>1.</w:t>
      </w:r>
      <w:r w:rsidR="008C5085" w:rsidRPr="008C5085">
        <w:rPr>
          <w:noProof/>
        </w:rPr>
        <w:tab/>
        <w:t xml:space="preserve">Wheeler, D. A. </w:t>
      </w:r>
      <w:r w:rsidR="008C5085" w:rsidRPr="008C5085">
        <w:rPr>
          <w:i/>
          <w:iCs/>
          <w:noProof/>
        </w:rPr>
        <w:t>et al.</w:t>
      </w:r>
      <w:r w:rsidR="008C5085" w:rsidRPr="008C5085">
        <w:rPr>
          <w:noProof/>
        </w:rPr>
        <w:t xml:space="preserve"> The complete genome of an individual by massively parallel DNA sequencing. </w:t>
      </w:r>
      <w:r w:rsidR="008C5085" w:rsidRPr="008C5085">
        <w:rPr>
          <w:i/>
          <w:iCs/>
          <w:noProof/>
        </w:rPr>
        <w:t>Nature</w:t>
      </w:r>
      <w:r w:rsidR="008C5085" w:rsidRPr="008C5085">
        <w:rPr>
          <w:noProof/>
        </w:rPr>
        <w:t xml:space="preserve"> </w:t>
      </w:r>
      <w:r w:rsidR="008C5085" w:rsidRPr="008C5085">
        <w:rPr>
          <w:b/>
          <w:bCs/>
          <w:noProof/>
        </w:rPr>
        <w:t>452,</w:t>
      </w:r>
      <w:r w:rsidR="008C5085" w:rsidRPr="008C5085">
        <w:rPr>
          <w:noProof/>
        </w:rPr>
        <w:t xml:space="preserve"> 872–6 (2008).</w:t>
      </w:r>
    </w:p>
    <w:p w:rsidR="008C5085" w:rsidRPr="008C5085" w:rsidRDefault="008C5085">
      <w:pPr>
        <w:pStyle w:val="NormalWeb"/>
        <w:ind w:left="640" w:hanging="640"/>
        <w:divId w:val="964579723"/>
        <w:rPr>
          <w:noProof/>
        </w:rPr>
      </w:pPr>
      <w:r w:rsidRPr="008C5085">
        <w:rPr>
          <w:noProof/>
        </w:rPr>
        <w:t>2.</w:t>
      </w:r>
      <w:r w:rsidRPr="008C5085">
        <w:rPr>
          <w:noProof/>
        </w:rPr>
        <w:tab/>
        <w:t xml:space="preserve">Lupski, J. R. </w:t>
      </w:r>
      <w:r w:rsidRPr="008C5085">
        <w:rPr>
          <w:i/>
          <w:iCs/>
          <w:noProof/>
        </w:rPr>
        <w:t>et al.</w:t>
      </w:r>
      <w:r w:rsidRPr="008C5085">
        <w:rPr>
          <w:noProof/>
        </w:rPr>
        <w:t xml:space="preserve"> Whole-genome sequencing in a patient with Charcot-Marie-Tooth neuropathy. </w:t>
      </w:r>
      <w:r w:rsidRPr="008C5085">
        <w:rPr>
          <w:i/>
          <w:iCs/>
          <w:noProof/>
        </w:rPr>
        <w:t>N. Engl. J. Med.</w:t>
      </w:r>
      <w:r w:rsidRPr="008C5085">
        <w:rPr>
          <w:noProof/>
        </w:rPr>
        <w:t xml:space="preserve"> </w:t>
      </w:r>
      <w:r w:rsidRPr="008C5085">
        <w:rPr>
          <w:b/>
          <w:bCs/>
          <w:noProof/>
        </w:rPr>
        <w:t>362,</w:t>
      </w:r>
      <w:r w:rsidRPr="008C5085">
        <w:rPr>
          <w:noProof/>
        </w:rPr>
        <w:t xml:space="preserve"> 1181–91 (2010).</w:t>
      </w:r>
    </w:p>
    <w:p w:rsidR="008C5085" w:rsidRPr="008C5085" w:rsidRDefault="008C5085">
      <w:pPr>
        <w:pStyle w:val="NormalWeb"/>
        <w:ind w:left="640" w:hanging="640"/>
        <w:divId w:val="964579723"/>
        <w:rPr>
          <w:noProof/>
        </w:rPr>
      </w:pPr>
      <w:r w:rsidRPr="008C5085">
        <w:rPr>
          <w:noProof/>
        </w:rPr>
        <w:t>3.</w:t>
      </w:r>
      <w:r w:rsidRPr="008C5085">
        <w:rPr>
          <w:noProof/>
        </w:rPr>
        <w:tab/>
        <w:t xml:space="preserve">Levy, S. </w:t>
      </w:r>
      <w:r w:rsidRPr="008C5085">
        <w:rPr>
          <w:i/>
          <w:iCs/>
          <w:noProof/>
        </w:rPr>
        <w:t>et al.</w:t>
      </w:r>
      <w:r w:rsidRPr="008C5085">
        <w:rPr>
          <w:noProof/>
        </w:rPr>
        <w:t xml:space="preserve"> The diploid genome sequence of an individual human. </w:t>
      </w:r>
      <w:r w:rsidRPr="008C5085">
        <w:rPr>
          <w:i/>
          <w:iCs/>
          <w:noProof/>
        </w:rPr>
        <w:t>PLoS Biol.</w:t>
      </w:r>
      <w:r w:rsidRPr="008C5085">
        <w:rPr>
          <w:noProof/>
        </w:rPr>
        <w:t xml:space="preserve"> </w:t>
      </w:r>
      <w:r w:rsidRPr="008C5085">
        <w:rPr>
          <w:b/>
          <w:bCs/>
          <w:noProof/>
        </w:rPr>
        <w:t>5,</w:t>
      </w:r>
      <w:r w:rsidRPr="008C5085">
        <w:rPr>
          <w:noProof/>
        </w:rPr>
        <w:t xml:space="preserve"> e254 (2007).</w:t>
      </w:r>
    </w:p>
    <w:p w:rsidR="008C5085" w:rsidRPr="008C5085" w:rsidRDefault="008C5085">
      <w:pPr>
        <w:pStyle w:val="NormalWeb"/>
        <w:ind w:left="640" w:hanging="640"/>
        <w:divId w:val="964579723"/>
        <w:rPr>
          <w:noProof/>
        </w:rPr>
      </w:pPr>
      <w:r w:rsidRPr="008C5085">
        <w:rPr>
          <w:noProof/>
        </w:rPr>
        <w:t>4.</w:t>
      </w:r>
      <w:r w:rsidRPr="008C5085">
        <w:rPr>
          <w:noProof/>
        </w:rPr>
        <w:tab/>
        <w:t xml:space="preserve">Abecasis, G. R. </w:t>
      </w:r>
      <w:r w:rsidRPr="008C5085">
        <w:rPr>
          <w:i/>
          <w:iCs/>
          <w:noProof/>
        </w:rPr>
        <w:t>et al.</w:t>
      </w:r>
      <w:r w:rsidRPr="008C5085">
        <w:rPr>
          <w:noProof/>
        </w:rPr>
        <w:t xml:space="preserve"> An integrated map of genetic variation from 1,092 human genomes. </w:t>
      </w:r>
      <w:r w:rsidRPr="008C5085">
        <w:rPr>
          <w:i/>
          <w:iCs/>
          <w:noProof/>
        </w:rPr>
        <w:t>Nature</w:t>
      </w:r>
      <w:r w:rsidRPr="008C5085">
        <w:rPr>
          <w:noProof/>
        </w:rPr>
        <w:t xml:space="preserve"> </w:t>
      </w:r>
      <w:r w:rsidRPr="008C5085">
        <w:rPr>
          <w:b/>
          <w:bCs/>
          <w:noProof/>
        </w:rPr>
        <w:t>491,</w:t>
      </w:r>
      <w:r w:rsidRPr="008C5085">
        <w:rPr>
          <w:noProof/>
        </w:rPr>
        <w:t xml:space="preserve"> 56–65 (2012).</w:t>
      </w:r>
    </w:p>
    <w:p w:rsidR="008C5085" w:rsidRPr="008C5085" w:rsidRDefault="008C5085">
      <w:pPr>
        <w:pStyle w:val="NormalWeb"/>
        <w:ind w:left="640" w:hanging="640"/>
        <w:divId w:val="964579723"/>
        <w:rPr>
          <w:noProof/>
        </w:rPr>
      </w:pPr>
      <w:r w:rsidRPr="008C5085">
        <w:rPr>
          <w:noProof/>
        </w:rPr>
        <w:t>5.</w:t>
      </w:r>
      <w:r w:rsidRPr="008C5085">
        <w:rPr>
          <w:noProof/>
        </w:rPr>
        <w:tab/>
        <w:t xml:space="preserve">Muddyman, D., Smee, C., Griffin, H. &amp; Kaye, J. Implementing a successful data-management framework: the UK10K managed access model. </w:t>
      </w:r>
      <w:r w:rsidRPr="008C5085">
        <w:rPr>
          <w:i/>
          <w:iCs/>
          <w:noProof/>
        </w:rPr>
        <w:t>Genome Med.</w:t>
      </w:r>
      <w:r w:rsidRPr="008C5085">
        <w:rPr>
          <w:noProof/>
        </w:rPr>
        <w:t xml:space="preserve"> </w:t>
      </w:r>
      <w:r w:rsidRPr="008C5085">
        <w:rPr>
          <w:b/>
          <w:bCs/>
          <w:noProof/>
        </w:rPr>
        <w:t>5,</w:t>
      </w:r>
      <w:r w:rsidRPr="008C5085">
        <w:rPr>
          <w:noProof/>
        </w:rPr>
        <w:t xml:space="preserve"> 100 (2013).</w:t>
      </w:r>
    </w:p>
    <w:p w:rsidR="008C5085" w:rsidRPr="008C5085" w:rsidRDefault="008C5085">
      <w:pPr>
        <w:pStyle w:val="NormalWeb"/>
        <w:ind w:left="640" w:hanging="640"/>
        <w:divId w:val="964579723"/>
        <w:rPr>
          <w:noProof/>
        </w:rPr>
      </w:pPr>
      <w:r w:rsidRPr="008C5085">
        <w:rPr>
          <w:noProof/>
        </w:rPr>
        <w:t>6.</w:t>
      </w:r>
      <w:r w:rsidRPr="008C5085">
        <w:rPr>
          <w:noProof/>
        </w:rPr>
        <w:tab/>
        <w:t xml:space="preserve">Church, G. M. The personal genome project. </w:t>
      </w:r>
      <w:r w:rsidRPr="008C5085">
        <w:rPr>
          <w:i/>
          <w:iCs/>
          <w:noProof/>
        </w:rPr>
        <w:t>Mol. Syst. Biol.</w:t>
      </w:r>
      <w:r w:rsidRPr="008C5085">
        <w:rPr>
          <w:noProof/>
        </w:rPr>
        <w:t xml:space="preserve"> </w:t>
      </w:r>
      <w:r w:rsidRPr="008C5085">
        <w:rPr>
          <w:b/>
          <w:bCs/>
          <w:noProof/>
        </w:rPr>
        <w:t>1,</w:t>
      </w:r>
      <w:r w:rsidRPr="008C5085">
        <w:rPr>
          <w:noProof/>
        </w:rPr>
        <w:t xml:space="preserve"> 2005.0030 (2005).</w:t>
      </w:r>
    </w:p>
    <w:p w:rsidR="008C5085" w:rsidRPr="008C5085" w:rsidRDefault="008C5085">
      <w:pPr>
        <w:pStyle w:val="NormalWeb"/>
        <w:ind w:left="640" w:hanging="640"/>
        <w:divId w:val="964579723"/>
        <w:rPr>
          <w:noProof/>
        </w:rPr>
      </w:pPr>
      <w:r w:rsidRPr="008C5085">
        <w:rPr>
          <w:noProof/>
        </w:rPr>
        <w:t>7.</w:t>
      </w:r>
      <w:r w:rsidRPr="008C5085">
        <w:rPr>
          <w:noProof/>
        </w:rPr>
        <w:tab/>
        <w:t xml:space="preserve">Pickrell, J. K. </w:t>
      </w:r>
      <w:r w:rsidRPr="008C5085">
        <w:rPr>
          <w:i/>
          <w:iCs/>
          <w:noProof/>
        </w:rPr>
        <w:t>et al.</w:t>
      </w:r>
      <w:r w:rsidRPr="008C5085">
        <w:rPr>
          <w:noProof/>
        </w:rPr>
        <w:t xml:space="preserve"> Understanding mechanisms underlying human gene expression variation with RNA sequencing. </w:t>
      </w:r>
      <w:r w:rsidRPr="008C5085">
        <w:rPr>
          <w:i/>
          <w:iCs/>
          <w:noProof/>
        </w:rPr>
        <w:t>Nature</w:t>
      </w:r>
      <w:r w:rsidRPr="008C5085">
        <w:rPr>
          <w:noProof/>
        </w:rPr>
        <w:t xml:space="preserve"> </w:t>
      </w:r>
      <w:r w:rsidRPr="008C5085">
        <w:rPr>
          <w:b/>
          <w:bCs/>
          <w:noProof/>
        </w:rPr>
        <w:t>464,</w:t>
      </w:r>
      <w:r w:rsidRPr="008C5085">
        <w:rPr>
          <w:noProof/>
        </w:rPr>
        <w:t xml:space="preserve"> 768–72 (2010).</w:t>
      </w:r>
    </w:p>
    <w:p w:rsidR="008C5085" w:rsidRPr="008C5085" w:rsidRDefault="008C5085">
      <w:pPr>
        <w:pStyle w:val="NormalWeb"/>
        <w:ind w:left="640" w:hanging="640"/>
        <w:divId w:val="964579723"/>
        <w:rPr>
          <w:noProof/>
        </w:rPr>
      </w:pPr>
      <w:r w:rsidRPr="008C5085">
        <w:rPr>
          <w:noProof/>
        </w:rPr>
        <w:t>8.</w:t>
      </w:r>
      <w:r w:rsidRPr="008C5085">
        <w:rPr>
          <w:noProof/>
        </w:rPr>
        <w:tab/>
        <w:t xml:space="preserve">Majewski, J. &amp; Pastinen, T. The study of eQTL variations by RNA-seq: from SNPs to phenotypes. </w:t>
      </w:r>
      <w:r w:rsidRPr="008C5085">
        <w:rPr>
          <w:i/>
          <w:iCs/>
          <w:noProof/>
        </w:rPr>
        <w:t>Trends Genet.</w:t>
      </w:r>
      <w:r w:rsidRPr="008C5085">
        <w:rPr>
          <w:noProof/>
        </w:rPr>
        <w:t xml:space="preserve"> </w:t>
      </w:r>
      <w:r w:rsidRPr="008C5085">
        <w:rPr>
          <w:b/>
          <w:bCs/>
          <w:noProof/>
        </w:rPr>
        <w:t>27,</w:t>
      </w:r>
      <w:r w:rsidRPr="008C5085">
        <w:rPr>
          <w:noProof/>
        </w:rPr>
        <w:t xml:space="preserve"> 72–9 (2011).</w:t>
      </w:r>
    </w:p>
    <w:p w:rsidR="008C5085" w:rsidRPr="008C5085" w:rsidRDefault="008C5085">
      <w:pPr>
        <w:pStyle w:val="NormalWeb"/>
        <w:ind w:left="640" w:hanging="640"/>
        <w:divId w:val="964579723"/>
        <w:rPr>
          <w:noProof/>
        </w:rPr>
      </w:pPr>
      <w:r w:rsidRPr="008C5085">
        <w:rPr>
          <w:noProof/>
        </w:rPr>
        <w:t>9.</w:t>
      </w:r>
      <w:r w:rsidRPr="008C5085">
        <w:rPr>
          <w:noProof/>
        </w:rPr>
        <w:tab/>
        <w:t xml:space="preserve">Montgomery, S. B., Lappalainen, T., Gutierrez-Arcelus, M. &amp; Dermitzakis, E. T. Rare and common regulatory variation in population-scale sequenced human genomes. </w:t>
      </w:r>
      <w:r w:rsidRPr="008C5085">
        <w:rPr>
          <w:i/>
          <w:iCs/>
          <w:noProof/>
        </w:rPr>
        <w:t>PLoS Genet.</w:t>
      </w:r>
      <w:r w:rsidRPr="008C5085">
        <w:rPr>
          <w:noProof/>
        </w:rPr>
        <w:t xml:space="preserve"> </w:t>
      </w:r>
      <w:r w:rsidRPr="008C5085">
        <w:rPr>
          <w:b/>
          <w:bCs/>
          <w:noProof/>
        </w:rPr>
        <w:t>7,</w:t>
      </w:r>
      <w:r w:rsidRPr="008C5085">
        <w:rPr>
          <w:noProof/>
        </w:rPr>
        <w:t xml:space="preserve"> e1002144 (2011).</w:t>
      </w:r>
    </w:p>
    <w:p w:rsidR="008C5085" w:rsidRPr="008C5085" w:rsidRDefault="008C5085">
      <w:pPr>
        <w:pStyle w:val="NormalWeb"/>
        <w:ind w:left="640" w:hanging="640"/>
        <w:divId w:val="964579723"/>
        <w:rPr>
          <w:noProof/>
        </w:rPr>
      </w:pPr>
      <w:r w:rsidRPr="008C5085">
        <w:rPr>
          <w:noProof/>
        </w:rPr>
        <w:t>10.</w:t>
      </w:r>
      <w:r w:rsidRPr="008C5085">
        <w:rPr>
          <w:noProof/>
        </w:rPr>
        <w:tab/>
        <w:t xml:space="preserve">Djebali, S. </w:t>
      </w:r>
      <w:r w:rsidRPr="008C5085">
        <w:rPr>
          <w:i/>
          <w:iCs/>
          <w:noProof/>
        </w:rPr>
        <w:t>et al.</w:t>
      </w:r>
      <w:r w:rsidRPr="008C5085">
        <w:rPr>
          <w:noProof/>
        </w:rPr>
        <w:t xml:space="preserve"> Landscape of transcription in human cells. </w:t>
      </w:r>
      <w:r w:rsidRPr="008C5085">
        <w:rPr>
          <w:i/>
          <w:iCs/>
          <w:noProof/>
        </w:rPr>
        <w:t>Nature</w:t>
      </w:r>
      <w:r w:rsidRPr="008C5085">
        <w:rPr>
          <w:noProof/>
        </w:rPr>
        <w:t xml:space="preserve"> </w:t>
      </w:r>
      <w:r w:rsidRPr="008C5085">
        <w:rPr>
          <w:b/>
          <w:bCs/>
          <w:noProof/>
        </w:rPr>
        <w:t>489,</w:t>
      </w:r>
      <w:r w:rsidRPr="008C5085">
        <w:rPr>
          <w:noProof/>
        </w:rPr>
        <w:t xml:space="preserve"> 101–8 (2012).</w:t>
      </w:r>
    </w:p>
    <w:p w:rsidR="008C5085" w:rsidRPr="008C5085" w:rsidRDefault="008C5085">
      <w:pPr>
        <w:pStyle w:val="NormalWeb"/>
        <w:ind w:left="640" w:hanging="640"/>
        <w:divId w:val="964579723"/>
        <w:rPr>
          <w:noProof/>
        </w:rPr>
      </w:pPr>
      <w:r w:rsidRPr="008C5085">
        <w:rPr>
          <w:noProof/>
        </w:rPr>
        <w:t>11.</w:t>
      </w:r>
      <w:r w:rsidRPr="008C5085">
        <w:rPr>
          <w:noProof/>
        </w:rPr>
        <w:tab/>
        <w:t xml:space="preserve">McDaniell, R. </w:t>
      </w:r>
      <w:r w:rsidRPr="008C5085">
        <w:rPr>
          <w:i/>
          <w:iCs/>
          <w:noProof/>
        </w:rPr>
        <w:t>et al.</w:t>
      </w:r>
      <w:r w:rsidRPr="008C5085">
        <w:rPr>
          <w:noProof/>
        </w:rPr>
        <w:t xml:space="preserve"> Heritable individual-specific and allele-specific chromatin signatures in humans. </w:t>
      </w:r>
      <w:r w:rsidRPr="008C5085">
        <w:rPr>
          <w:i/>
          <w:iCs/>
          <w:noProof/>
        </w:rPr>
        <w:t>Science</w:t>
      </w:r>
      <w:r w:rsidRPr="008C5085">
        <w:rPr>
          <w:noProof/>
        </w:rPr>
        <w:t xml:space="preserve"> </w:t>
      </w:r>
      <w:r w:rsidRPr="008C5085">
        <w:rPr>
          <w:b/>
          <w:bCs/>
          <w:noProof/>
        </w:rPr>
        <w:t>328,</w:t>
      </w:r>
      <w:r w:rsidRPr="008C5085">
        <w:rPr>
          <w:noProof/>
        </w:rPr>
        <w:t xml:space="preserve"> 235–9 (2010).</w:t>
      </w:r>
    </w:p>
    <w:p w:rsidR="008C5085" w:rsidRPr="008C5085" w:rsidRDefault="008C5085">
      <w:pPr>
        <w:pStyle w:val="NormalWeb"/>
        <w:ind w:left="640" w:hanging="640"/>
        <w:divId w:val="964579723"/>
        <w:rPr>
          <w:noProof/>
        </w:rPr>
      </w:pPr>
      <w:r w:rsidRPr="008C5085">
        <w:rPr>
          <w:noProof/>
        </w:rPr>
        <w:lastRenderedPageBreak/>
        <w:t>12.</w:t>
      </w:r>
      <w:r w:rsidRPr="008C5085">
        <w:rPr>
          <w:noProof/>
        </w:rPr>
        <w:tab/>
        <w:t xml:space="preserve">Yan, H., Yuan, W., Velculescu, V. E., Vogelstein, B. &amp; Kinzler, K. W. Allelic variation in human gene expression. </w:t>
      </w:r>
      <w:r w:rsidRPr="008C5085">
        <w:rPr>
          <w:i/>
          <w:iCs/>
          <w:noProof/>
        </w:rPr>
        <w:t>Science</w:t>
      </w:r>
      <w:r w:rsidRPr="008C5085">
        <w:rPr>
          <w:noProof/>
        </w:rPr>
        <w:t xml:space="preserve"> </w:t>
      </w:r>
      <w:r w:rsidRPr="008C5085">
        <w:rPr>
          <w:b/>
          <w:bCs/>
          <w:noProof/>
        </w:rPr>
        <w:t>297,</w:t>
      </w:r>
      <w:r w:rsidRPr="008C5085">
        <w:rPr>
          <w:noProof/>
        </w:rPr>
        <w:t xml:space="preserve"> 1143 (2002).</w:t>
      </w:r>
    </w:p>
    <w:p w:rsidR="008C5085" w:rsidRPr="008C5085" w:rsidRDefault="008C5085">
      <w:pPr>
        <w:pStyle w:val="NormalWeb"/>
        <w:ind w:left="640" w:hanging="640"/>
        <w:divId w:val="964579723"/>
        <w:rPr>
          <w:noProof/>
        </w:rPr>
      </w:pPr>
      <w:r w:rsidRPr="008C5085">
        <w:rPr>
          <w:noProof/>
        </w:rPr>
        <w:t>13.</w:t>
      </w:r>
      <w:r w:rsidRPr="008C5085">
        <w:rPr>
          <w:noProof/>
        </w:rPr>
        <w:tab/>
        <w:t xml:space="preserve">Ge, B. </w:t>
      </w:r>
      <w:r w:rsidRPr="008C5085">
        <w:rPr>
          <w:i/>
          <w:iCs/>
          <w:noProof/>
        </w:rPr>
        <w:t>et al.</w:t>
      </w:r>
      <w:r w:rsidRPr="008C5085">
        <w:rPr>
          <w:noProof/>
        </w:rPr>
        <w:t xml:space="preserve"> Global patterns of cis variation in human cells revealed by high-density allelic expression analysis. </w:t>
      </w:r>
      <w:r w:rsidRPr="008C5085">
        <w:rPr>
          <w:i/>
          <w:iCs/>
          <w:noProof/>
        </w:rPr>
        <w:t>Nat. Genet.</w:t>
      </w:r>
      <w:r w:rsidRPr="008C5085">
        <w:rPr>
          <w:noProof/>
        </w:rPr>
        <w:t xml:space="preserve"> </w:t>
      </w:r>
      <w:r w:rsidRPr="008C5085">
        <w:rPr>
          <w:b/>
          <w:bCs/>
          <w:noProof/>
        </w:rPr>
        <w:t>41,</w:t>
      </w:r>
      <w:r w:rsidRPr="008C5085">
        <w:rPr>
          <w:noProof/>
        </w:rPr>
        <w:t xml:space="preserve"> 1216–22 (2009).</w:t>
      </w:r>
    </w:p>
    <w:p w:rsidR="008C5085" w:rsidRPr="008C5085" w:rsidRDefault="008C5085">
      <w:pPr>
        <w:pStyle w:val="NormalWeb"/>
        <w:ind w:left="640" w:hanging="640"/>
        <w:divId w:val="964579723"/>
        <w:rPr>
          <w:noProof/>
        </w:rPr>
      </w:pPr>
      <w:r w:rsidRPr="008C5085">
        <w:rPr>
          <w:noProof/>
        </w:rPr>
        <w:t>14.</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1855–62 (2003).</w:t>
      </w:r>
    </w:p>
    <w:p w:rsidR="008C5085" w:rsidRPr="008C5085" w:rsidRDefault="008C5085">
      <w:pPr>
        <w:pStyle w:val="NormalWeb"/>
        <w:ind w:left="640" w:hanging="640"/>
        <w:divId w:val="964579723"/>
        <w:rPr>
          <w:noProof/>
        </w:rPr>
      </w:pPr>
      <w:r w:rsidRPr="008C5085">
        <w:rPr>
          <w:noProof/>
        </w:rPr>
        <w:t>15.</w:t>
      </w:r>
      <w:r w:rsidRPr="008C5085">
        <w:rPr>
          <w:noProof/>
        </w:rPr>
        <w:tab/>
        <w:t xml:space="preserve">Lappalainen, T. </w:t>
      </w:r>
      <w:r w:rsidRPr="008C5085">
        <w:rPr>
          <w:i/>
          <w:iCs/>
          <w:noProof/>
        </w:rPr>
        <w:t>et al.</w:t>
      </w:r>
      <w:r w:rsidRPr="008C5085">
        <w:rPr>
          <w:noProof/>
        </w:rPr>
        <w:t xml:space="preserve"> Transcriptome and genome sequencing uncovers functional variation in humans. </w:t>
      </w:r>
      <w:r w:rsidRPr="008C5085">
        <w:rPr>
          <w:i/>
          <w:iCs/>
          <w:noProof/>
        </w:rPr>
        <w:t>Nature</w:t>
      </w:r>
      <w:r w:rsidRPr="008C5085">
        <w:rPr>
          <w:noProof/>
        </w:rPr>
        <w:t xml:space="preserve"> </w:t>
      </w:r>
      <w:r w:rsidRPr="008C5085">
        <w:rPr>
          <w:b/>
          <w:bCs/>
          <w:noProof/>
        </w:rPr>
        <w:t>501,</w:t>
      </w:r>
      <w:r w:rsidRPr="008C5085">
        <w:rPr>
          <w:noProof/>
        </w:rPr>
        <w:t xml:space="preserve"> 506–11 (2013).</w:t>
      </w:r>
    </w:p>
    <w:p w:rsidR="008C5085" w:rsidRPr="008C5085" w:rsidRDefault="008C5085">
      <w:pPr>
        <w:pStyle w:val="NormalWeb"/>
        <w:ind w:left="640" w:hanging="640"/>
        <w:divId w:val="964579723"/>
        <w:rPr>
          <w:noProof/>
        </w:rPr>
      </w:pPr>
      <w:r w:rsidRPr="008C5085">
        <w:rPr>
          <w:noProof/>
        </w:rPr>
        <w:t>16.</w:t>
      </w:r>
      <w:r w:rsidRPr="008C5085">
        <w:rPr>
          <w:noProof/>
        </w:rPr>
        <w:tab/>
        <w:t xml:space="preserve">Rozowsky, J. </w:t>
      </w:r>
      <w:r w:rsidRPr="008C5085">
        <w:rPr>
          <w:i/>
          <w:iCs/>
          <w:noProof/>
        </w:rPr>
        <w:t>et al.</w:t>
      </w:r>
      <w:r w:rsidRPr="008C5085">
        <w:rPr>
          <w:noProof/>
        </w:rPr>
        <w:t xml:space="preserve"> AlleleSeq: analysis of allele-specific expression and binding in a network framework. </w:t>
      </w:r>
      <w:r w:rsidRPr="008C5085">
        <w:rPr>
          <w:i/>
          <w:iCs/>
          <w:noProof/>
        </w:rPr>
        <w:t>Mol. Syst. Biol.</w:t>
      </w:r>
      <w:r w:rsidRPr="008C5085">
        <w:rPr>
          <w:noProof/>
        </w:rPr>
        <w:t xml:space="preserve"> </w:t>
      </w:r>
      <w:r w:rsidRPr="008C5085">
        <w:rPr>
          <w:b/>
          <w:bCs/>
          <w:noProof/>
        </w:rPr>
        <w:t>7,</w:t>
      </w:r>
      <w:r w:rsidRPr="008C5085">
        <w:rPr>
          <w:noProof/>
        </w:rPr>
        <w:t xml:space="preserve"> 522 (2011).</w:t>
      </w:r>
    </w:p>
    <w:p w:rsidR="008C5085" w:rsidRPr="008C5085" w:rsidRDefault="008C5085">
      <w:pPr>
        <w:pStyle w:val="NormalWeb"/>
        <w:ind w:left="640" w:hanging="640"/>
        <w:divId w:val="964579723"/>
        <w:rPr>
          <w:noProof/>
        </w:rPr>
      </w:pPr>
      <w:r w:rsidRPr="008C5085">
        <w:rPr>
          <w:noProof/>
        </w:rPr>
        <w:t>17.</w:t>
      </w:r>
      <w:r w:rsidRPr="008C5085">
        <w:rPr>
          <w:noProof/>
        </w:rPr>
        <w:tab/>
        <w:t xml:space="preserve">Engström, P. G. </w:t>
      </w:r>
      <w:r w:rsidRPr="008C5085">
        <w:rPr>
          <w:i/>
          <w:iCs/>
          <w:noProof/>
        </w:rPr>
        <w:t>et al.</w:t>
      </w:r>
      <w:r w:rsidRPr="008C5085">
        <w:rPr>
          <w:noProof/>
        </w:rPr>
        <w:t xml:space="preserve"> Systematic evaluation of spliced alignment programs for RNA-seq data. </w:t>
      </w:r>
      <w:r w:rsidRPr="008C5085">
        <w:rPr>
          <w:i/>
          <w:iCs/>
          <w:noProof/>
        </w:rPr>
        <w:t>Nat. Methods</w:t>
      </w:r>
      <w:r w:rsidRPr="008C5085">
        <w:rPr>
          <w:noProof/>
        </w:rPr>
        <w:t xml:space="preserve"> </w:t>
      </w:r>
      <w:r w:rsidRPr="008C5085">
        <w:rPr>
          <w:b/>
          <w:bCs/>
          <w:noProof/>
        </w:rPr>
        <w:t>10,</w:t>
      </w:r>
      <w:r w:rsidRPr="008C5085">
        <w:rPr>
          <w:noProof/>
        </w:rPr>
        <w:t xml:space="preserve"> 1185–91 (2013).</w:t>
      </w:r>
    </w:p>
    <w:p w:rsidR="008C5085" w:rsidRPr="008C5085" w:rsidRDefault="008C5085">
      <w:pPr>
        <w:pStyle w:val="NormalWeb"/>
        <w:ind w:left="640" w:hanging="640"/>
        <w:divId w:val="964579723"/>
        <w:rPr>
          <w:noProof/>
        </w:rPr>
      </w:pPr>
      <w:r w:rsidRPr="008C5085">
        <w:rPr>
          <w:noProof/>
        </w:rPr>
        <w:t>18.</w:t>
      </w:r>
      <w:r w:rsidRPr="008C5085">
        <w:rPr>
          <w:noProof/>
        </w:rPr>
        <w:tab/>
        <w:t xml:space="preserve">Kilpinen, H. </w:t>
      </w:r>
      <w:r w:rsidRPr="008C5085">
        <w:rPr>
          <w:i/>
          <w:iCs/>
          <w:noProof/>
        </w:rPr>
        <w:t>et al.</w:t>
      </w:r>
      <w:r w:rsidRPr="008C5085">
        <w:rPr>
          <w:noProof/>
        </w:rPr>
        <w:t xml:space="preserve"> Coordinated effects of sequence variation on DNA binding, chromatin structure, and transcription. </w:t>
      </w:r>
      <w:r w:rsidRPr="008C5085">
        <w:rPr>
          <w:i/>
          <w:iCs/>
          <w:noProof/>
        </w:rPr>
        <w:t>Science</w:t>
      </w:r>
      <w:r w:rsidRPr="008C5085">
        <w:rPr>
          <w:noProof/>
        </w:rPr>
        <w:t xml:space="preserve"> </w:t>
      </w:r>
      <w:r w:rsidRPr="008C5085">
        <w:rPr>
          <w:b/>
          <w:bCs/>
          <w:noProof/>
        </w:rPr>
        <w:t>342,</w:t>
      </w:r>
      <w:r w:rsidRPr="008C5085">
        <w:rPr>
          <w:noProof/>
        </w:rPr>
        <w:t xml:space="preserve"> 744–7 (2013).</w:t>
      </w:r>
    </w:p>
    <w:p w:rsidR="008C5085" w:rsidRPr="008C5085" w:rsidRDefault="008C5085">
      <w:pPr>
        <w:pStyle w:val="NormalWeb"/>
        <w:ind w:left="640" w:hanging="640"/>
        <w:divId w:val="964579723"/>
        <w:rPr>
          <w:noProof/>
        </w:rPr>
      </w:pPr>
      <w:r w:rsidRPr="008C5085">
        <w:rPr>
          <w:noProof/>
        </w:rPr>
        <w:t>19.</w:t>
      </w:r>
      <w:r w:rsidRPr="008C5085">
        <w:rPr>
          <w:noProof/>
        </w:rPr>
        <w:tab/>
        <w:t xml:space="preserve">Kasowski, M. </w:t>
      </w:r>
      <w:r w:rsidRPr="008C5085">
        <w:rPr>
          <w:i/>
          <w:iCs/>
          <w:noProof/>
        </w:rPr>
        <w:t>et al.</w:t>
      </w:r>
      <w:r w:rsidRPr="008C5085">
        <w:rPr>
          <w:noProof/>
        </w:rPr>
        <w:t xml:space="preserve"> Extensive variation in chromatin states across humans. </w:t>
      </w:r>
      <w:r w:rsidRPr="008C5085">
        <w:rPr>
          <w:i/>
          <w:iCs/>
          <w:noProof/>
        </w:rPr>
        <w:t>Science</w:t>
      </w:r>
      <w:r w:rsidRPr="008C5085">
        <w:rPr>
          <w:noProof/>
        </w:rPr>
        <w:t xml:space="preserve"> </w:t>
      </w:r>
      <w:r w:rsidRPr="008C5085">
        <w:rPr>
          <w:b/>
          <w:bCs/>
          <w:noProof/>
        </w:rPr>
        <w:t>342,</w:t>
      </w:r>
      <w:r w:rsidRPr="008C5085">
        <w:rPr>
          <w:noProof/>
        </w:rPr>
        <w:t xml:space="preserve"> 750–2 (2013).</w:t>
      </w:r>
    </w:p>
    <w:p w:rsidR="008C5085" w:rsidRPr="008C5085" w:rsidRDefault="008C5085">
      <w:pPr>
        <w:pStyle w:val="NormalWeb"/>
        <w:ind w:left="640" w:hanging="640"/>
        <w:divId w:val="964579723"/>
        <w:rPr>
          <w:noProof/>
        </w:rPr>
      </w:pPr>
      <w:r w:rsidRPr="008C5085">
        <w:rPr>
          <w:noProof/>
        </w:rPr>
        <w:t>20.</w:t>
      </w:r>
      <w:r w:rsidRPr="008C5085">
        <w:rPr>
          <w:noProof/>
        </w:rPr>
        <w:tab/>
        <w:t xml:space="preserve">Harismendy, O. </w:t>
      </w:r>
      <w:r w:rsidRPr="008C5085">
        <w:rPr>
          <w:i/>
          <w:iCs/>
          <w:noProof/>
        </w:rPr>
        <w:t>et al.</w:t>
      </w:r>
      <w:r w:rsidRPr="008C5085">
        <w:rPr>
          <w:noProof/>
        </w:rPr>
        <w:t xml:space="preserve"> Evaluation of next generation sequencing platforms for population targeted sequencing studies. </w:t>
      </w:r>
      <w:r w:rsidRPr="008C5085">
        <w:rPr>
          <w:i/>
          <w:iCs/>
          <w:noProof/>
        </w:rPr>
        <w:t>Genome Biol.</w:t>
      </w:r>
      <w:r w:rsidRPr="008C5085">
        <w:rPr>
          <w:noProof/>
        </w:rPr>
        <w:t xml:space="preserve"> </w:t>
      </w:r>
      <w:r w:rsidRPr="008C5085">
        <w:rPr>
          <w:b/>
          <w:bCs/>
          <w:noProof/>
        </w:rPr>
        <w:t>10,</w:t>
      </w:r>
      <w:r w:rsidRPr="008C5085">
        <w:rPr>
          <w:noProof/>
        </w:rPr>
        <w:t xml:space="preserve"> R32 (2009).</w:t>
      </w:r>
    </w:p>
    <w:p w:rsidR="008C5085" w:rsidRPr="008C5085" w:rsidRDefault="008C5085">
      <w:pPr>
        <w:pStyle w:val="NormalWeb"/>
        <w:ind w:left="640" w:hanging="640"/>
        <w:divId w:val="964579723"/>
        <w:rPr>
          <w:noProof/>
        </w:rPr>
      </w:pPr>
      <w:r w:rsidRPr="008C5085">
        <w:rPr>
          <w:noProof/>
        </w:rPr>
        <w:t>21.</w:t>
      </w:r>
      <w:r w:rsidRPr="008C5085">
        <w:rPr>
          <w:noProof/>
        </w:rPr>
        <w:tab/>
        <w:t xml:space="preserve">Stevenson, K. R., Coolon, J. D. &amp; Wittkopp, P. J. Sources of bias in measures of allele-specific expression derived from RNA-sequence data aligned to a single reference genome. </w:t>
      </w:r>
      <w:r w:rsidRPr="008C5085">
        <w:rPr>
          <w:i/>
          <w:iCs/>
          <w:noProof/>
        </w:rPr>
        <w:t>BMC Genomics</w:t>
      </w:r>
      <w:r w:rsidRPr="008C5085">
        <w:rPr>
          <w:noProof/>
        </w:rPr>
        <w:t xml:space="preserve"> </w:t>
      </w:r>
      <w:r w:rsidRPr="008C5085">
        <w:rPr>
          <w:b/>
          <w:bCs/>
          <w:noProof/>
        </w:rPr>
        <w:t>14,</w:t>
      </w:r>
      <w:r w:rsidRPr="008C5085">
        <w:rPr>
          <w:noProof/>
        </w:rPr>
        <w:t xml:space="preserve"> 536 (2013).</w:t>
      </w:r>
    </w:p>
    <w:p w:rsidR="008C5085" w:rsidRPr="008C5085" w:rsidRDefault="008C5085">
      <w:pPr>
        <w:pStyle w:val="NormalWeb"/>
        <w:ind w:left="640" w:hanging="640"/>
        <w:divId w:val="964579723"/>
        <w:rPr>
          <w:noProof/>
        </w:rPr>
      </w:pPr>
      <w:r w:rsidRPr="008C5085">
        <w:rPr>
          <w:noProof/>
        </w:rPr>
        <w:t>22.</w:t>
      </w:r>
      <w:r w:rsidRPr="008C5085">
        <w:rPr>
          <w:noProof/>
        </w:rPr>
        <w:tab/>
        <w:t xml:space="preserve">Hansen, K. D., Brenner, S. E. &amp; Dudoit, S. Biases in Illumina transcriptome sequencing caused by random hexamer priming. </w:t>
      </w:r>
      <w:r w:rsidRPr="008C5085">
        <w:rPr>
          <w:i/>
          <w:iCs/>
          <w:noProof/>
        </w:rPr>
        <w:t>Nucleic Acids Res.</w:t>
      </w:r>
      <w:r w:rsidRPr="008C5085">
        <w:rPr>
          <w:noProof/>
        </w:rPr>
        <w:t xml:space="preserve"> </w:t>
      </w:r>
      <w:r w:rsidRPr="008C5085">
        <w:rPr>
          <w:b/>
          <w:bCs/>
          <w:noProof/>
        </w:rPr>
        <w:t>38,</w:t>
      </w:r>
      <w:r w:rsidRPr="008C5085">
        <w:rPr>
          <w:noProof/>
        </w:rPr>
        <w:t xml:space="preserve"> e131 (2010).</w:t>
      </w:r>
    </w:p>
    <w:p w:rsidR="008C5085" w:rsidRPr="008C5085" w:rsidRDefault="008C5085">
      <w:pPr>
        <w:pStyle w:val="NormalWeb"/>
        <w:ind w:left="640" w:hanging="640"/>
        <w:divId w:val="964579723"/>
        <w:rPr>
          <w:noProof/>
        </w:rPr>
      </w:pPr>
      <w:r w:rsidRPr="008C5085">
        <w:rPr>
          <w:noProof/>
        </w:rPr>
        <w:t>23.</w:t>
      </w:r>
      <w:r w:rsidRPr="008C5085">
        <w:rPr>
          <w:noProof/>
        </w:rPr>
        <w:tab/>
        <w:t xml:space="preserve">Degner, J. F. </w:t>
      </w:r>
      <w:r w:rsidRPr="008C5085">
        <w:rPr>
          <w:i/>
          <w:iCs/>
          <w:noProof/>
        </w:rPr>
        <w:t>et al.</w:t>
      </w:r>
      <w:r w:rsidRPr="008C5085">
        <w:rPr>
          <w:noProof/>
        </w:rPr>
        <w:t xml:space="preserve"> Effect of read-mapping biases on detecting allele-specific expression from RNA-sequencing data. </w:t>
      </w:r>
      <w:r w:rsidRPr="008C5085">
        <w:rPr>
          <w:i/>
          <w:iCs/>
          <w:noProof/>
        </w:rPr>
        <w:t>Bioinformatics</w:t>
      </w:r>
      <w:r w:rsidRPr="008C5085">
        <w:rPr>
          <w:noProof/>
        </w:rPr>
        <w:t xml:space="preserve"> </w:t>
      </w:r>
      <w:r w:rsidRPr="008C5085">
        <w:rPr>
          <w:b/>
          <w:bCs/>
          <w:noProof/>
        </w:rPr>
        <w:t>25,</w:t>
      </w:r>
      <w:r w:rsidRPr="008C5085">
        <w:rPr>
          <w:noProof/>
        </w:rPr>
        <w:t xml:space="preserve"> 3207–12 (2009).</w:t>
      </w:r>
    </w:p>
    <w:p w:rsidR="008C5085" w:rsidRPr="008C5085" w:rsidRDefault="008C5085">
      <w:pPr>
        <w:pStyle w:val="NormalWeb"/>
        <w:ind w:left="640" w:hanging="640"/>
        <w:divId w:val="964579723"/>
        <w:rPr>
          <w:noProof/>
        </w:rPr>
      </w:pPr>
      <w:r w:rsidRPr="008C5085">
        <w:rPr>
          <w:noProof/>
        </w:rPr>
        <w:t>24.</w:t>
      </w:r>
      <w:r w:rsidRPr="008C5085">
        <w:rPr>
          <w:noProof/>
        </w:rPr>
        <w:tab/>
        <w:t xml:space="preserve">Kent, W. J. </w:t>
      </w:r>
      <w:r w:rsidRPr="008C5085">
        <w:rPr>
          <w:i/>
          <w:iCs/>
          <w:noProof/>
        </w:rPr>
        <w:t>et al.</w:t>
      </w:r>
      <w:r w:rsidRPr="008C5085">
        <w:rPr>
          <w:noProof/>
        </w:rPr>
        <w:t xml:space="preserve"> The human genome browser at UCSC. </w:t>
      </w:r>
      <w:r w:rsidRPr="008C5085">
        <w:rPr>
          <w:i/>
          <w:iCs/>
          <w:noProof/>
        </w:rPr>
        <w:t>Genome Res.</w:t>
      </w:r>
      <w:r w:rsidRPr="008C5085">
        <w:rPr>
          <w:noProof/>
        </w:rPr>
        <w:t xml:space="preserve"> </w:t>
      </w:r>
      <w:r w:rsidRPr="008C5085">
        <w:rPr>
          <w:b/>
          <w:bCs/>
          <w:noProof/>
        </w:rPr>
        <w:t>12,</w:t>
      </w:r>
      <w:r w:rsidRPr="008C5085">
        <w:rPr>
          <w:noProof/>
        </w:rPr>
        <w:t xml:space="preserve"> 996–1006 (2002).</w:t>
      </w:r>
    </w:p>
    <w:p w:rsidR="008C5085" w:rsidRPr="008C5085" w:rsidRDefault="008C5085">
      <w:pPr>
        <w:pStyle w:val="NormalWeb"/>
        <w:ind w:left="640" w:hanging="640"/>
        <w:divId w:val="964579723"/>
        <w:rPr>
          <w:noProof/>
        </w:rPr>
      </w:pPr>
      <w:r w:rsidRPr="008C5085">
        <w:rPr>
          <w:noProof/>
        </w:rPr>
        <w:t>25.</w:t>
      </w:r>
      <w:r w:rsidRPr="008C5085">
        <w:rPr>
          <w:noProof/>
        </w:rPr>
        <w:tab/>
        <w:t xml:space="preserve">Bernstein, B. E. </w:t>
      </w:r>
      <w:r w:rsidRPr="008C5085">
        <w:rPr>
          <w:i/>
          <w:iCs/>
          <w:noProof/>
        </w:rPr>
        <w:t>et al.</w:t>
      </w:r>
      <w:r w:rsidRPr="008C5085">
        <w:rPr>
          <w:noProof/>
        </w:rPr>
        <w:t xml:space="preserve"> An integrated encyclopedia of DNA elements in the human genome. </w:t>
      </w:r>
      <w:r w:rsidRPr="008C5085">
        <w:rPr>
          <w:i/>
          <w:iCs/>
          <w:noProof/>
        </w:rPr>
        <w:t>Nature</w:t>
      </w:r>
      <w:r w:rsidRPr="008C5085">
        <w:rPr>
          <w:noProof/>
        </w:rPr>
        <w:t xml:space="preserve"> </w:t>
      </w:r>
      <w:r w:rsidRPr="008C5085">
        <w:rPr>
          <w:b/>
          <w:bCs/>
          <w:noProof/>
        </w:rPr>
        <w:t>489,</w:t>
      </w:r>
      <w:r w:rsidRPr="008C5085">
        <w:rPr>
          <w:noProof/>
        </w:rPr>
        <w:t xml:space="preserve"> 57–74 (2012).</w:t>
      </w:r>
    </w:p>
    <w:p w:rsidR="008C5085" w:rsidRPr="008C5085" w:rsidRDefault="008C5085">
      <w:pPr>
        <w:pStyle w:val="NormalWeb"/>
        <w:ind w:left="640" w:hanging="640"/>
        <w:divId w:val="964579723"/>
        <w:rPr>
          <w:noProof/>
        </w:rPr>
      </w:pPr>
      <w:r w:rsidRPr="008C5085">
        <w:rPr>
          <w:noProof/>
        </w:rPr>
        <w:t>26.</w:t>
      </w:r>
      <w:r w:rsidRPr="008C5085">
        <w:rPr>
          <w:noProof/>
        </w:rPr>
        <w:tab/>
        <w:t xml:space="preserve">Goldmit, M. &amp; Bergman, Y. Monoallelic gene expression: a repertoire of recurrent themes. </w:t>
      </w:r>
      <w:r w:rsidRPr="008C5085">
        <w:rPr>
          <w:i/>
          <w:iCs/>
          <w:noProof/>
        </w:rPr>
        <w:t>Immunol. Rev.</w:t>
      </w:r>
      <w:r w:rsidRPr="008C5085">
        <w:rPr>
          <w:noProof/>
        </w:rPr>
        <w:t xml:space="preserve"> </w:t>
      </w:r>
      <w:r w:rsidRPr="008C5085">
        <w:rPr>
          <w:b/>
          <w:bCs/>
          <w:noProof/>
        </w:rPr>
        <w:t>200,</w:t>
      </w:r>
      <w:r w:rsidRPr="008C5085">
        <w:rPr>
          <w:noProof/>
        </w:rPr>
        <w:t xml:space="preserve"> 197–214 (2004).</w:t>
      </w:r>
    </w:p>
    <w:p w:rsidR="008C5085" w:rsidRPr="008C5085" w:rsidRDefault="008C5085">
      <w:pPr>
        <w:pStyle w:val="NormalWeb"/>
        <w:ind w:left="640" w:hanging="640"/>
        <w:divId w:val="964579723"/>
        <w:rPr>
          <w:noProof/>
        </w:rPr>
      </w:pPr>
      <w:r w:rsidRPr="008C5085">
        <w:rPr>
          <w:noProof/>
        </w:rPr>
        <w:lastRenderedPageBreak/>
        <w:t>27.</w:t>
      </w:r>
      <w:r w:rsidRPr="008C5085">
        <w:rPr>
          <w:noProof/>
        </w:rPr>
        <w:tab/>
        <w:t xml:space="preserve">Zakharova, I. S., Shevchenko, A. I. &amp; Zakian, S. M. Monoallelic gene expression in mammals. </w:t>
      </w:r>
      <w:r w:rsidRPr="008C5085">
        <w:rPr>
          <w:i/>
          <w:iCs/>
          <w:noProof/>
        </w:rPr>
        <w:t>Chromosoma</w:t>
      </w:r>
      <w:r w:rsidRPr="008C5085">
        <w:rPr>
          <w:noProof/>
        </w:rPr>
        <w:t xml:space="preserve"> </w:t>
      </w:r>
      <w:r w:rsidRPr="008C5085">
        <w:rPr>
          <w:b/>
          <w:bCs/>
          <w:noProof/>
        </w:rPr>
        <w:t>118,</w:t>
      </w:r>
      <w:r w:rsidRPr="008C5085">
        <w:rPr>
          <w:noProof/>
        </w:rPr>
        <w:t xml:space="preserve"> 279–90 (2009).</w:t>
      </w:r>
    </w:p>
    <w:p w:rsidR="008C5085" w:rsidRPr="008C5085" w:rsidRDefault="008C5085">
      <w:pPr>
        <w:pStyle w:val="NormalWeb"/>
        <w:ind w:left="640" w:hanging="640"/>
        <w:divId w:val="964579723"/>
        <w:rPr>
          <w:noProof/>
        </w:rPr>
      </w:pPr>
      <w:r w:rsidRPr="008C5085">
        <w:rPr>
          <w:noProof/>
        </w:rPr>
        <w:t>28.</w:t>
      </w:r>
      <w:r w:rsidRPr="008C5085">
        <w:rPr>
          <w:noProof/>
        </w:rPr>
        <w:tab/>
        <w:t xml:space="preserve">Morison, I. M., Paton, C. J. &amp; Cleverley, S. D. The imprinted gene and parent-of-origin effect database. </w:t>
      </w:r>
      <w:r w:rsidRPr="008C5085">
        <w:rPr>
          <w:i/>
          <w:iCs/>
          <w:noProof/>
        </w:rPr>
        <w:t>Nucleic Acids Res.</w:t>
      </w:r>
      <w:r w:rsidRPr="008C5085">
        <w:rPr>
          <w:noProof/>
        </w:rPr>
        <w:t xml:space="preserve"> </w:t>
      </w:r>
      <w:r w:rsidRPr="008C5085">
        <w:rPr>
          <w:b/>
          <w:bCs/>
          <w:noProof/>
        </w:rPr>
        <w:t>29,</w:t>
      </w:r>
      <w:r w:rsidRPr="008C5085">
        <w:rPr>
          <w:noProof/>
        </w:rPr>
        <w:t xml:space="preserve"> 275–6 (2001).</w:t>
      </w:r>
    </w:p>
    <w:p w:rsidR="008C5085" w:rsidRPr="008C5085" w:rsidRDefault="008C5085">
      <w:pPr>
        <w:pStyle w:val="NormalWeb"/>
        <w:ind w:left="640" w:hanging="640"/>
        <w:divId w:val="964579723"/>
        <w:rPr>
          <w:noProof/>
        </w:rPr>
      </w:pPr>
      <w:r w:rsidRPr="008C5085">
        <w:rPr>
          <w:noProof/>
        </w:rPr>
        <w:t>29.</w:t>
      </w:r>
      <w:r w:rsidRPr="008C5085">
        <w:rPr>
          <w:noProof/>
        </w:rPr>
        <w:tab/>
        <w:t xml:space="preserve">Olender, T., Nativ, N. &amp; Lancet, D. HORDE: comprehensive resource for olfactory receptor genomics. </w:t>
      </w:r>
      <w:r w:rsidRPr="008C5085">
        <w:rPr>
          <w:i/>
          <w:iCs/>
          <w:noProof/>
        </w:rPr>
        <w:t>Methods Mol. Biol.</w:t>
      </w:r>
      <w:r w:rsidRPr="008C5085">
        <w:rPr>
          <w:noProof/>
        </w:rPr>
        <w:t xml:space="preserve"> </w:t>
      </w:r>
      <w:r w:rsidRPr="008C5085">
        <w:rPr>
          <w:b/>
          <w:bCs/>
          <w:noProof/>
        </w:rPr>
        <w:t>1003,</w:t>
      </w:r>
      <w:r w:rsidRPr="008C5085">
        <w:rPr>
          <w:noProof/>
        </w:rPr>
        <w:t xml:space="preserve"> 23–38 (2013).</w:t>
      </w:r>
    </w:p>
    <w:p w:rsidR="008C5085" w:rsidRPr="008C5085" w:rsidRDefault="008C5085">
      <w:pPr>
        <w:pStyle w:val="NormalWeb"/>
        <w:ind w:left="640" w:hanging="640"/>
        <w:divId w:val="964579723"/>
        <w:rPr>
          <w:noProof/>
        </w:rPr>
      </w:pPr>
      <w:r w:rsidRPr="008C5085">
        <w:rPr>
          <w:noProof/>
        </w:rPr>
        <w:t>30.</w:t>
      </w:r>
      <w:r w:rsidRPr="008C5085">
        <w:rPr>
          <w:noProof/>
        </w:rPr>
        <w:tab/>
        <w:t xml:space="preserve">Gimelbrant, A., Hutchinson, J. N., Thompson, B. R. &amp; Chess, A. Widespread monoallelic expression on human autosomes. </w:t>
      </w:r>
      <w:r w:rsidRPr="008C5085">
        <w:rPr>
          <w:i/>
          <w:iCs/>
          <w:noProof/>
        </w:rPr>
        <w:t>Science</w:t>
      </w:r>
      <w:r w:rsidRPr="008C5085">
        <w:rPr>
          <w:noProof/>
        </w:rPr>
        <w:t xml:space="preserve"> </w:t>
      </w:r>
      <w:r w:rsidRPr="008C5085">
        <w:rPr>
          <w:b/>
          <w:bCs/>
          <w:noProof/>
        </w:rPr>
        <w:t>318,</w:t>
      </w:r>
      <w:r w:rsidRPr="008C5085">
        <w:rPr>
          <w:noProof/>
        </w:rPr>
        <w:t xml:space="preserve"> 1136–40 (2007).</w:t>
      </w:r>
    </w:p>
    <w:p w:rsidR="008C5085" w:rsidRPr="008C5085" w:rsidRDefault="008C5085">
      <w:pPr>
        <w:pStyle w:val="NormalWeb"/>
        <w:ind w:left="640" w:hanging="640"/>
        <w:divId w:val="964579723"/>
        <w:rPr>
          <w:noProof/>
        </w:rPr>
      </w:pPr>
      <w:r w:rsidRPr="008C5085">
        <w:rPr>
          <w:noProof/>
        </w:rPr>
        <w:t>31.</w:t>
      </w:r>
      <w:r w:rsidRPr="008C5085">
        <w:rPr>
          <w:noProof/>
        </w:rPr>
        <w:tab/>
        <w:t xml:space="preserve">Harrow, J. </w:t>
      </w:r>
      <w:r w:rsidRPr="008C5085">
        <w:rPr>
          <w:i/>
          <w:iCs/>
          <w:noProof/>
        </w:rPr>
        <w:t>et al.</w:t>
      </w:r>
      <w:r w:rsidRPr="008C5085">
        <w:rPr>
          <w:noProof/>
        </w:rPr>
        <w:t xml:space="preserve"> GENCODE: the reference human genome annotation for The ENCODE Project. </w:t>
      </w:r>
      <w:r w:rsidRPr="008C5085">
        <w:rPr>
          <w:i/>
          <w:iCs/>
          <w:noProof/>
        </w:rPr>
        <w:t>Genome Res.</w:t>
      </w:r>
      <w:r w:rsidRPr="008C5085">
        <w:rPr>
          <w:noProof/>
        </w:rPr>
        <w:t xml:space="preserve"> </w:t>
      </w:r>
      <w:r w:rsidRPr="008C5085">
        <w:rPr>
          <w:b/>
          <w:bCs/>
          <w:noProof/>
        </w:rPr>
        <w:t>22,</w:t>
      </w:r>
      <w:r w:rsidRPr="008C5085">
        <w:rPr>
          <w:noProof/>
        </w:rPr>
        <w:t xml:space="preserve"> 1760–74 (2012).</w:t>
      </w:r>
    </w:p>
    <w:p w:rsidR="008C5085" w:rsidRPr="008C5085" w:rsidRDefault="008C5085">
      <w:pPr>
        <w:pStyle w:val="NormalWeb"/>
        <w:ind w:left="640" w:hanging="640"/>
        <w:divId w:val="964579723"/>
        <w:rPr>
          <w:noProof/>
        </w:rPr>
      </w:pPr>
      <w:r w:rsidRPr="008C5085">
        <w:rPr>
          <w:noProof/>
        </w:rPr>
        <w:t>32.</w:t>
      </w:r>
      <w:r w:rsidRPr="008C5085">
        <w:rPr>
          <w:noProof/>
        </w:rPr>
        <w:tab/>
        <w:t xml:space="preserve">Horsthemke, B. &amp; Buiting, K. Imprinting defects on human chromosome 15. </w:t>
      </w:r>
      <w:r w:rsidRPr="008C5085">
        <w:rPr>
          <w:i/>
          <w:iCs/>
          <w:noProof/>
        </w:rPr>
        <w:t>Cytogenet. Genome Res.</w:t>
      </w:r>
      <w:r w:rsidRPr="008C5085">
        <w:rPr>
          <w:noProof/>
        </w:rPr>
        <w:t xml:space="preserve"> </w:t>
      </w:r>
      <w:r w:rsidRPr="008C5085">
        <w:rPr>
          <w:b/>
          <w:bCs/>
          <w:noProof/>
        </w:rPr>
        <w:t>113,</w:t>
      </w:r>
      <w:r w:rsidRPr="008C5085">
        <w:rPr>
          <w:noProof/>
        </w:rPr>
        <w:t xml:space="preserve"> 292–9 (2006).</w:t>
      </w:r>
    </w:p>
    <w:p w:rsidR="008C5085" w:rsidRPr="008C5085" w:rsidRDefault="008C5085">
      <w:pPr>
        <w:pStyle w:val="NormalWeb"/>
        <w:ind w:left="640" w:hanging="640"/>
        <w:divId w:val="964579723"/>
        <w:rPr>
          <w:noProof/>
        </w:rPr>
      </w:pPr>
      <w:r w:rsidRPr="008C5085">
        <w:rPr>
          <w:noProof/>
        </w:rPr>
        <w:t>33.</w:t>
      </w:r>
      <w:r w:rsidRPr="008C5085">
        <w:rPr>
          <w:noProof/>
        </w:rPr>
        <w:tab/>
        <w:t xml:space="preserve">Pollard, K. S. </w:t>
      </w:r>
      <w:r w:rsidRPr="008C5085">
        <w:rPr>
          <w:i/>
          <w:iCs/>
          <w:noProof/>
        </w:rPr>
        <w:t>et al.</w:t>
      </w:r>
      <w:r w:rsidRPr="008C5085">
        <w:rPr>
          <w:noProof/>
        </w:rPr>
        <w:t xml:space="preserve"> A genome-wide approach to identifying novel-imprinted genes. </w:t>
      </w:r>
      <w:r w:rsidRPr="008C5085">
        <w:rPr>
          <w:i/>
          <w:iCs/>
          <w:noProof/>
        </w:rPr>
        <w:t>Hum. Genet.</w:t>
      </w:r>
      <w:r w:rsidRPr="008C5085">
        <w:rPr>
          <w:noProof/>
        </w:rPr>
        <w:t xml:space="preserve"> </w:t>
      </w:r>
      <w:r w:rsidRPr="008C5085">
        <w:rPr>
          <w:b/>
          <w:bCs/>
          <w:noProof/>
        </w:rPr>
        <w:t>122,</w:t>
      </w:r>
      <w:r w:rsidRPr="008C5085">
        <w:rPr>
          <w:noProof/>
        </w:rPr>
        <w:t xml:space="preserve"> 625–634 (2008).</w:t>
      </w:r>
    </w:p>
    <w:p w:rsidR="008C5085" w:rsidRPr="008C5085" w:rsidRDefault="008C5085">
      <w:pPr>
        <w:pStyle w:val="NormalWeb"/>
        <w:ind w:left="640" w:hanging="640"/>
        <w:divId w:val="964579723"/>
        <w:rPr>
          <w:noProof/>
        </w:rPr>
      </w:pPr>
      <w:r w:rsidRPr="008C5085">
        <w:rPr>
          <w:noProof/>
        </w:rPr>
        <w:t>34.</w:t>
      </w:r>
      <w:r w:rsidRPr="008C5085">
        <w:rPr>
          <w:noProof/>
        </w:rPr>
        <w:tab/>
        <w:t xml:space="preserve">Wang, Z., Gerstein, M. &amp; Snyder, M. RNA-Seq: a revolutionary tool for transcriptomics. </w:t>
      </w:r>
      <w:r w:rsidRPr="008C5085">
        <w:rPr>
          <w:i/>
          <w:iCs/>
          <w:noProof/>
        </w:rPr>
        <w:t>Nat. Rev. Genet.</w:t>
      </w:r>
      <w:r w:rsidRPr="008C5085">
        <w:rPr>
          <w:noProof/>
        </w:rPr>
        <w:t xml:space="preserve"> </w:t>
      </w:r>
      <w:r w:rsidRPr="008C5085">
        <w:rPr>
          <w:b/>
          <w:bCs/>
          <w:noProof/>
        </w:rPr>
        <w:t>10,</w:t>
      </w:r>
      <w:r w:rsidRPr="008C5085">
        <w:rPr>
          <w:noProof/>
        </w:rPr>
        <w:t xml:space="preserve"> 57–63 (2009).</w:t>
      </w:r>
    </w:p>
    <w:p w:rsidR="008C5085" w:rsidRPr="008C5085" w:rsidRDefault="008C5085">
      <w:pPr>
        <w:pStyle w:val="NormalWeb"/>
        <w:ind w:left="640" w:hanging="640"/>
        <w:divId w:val="964579723"/>
        <w:rPr>
          <w:noProof/>
        </w:rPr>
      </w:pPr>
      <w:r w:rsidRPr="008C5085">
        <w:rPr>
          <w:noProof/>
        </w:rPr>
        <w:t>35.</w:t>
      </w:r>
      <w:r w:rsidRPr="008C5085">
        <w:rPr>
          <w:noProof/>
        </w:rPr>
        <w:tab/>
        <w:t xml:space="preserve">Nagalakshmi, U. </w:t>
      </w:r>
      <w:r w:rsidRPr="008C5085">
        <w:rPr>
          <w:i/>
          <w:iCs/>
          <w:noProof/>
        </w:rPr>
        <w:t>et al.</w:t>
      </w:r>
      <w:r w:rsidRPr="008C5085">
        <w:rPr>
          <w:noProof/>
        </w:rPr>
        <w:t xml:space="preserve"> The transcriptional landscape of the yeast genome defined by RNA sequencing. </w:t>
      </w:r>
      <w:r w:rsidRPr="008C5085">
        <w:rPr>
          <w:i/>
          <w:iCs/>
          <w:noProof/>
        </w:rPr>
        <w:t>Science</w:t>
      </w:r>
      <w:r w:rsidRPr="008C5085">
        <w:rPr>
          <w:noProof/>
        </w:rPr>
        <w:t xml:space="preserve"> </w:t>
      </w:r>
      <w:r w:rsidRPr="008C5085">
        <w:rPr>
          <w:b/>
          <w:bCs/>
          <w:noProof/>
        </w:rPr>
        <w:t>320,</w:t>
      </w:r>
      <w:r w:rsidRPr="008C5085">
        <w:rPr>
          <w:noProof/>
        </w:rPr>
        <w:t xml:space="preserve"> 1344–9 (2008).</w:t>
      </w:r>
    </w:p>
    <w:p w:rsidR="008C5085" w:rsidRPr="008C5085" w:rsidRDefault="008C5085">
      <w:pPr>
        <w:pStyle w:val="NormalWeb"/>
        <w:ind w:left="640" w:hanging="640"/>
        <w:divId w:val="964579723"/>
        <w:rPr>
          <w:noProof/>
        </w:rPr>
      </w:pPr>
      <w:r w:rsidRPr="008C5085">
        <w:rPr>
          <w:noProof/>
        </w:rPr>
        <w:t>36.</w:t>
      </w:r>
      <w:r w:rsidRPr="008C5085">
        <w:rPr>
          <w:noProof/>
        </w:rPr>
        <w:tab/>
        <w:t xml:space="preserve">Khurana, E. </w:t>
      </w:r>
      <w:r w:rsidRPr="008C5085">
        <w:rPr>
          <w:i/>
          <w:iCs/>
          <w:noProof/>
        </w:rPr>
        <w:t>et al.</w:t>
      </w:r>
      <w:r w:rsidRPr="008C5085">
        <w:rPr>
          <w:noProof/>
        </w:rPr>
        <w:t xml:space="preserve"> Integrative annotation of variants from 1092 humans: application to cancer genomics. </w:t>
      </w:r>
      <w:r w:rsidRPr="008C5085">
        <w:rPr>
          <w:i/>
          <w:iCs/>
          <w:noProof/>
        </w:rPr>
        <w:t>Science</w:t>
      </w:r>
      <w:r w:rsidRPr="008C5085">
        <w:rPr>
          <w:noProof/>
        </w:rPr>
        <w:t xml:space="preserve"> </w:t>
      </w:r>
      <w:r w:rsidRPr="008C5085">
        <w:rPr>
          <w:b/>
          <w:bCs/>
          <w:noProof/>
        </w:rPr>
        <w:t>342,</w:t>
      </w:r>
      <w:r w:rsidRPr="008C5085">
        <w:rPr>
          <w:noProof/>
        </w:rPr>
        <w:t xml:space="preserve"> 1235587 (2013).</w:t>
      </w:r>
    </w:p>
    <w:p w:rsidR="008C5085" w:rsidRPr="008C5085" w:rsidRDefault="008C5085">
      <w:pPr>
        <w:pStyle w:val="NormalWeb"/>
        <w:ind w:left="640" w:hanging="640"/>
        <w:divId w:val="964579723"/>
        <w:rPr>
          <w:noProof/>
        </w:rPr>
      </w:pPr>
      <w:r w:rsidRPr="008C5085">
        <w:rPr>
          <w:noProof/>
        </w:rPr>
        <w:t>37.</w:t>
      </w:r>
      <w:r w:rsidRPr="008C5085">
        <w:rPr>
          <w:noProof/>
        </w:rPr>
        <w:tab/>
        <w:t xml:space="preserve">Anders, S. &amp; Huber, W. Differential expression analysis for sequence count data. </w:t>
      </w:r>
      <w:r w:rsidRPr="008C5085">
        <w:rPr>
          <w:i/>
          <w:iCs/>
          <w:noProof/>
        </w:rPr>
        <w:t>Genome Biol.</w:t>
      </w:r>
      <w:r w:rsidRPr="008C5085">
        <w:rPr>
          <w:noProof/>
        </w:rPr>
        <w:t xml:space="preserve"> </w:t>
      </w:r>
      <w:r w:rsidRPr="008C5085">
        <w:rPr>
          <w:b/>
          <w:bCs/>
          <w:noProof/>
        </w:rPr>
        <w:t>11,</w:t>
      </w:r>
      <w:r w:rsidRPr="008C5085">
        <w:rPr>
          <w:noProof/>
        </w:rPr>
        <w:t xml:space="preserve"> R106 (2010).</w:t>
      </w:r>
    </w:p>
    <w:p w:rsidR="008C5085" w:rsidRPr="008C5085" w:rsidRDefault="008C5085">
      <w:pPr>
        <w:pStyle w:val="NormalWeb"/>
        <w:ind w:left="640" w:hanging="640"/>
        <w:divId w:val="964579723"/>
        <w:rPr>
          <w:noProof/>
        </w:rPr>
      </w:pPr>
      <w:r w:rsidRPr="008C5085">
        <w:rPr>
          <w:noProof/>
        </w:rPr>
        <w:t>38.</w:t>
      </w:r>
      <w:r w:rsidRPr="008C5085">
        <w:rPr>
          <w:noProof/>
        </w:rPr>
        <w:tab/>
        <w:t xml:space="preserve">Skelly, D. A., Johansson, M., Madeoy, J., Wakefield, J. &amp; Akey, J. M. A powerful and flexible statistical framework for testing hypotheses of allele-specific gene expression from RNA-seq data. </w:t>
      </w:r>
      <w:r w:rsidRPr="008C5085">
        <w:rPr>
          <w:i/>
          <w:iCs/>
          <w:noProof/>
        </w:rPr>
        <w:t>Genome Res.</w:t>
      </w:r>
      <w:r w:rsidRPr="008C5085">
        <w:rPr>
          <w:noProof/>
        </w:rPr>
        <w:t xml:space="preserve"> </w:t>
      </w:r>
      <w:r w:rsidRPr="008C5085">
        <w:rPr>
          <w:b/>
          <w:bCs/>
          <w:noProof/>
        </w:rPr>
        <w:t>21,</w:t>
      </w:r>
      <w:r w:rsidRPr="008C5085">
        <w:rPr>
          <w:noProof/>
        </w:rPr>
        <w:t xml:space="preserve"> 1728–1737 (2011).</w:t>
      </w:r>
    </w:p>
    <w:p w:rsidR="008C5085" w:rsidRPr="008C5085" w:rsidRDefault="008C5085">
      <w:pPr>
        <w:pStyle w:val="NormalWeb"/>
        <w:ind w:left="640" w:hanging="640"/>
        <w:divId w:val="964579723"/>
        <w:rPr>
          <w:noProof/>
        </w:rPr>
      </w:pPr>
      <w:r w:rsidRPr="008C5085">
        <w:rPr>
          <w:noProof/>
        </w:rPr>
        <w:t>39.</w:t>
      </w:r>
      <w:r w:rsidRPr="008C5085">
        <w:rPr>
          <w:noProof/>
        </w:rPr>
        <w:tab/>
        <w:t xml:space="preserve">Amin, A. S. </w:t>
      </w:r>
      <w:r w:rsidRPr="008C5085">
        <w:rPr>
          <w:i/>
          <w:iCs/>
          <w:noProof/>
        </w:rPr>
        <w:t>et al.</w:t>
      </w:r>
      <w:r w:rsidRPr="008C5085">
        <w:rPr>
          <w:noProof/>
        </w:rPr>
        <w:t xml:space="preserve"> Variants in the 3’ untranslated region of the KCNQ1-encoded Kv7.1 potassium channel modify disease severity in patients with type 1 long QT syndrome in an allele-specific manner. </w:t>
      </w:r>
      <w:r w:rsidRPr="008C5085">
        <w:rPr>
          <w:i/>
          <w:iCs/>
          <w:noProof/>
        </w:rPr>
        <w:t>Eur. Heart J.</w:t>
      </w:r>
      <w:r w:rsidRPr="008C5085">
        <w:rPr>
          <w:noProof/>
        </w:rPr>
        <w:t xml:space="preserve"> </w:t>
      </w:r>
      <w:r w:rsidRPr="008C5085">
        <w:rPr>
          <w:b/>
          <w:bCs/>
          <w:noProof/>
        </w:rPr>
        <w:t>33,</w:t>
      </w:r>
      <w:r w:rsidRPr="008C5085">
        <w:rPr>
          <w:noProof/>
        </w:rPr>
        <w:t xml:space="preserve"> 714–23 (2012).</w:t>
      </w:r>
    </w:p>
    <w:p w:rsidR="008C5085" w:rsidRPr="008C5085" w:rsidRDefault="008C5085">
      <w:pPr>
        <w:pStyle w:val="NormalWeb"/>
        <w:ind w:left="640" w:hanging="640"/>
        <w:divId w:val="964579723"/>
        <w:rPr>
          <w:noProof/>
        </w:rPr>
      </w:pPr>
      <w:r w:rsidRPr="008C5085">
        <w:rPr>
          <w:noProof/>
        </w:rPr>
        <w:t>40.</w:t>
      </w:r>
      <w:r w:rsidRPr="008C5085">
        <w:rPr>
          <w:noProof/>
        </w:rPr>
        <w:tab/>
        <w:t xml:space="preserve">Anjos, S. M., Shao, W., Marchand, L. &amp; Polychronakos, C. Allelic effects on gene regulation at the autoimmunity-predisposing CTLA4 locus: a re-evaluation of the 3’ +6230G&gt;A polymorphism. </w:t>
      </w:r>
      <w:r w:rsidRPr="008C5085">
        <w:rPr>
          <w:i/>
          <w:iCs/>
          <w:noProof/>
        </w:rPr>
        <w:t>Genes Immun.</w:t>
      </w:r>
      <w:r w:rsidRPr="008C5085">
        <w:rPr>
          <w:noProof/>
        </w:rPr>
        <w:t xml:space="preserve"> </w:t>
      </w:r>
      <w:r w:rsidRPr="008C5085">
        <w:rPr>
          <w:b/>
          <w:bCs/>
          <w:noProof/>
        </w:rPr>
        <w:t>6,</w:t>
      </w:r>
      <w:r w:rsidRPr="008C5085">
        <w:rPr>
          <w:noProof/>
        </w:rPr>
        <w:t xml:space="preserve"> 305–11 (2005).</w:t>
      </w:r>
    </w:p>
    <w:p w:rsidR="008C5085" w:rsidRPr="008C5085" w:rsidRDefault="008C5085">
      <w:pPr>
        <w:pStyle w:val="NormalWeb"/>
        <w:ind w:left="640" w:hanging="640"/>
        <w:divId w:val="964579723"/>
        <w:rPr>
          <w:noProof/>
        </w:rPr>
      </w:pPr>
      <w:r w:rsidRPr="008C5085">
        <w:rPr>
          <w:noProof/>
        </w:rPr>
        <w:lastRenderedPageBreak/>
        <w:t>41.</w:t>
      </w:r>
      <w:r w:rsidRPr="008C5085">
        <w:rPr>
          <w:noProof/>
        </w:rPr>
        <w:tab/>
        <w:t xml:space="preserve">Valle, L. </w:t>
      </w:r>
      <w:r w:rsidRPr="008C5085">
        <w:rPr>
          <w:i/>
          <w:iCs/>
          <w:noProof/>
        </w:rPr>
        <w:t>et al.</w:t>
      </w:r>
      <w:r w:rsidRPr="008C5085">
        <w:rPr>
          <w:noProof/>
        </w:rPr>
        <w:t xml:space="preserve"> Germline allele-specific expression of TGFBR1 confers an increased risk of colorectal cancer. </w:t>
      </w:r>
      <w:r w:rsidRPr="008C5085">
        <w:rPr>
          <w:i/>
          <w:iCs/>
          <w:noProof/>
        </w:rPr>
        <w:t>Science</w:t>
      </w:r>
      <w:r w:rsidRPr="008C5085">
        <w:rPr>
          <w:noProof/>
        </w:rPr>
        <w:t xml:space="preserve"> </w:t>
      </w:r>
      <w:r w:rsidRPr="008C5085">
        <w:rPr>
          <w:b/>
          <w:bCs/>
          <w:noProof/>
        </w:rPr>
        <w:t>321,</w:t>
      </w:r>
      <w:r w:rsidRPr="008C5085">
        <w:rPr>
          <w:noProof/>
        </w:rPr>
        <w:t xml:space="preserve"> 1361–5 (2008).</w:t>
      </w:r>
    </w:p>
    <w:p w:rsidR="008C5085" w:rsidRPr="008C5085" w:rsidRDefault="008C5085">
      <w:pPr>
        <w:pStyle w:val="NormalWeb"/>
        <w:ind w:left="640" w:hanging="640"/>
        <w:divId w:val="964579723"/>
        <w:rPr>
          <w:noProof/>
        </w:rPr>
      </w:pPr>
      <w:r w:rsidRPr="008C5085">
        <w:rPr>
          <w:noProof/>
        </w:rPr>
        <w:t>42.</w:t>
      </w:r>
      <w:r w:rsidRPr="008C5085">
        <w:rPr>
          <w:noProof/>
        </w:rPr>
        <w:tab/>
        <w:t xml:space="preserve">Boodhoo, A. </w:t>
      </w:r>
      <w:r w:rsidRPr="008C5085">
        <w:rPr>
          <w:i/>
          <w:iCs/>
          <w:noProof/>
        </w:rPr>
        <w:t>et al.</w:t>
      </w:r>
      <w:r w:rsidRPr="008C5085">
        <w:rPr>
          <w:noProof/>
        </w:rPr>
        <w:t xml:space="preserve"> A promoter polymorphism in the central MHC gene, IKBL, influences the binding of transcription factors USF1 and E47 on disease-associated haplotypes. </w:t>
      </w:r>
      <w:r w:rsidRPr="008C5085">
        <w:rPr>
          <w:i/>
          <w:iCs/>
          <w:noProof/>
        </w:rPr>
        <w:t>Gene Expr.</w:t>
      </w:r>
      <w:r w:rsidRPr="008C5085">
        <w:rPr>
          <w:noProof/>
        </w:rPr>
        <w:t xml:space="preserve"> </w:t>
      </w:r>
      <w:r w:rsidRPr="008C5085">
        <w:rPr>
          <w:b/>
          <w:bCs/>
          <w:noProof/>
        </w:rPr>
        <w:t>12,</w:t>
      </w:r>
      <w:r w:rsidRPr="008C5085">
        <w:rPr>
          <w:noProof/>
        </w:rPr>
        <w:t xml:space="preserve"> 1–11 (2004).</w:t>
      </w:r>
    </w:p>
    <w:p w:rsidR="008C5085" w:rsidRPr="008C5085" w:rsidRDefault="008C5085">
      <w:pPr>
        <w:pStyle w:val="NormalWeb"/>
        <w:ind w:left="640" w:hanging="640"/>
        <w:divId w:val="964579723"/>
        <w:rPr>
          <w:noProof/>
        </w:rPr>
      </w:pPr>
      <w:r w:rsidRPr="008C5085">
        <w:rPr>
          <w:noProof/>
        </w:rPr>
        <w:t>43.</w:t>
      </w:r>
      <w:r w:rsidRPr="008C5085">
        <w:rPr>
          <w:noProof/>
        </w:rPr>
        <w:tab/>
        <w:t xml:space="preserve">Kim, J. Do </w:t>
      </w:r>
      <w:r w:rsidRPr="008C5085">
        <w:rPr>
          <w:i/>
          <w:iCs/>
          <w:noProof/>
        </w:rPr>
        <w:t>et al.</w:t>
      </w:r>
      <w:r w:rsidRPr="008C5085">
        <w:rPr>
          <w:noProof/>
        </w:rPr>
        <w:t xml:space="preserve"> Identification of clustered YY1 binding sites in imprinting control regions. </w:t>
      </w:r>
      <w:r w:rsidRPr="008C5085">
        <w:rPr>
          <w:i/>
          <w:iCs/>
          <w:noProof/>
        </w:rPr>
        <w:t>Genome Res.</w:t>
      </w:r>
      <w:r w:rsidRPr="008C5085">
        <w:rPr>
          <w:noProof/>
        </w:rPr>
        <w:t xml:space="preserve"> </w:t>
      </w:r>
      <w:r w:rsidRPr="008C5085">
        <w:rPr>
          <w:b/>
          <w:bCs/>
          <w:noProof/>
        </w:rPr>
        <w:t>16,</w:t>
      </w:r>
      <w:r w:rsidRPr="008C5085">
        <w:rPr>
          <w:noProof/>
        </w:rPr>
        <w:t xml:space="preserve"> 901–911 (2006).</w:t>
      </w:r>
    </w:p>
    <w:p w:rsidR="008C5085" w:rsidRPr="008C5085" w:rsidRDefault="008C5085">
      <w:pPr>
        <w:pStyle w:val="NormalWeb"/>
        <w:ind w:left="640" w:hanging="640"/>
        <w:divId w:val="964579723"/>
        <w:rPr>
          <w:noProof/>
        </w:rPr>
      </w:pPr>
      <w:r w:rsidRPr="008C5085">
        <w:rPr>
          <w:noProof/>
        </w:rPr>
        <w:t>44.</w:t>
      </w:r>
      <w:r w:rsidRPr="008C5085">
        <w:rPr>
          <w:noProof/>
        </w:rPr>
        <w:tab/>
        <w:t xml:space="preserve">Chaumeil, J. &amp; Skok, J. A. The role of CTCF in regulating V(D)J recombination. </w:t>
      </w:r>
      <w:r w:rsidRPr="008C5085">
        <w:rPr>
          <w:i/>
          <w:iCs/>
          <w:noProof/>
        </w:rPr>
        <w:t>Current Opinion in Immunology</w:t>
      </w:r>
      <w:r w:rsidRPr="008C5085">
        <w:rPr>
          <w:noProof/>
        </w:rPr>
        <w:t xml:space="preserve"> </w:t>
      </w:r>
      <w:r w:rsidRPr="008C5085">
        <w:rPr>
          <w:b/>
          <w:bCs/>
          <w:noProof/>
        </w:rPr>
        <w:t>24,</w:t>
      </w:r>
      <w:r w:rsidRPr="008C5085">
        <w:rPr>
          <w:noProof/>
        </w:rPr>
        <w:t xml:space="preserve"> 153–159 (2012).</w:t>
      </w:r>
    </w:p>
    <w:p w:rsidR="008C5085" w:rsidRPr="008C5085" w:rsidRDefault="008C5085">
      <w:pPr>
        <w:pStyle w:val="NormalWeb"/>
        <w:ind w:left="640" w:hanging="640"/>
        <w:divId w:val="964579723"/>
        <w:rPr>
          <w:noProof/>
        </w:rPr>
      </w:pPr>
      <w:r w:rsidRPr="008C5085">
        <w:rPr>
          <w:noProof/>
        </w:rPr>
        <w:t>45.</w:t>
      </w:r>
      <w:r w:rsidRPr="008C5085">
        <w:rPr>
          <w:noProof/>
        </w:rPr>
        <w:tab/>
        <w:t xml:space="preserve">Fu, Y. </w:t>
      </w:r>
      <w:r w:rsidRPr="008C5085">
        <w:rPr>
          <w:i/>
          <w:iCs/>
          <w:noProof/>
        </w:rPr>
        <w:t>et al.</w:t>
      </w:r>
      <w:r w:rsidRPr="008C5085">
        <w:rPr>
          <w:noProof/>
        </w:rPr>
        <w:t xml:space="preserve"> FunSeq2 : a framework for prioritizing noncoding regulatory variants in cancer. (2014). doi:10.1186/s13059-014-0480-5</w:t>
      </w:r>
    </w:p>
    <w:p w:rsidR="008C5085" w:rsidRPr="008C5085" w:rsidRDefault="008C5085">
      <w:pPr>
        <w:pStyle w:val="NormalWeb"/>
        <w:ind w:left="640" w:hanging="640"/>
        <w:divId w:val="964579723"/>
        <w:rPr>
          <w:noProof/>
        </w:rPr>
      </w:pPr>
      <w:r w:rsidRPr="008C5085">
        <w:rPr>
          <w:noProof/>
        </w:rPr>
        <w:t>46.</w:t>
      </w:r>
      <w:r w:rsidRPr="008C5085">
        <w:rPr>
          <w:noProof/>
        </w:rPr>
        <w:tab/>
        <w:t xml:space="preserve">Cusanovich, D. A., Pavlovic, B., Pritchard, J. K. &amp; Gilad, Y. The functional consequences of variation in transcription factor binding. </w:t>
      </w:r>
      <w:r w:rsidRPr="008C5085">
        <w:rPr>
          <w:i/>
          <w:iCs/>
          <w:noProof/>
        </w:rPr>
        <w:t>PLoS Genet.</w:t>
      </w:r>
      <w:r w:rsidRPr="008C5085">
        <w:rPr>
          <w:noProof/>
        </w:rPr>
        <w:t xml:space="preserve"> </w:t>
      </w:r>
      <w:r w:rsidRPr="008C5085">
        <w:rPr>
          <w:b/>
          <w:bCs/>
          <w:noProof/>
        </w:rPr>
        <w:t>10,</w:t>
      </w:r>
      <w:r w:rsidRPr="008C5085">
        <w:rPr>
          <w:noProof/>
        </w:rPr>
        <w:t xml:space="preserve"> e1004226 (2014).</w:t>
      </w:r>
    </w:p>
    <w:p w:rsidR="008C5085" w:rsidRPr="008C5085" w:rsidRDefault="008C5085">
      <w:pPr>
        <w:pStyle w:val="NormalWeb"/>
        <w:ind w:left="640" w:hanging="640"/>
        <w:divId w:val="964579723"/>
        <w:rPr>
          <w:noProof/>
        </w:rPr>
      </w:pPr>
      <w:r w:rsidRPr="008C5085">
        <w:rPr>
          <w:noProof/>
        </w:rPr>
        <w:t>47.</w:t>
      </w:r>
      <w:r w:rsidRPr="008C5085">
        <w:rPr>
          <w:noProof/>
        </w:rPr>
        <w:tab/>
        <w:t xml:space="preserve">Gerstein, M. B. </w:t>
      </w:r>
      <w:r w:rsidRPr="008C5085">
        <w:rPr>
          <w:i/>
          <w:iCs/>
          <w:noProof/>
        </w:rPr>
        <w:t>et al.</w:t>
      </w:r>
      <w:r w:rsidRPr="008C5085">
        <w:rPr>
          <w:noProof/>
        </w:rPr>
        <w:t xml:space="preserve"> Architecture of the human regulatory network derived from ENCODE data. </w:t>
      </w:r>
      <w:r w:rsidRPr="008C5085">
        <w:rPr>
          <w:i/>
          <w:iCs/>
          <w:noProof/>
        </w:rPr>
        <w:t>Nature</w:t>
      </w:r>
      <w:r w:rsidRPr="008C5085">
        <w:rPr>
          <w:noProof/>
        </w:rPr>
        <w:t xml:space="preserve"> </w:t>
      </w:r>
      <w:r w:rsidRPr="008C5085">
        <w:rPr>
          <w:b/>
          <w:bCs/>
          <w:noProof/>
        </w:rPr>
        <w:t>489,</w:t>
      </w:r>
      <w:r w:rsidRPr="008C5085">
        <w:rPr>
          <w:noProof/>
        </w:rPr>
        <w:t xml:space="preserve"> 91–100 (2012).</w:t>
      </w:r>
    </w:p>
    <w:p w:rsidR="008C5085" w:rsidRPr="008C5085" w:rsidRDefault="008C5085">
      <w:pPr>
        <w:pStyle w:val="NormalWeb"/>
        <w:ind w:left="640" w:hanging="640"/>
        <w:divId w:val="964579723"/>
        <w:rPr>
          <w:noProof/>
        </w:rPr>
      </w:pPr>
      <w:r w:rsidRPr="008C5085">
        <w:rPr>
          <w:noProof/>
        </w:rPr>
        <w:t>48.</w:t>
      </w:r>
      <w:r w:rsidRPr="008C5085">
        <w:rPr>
          <w:noProof/>
        </w:rPr>
        <w:tab/>
        <w:t xml:space="preserve">The Genotype-Tissue Expression (GTEx) project. </w:t>
      </w:r>
      <w:r w:rsidRPr="008C5085">
        <w:rPr>
          <w:i/>
          <w:iCs/>
          <w:noProof/>
        </w:rPr>
        <w:t>Nat. Genet.</w:t>
      </w:r>
      <w:r w:rsidRPr="008C5085">
        <w:rPr>
          <w:noProof/>
        </w:rPr>
        <w:t xml:space="preserve"> </w:t>
      </w:r>
      <w:r w:rsidRPr="008C5085">
        <w:rPr>
          <w:b/>
          <w:bCs/>
          <w:noProof/>
        </w:rPr>
        <w:t>45,</w:t>
      </w:r>
      <w:r w:rsidRPr="008C5085">
        <w:rPr>
          <w:noProof/>
        </w:rPr>
        <w:t xml:space="preserve"> 580–5 (2013).</w:t>
      </w:r>
    </w:p>
    <w:p w:rsidR="008C5085" w:rsidRPr="008C5085" w:rsidRDefault="008C5085">
      <w:pPr>
        <w:pStyle w:val="NormalWeb"/>
        <w:ind w:left="640" w:hanging="640"/>
        <w:divId w:val="964579723"/>
        <w:rPr>
          <w:noProof/>
        </w:rPr>
      </w:pPr>
      <w:r w:rsidRPr="008C5085">
        <w:rPr>
          <w:noProof/>
        </w:rPr>
        <w:t>49.</w:t>
      </w:r>
      <w:r w:rsidRPr="008C5085">
        <w:rPr>
          <w:noProof/>
        </w:rPr>
        <w:tab/>
        <w:t xml:space="preserve">Bustamante, C. D., Burchard, E. G. &amp; De la Vega, F. M. Genomics for the world. </w:t>
      </w:r>
      <w:r w:rsidRPr="008C5085">
        <w:rPr>
          <w:i/>
          <w:iCs/>
          <w:noProof/>
        </w:rPr>
        <w:t>Nature</w:t>
      </w:r>
      <w:r w:rsidRPr="008C5085">
        <w:rPr>
          <w:noProof/>
        </w:rPr>
        <w:t xml:space="preserve"> </w:t>
      </w:r>
      <w:r w:rsidRPr="008C5085">
        <w:rPr>
          <w:b/>
          <w:bCs/>
          <w:noProof/>
        </w:rPr>
        <w:t>475,</w:t>
      </w:r>
      <w:r w:rsidRPr="008C5085">
        <w:rPr>
          <w:noProof/>
        </w:rPr>
        <w:t xml:space="preserve"> 163–5 (2011).</w:t>
      </w:r>
    </w:p>
    <w:p w:rsidR="008C5085" w:rsidRPr="008C5085" w:rsidRDefault="008C5085">
      <w:pPr>
        <w:pStyle w:val="NormalWeb"/>
        <w:ind w:left="640" w:hanging="640"/>
        <w:divId w:val="964579723"/>
        <w:rPr>
          <w:noProof/>
        </w:rPr>
      </w:pPr>
      <w:r w:rsidRPr="008C5085">
        <w:rPr>
          <w:noProof/>
        </w:rPr>
        <w:t>50.</w:t>
      </w:r>
      <w:r w:rsidRPr="008C5085">
        <w:rPr>
          <w:noProof/>
        </w:rPr>
        <w:tab/>
        <w:t xml:space="preserve">Kitzman, J. O. </w:t>
      </w:r>
      <w:r w:rsidRPr="008C5085">
        <w:rPr>
          <w:i/>
          <w:iCs/>
          <w:noProof/>
        </w:rPr>
        <w:t>et al.</w:t>
      </w:r>
      <w:r w:rsidRPr="008C5085">
        <w:rPr>
          <w:noProof/>
        </w:rPr>
        <w:t xml:space="preserve"> Haplotype-resolved genome sequencing of a Gujarati Indian individual. </w:t>
      </w:r>
      <w:r w:rsidRPr="008C5085">
        <w:rPr>
          <w:i/>
          <w:iCs/>
          <w:noProof/>
        </w:rPr>
        <w:t>Nat. Biotechnol.</w:t>
      </w:r>
      <w:r w:rsidRPr="008C5085">
        <w:rPr>
          <w:noProof/>
        </w:rPr>
        <w:t xml:space="preserve"> </w:t>
      </w:r>
      <w:r w:rsidRPr="008C5085">
        <w:rPr>
          <w:b/>
          <w:bCs/>
          <w:noProof/>
        </w:rPr>
        <w:t>29,</w:t>
      </w:r>
      <w:r w:rsidRPr="008C5085">
        <w:rPr>
          <w:noProof/>
        </w:rPr>
        <w:t xml:space="preserve"> 59–63 (2011).</w:t>
      </w:r>
    </w:p>
    <w:p w:rsidR="008C5085" w:rsidRPr="008C5085" w:rsidRDefault="008C5085">
      <w:pPr>
        <w:pStyle w:val="NormalWeb"/>
        <w:ind w:left="640" w:hanging="640"/>
        <w:divId w:val="964579723"/>
        <w:rPr>
          <w:noProof/>
        </w:rPr>
      </w:pPr>
      <w:r w:rsidRPr="008C5085">
        <w:rPr>
          <w:noProof/>
        </w:rPr>
        <w:t>51.</w:t>
      </w:r>
      <w:r w:rsidRPr="008C5085">
        <w:rPr>
          <w:noProof/>
        </w:rPr>
        <w:tab/>
        <w:t xml:space="preserve">Peters, B. A. </w:t>
      </w:r>
      <w:r w:rsidRPr="008C5085">
        <w:rPr>
          <w:i/>
          <w:iCs/>
          <w:noProof/>
        </w:rPr>
        <w:t>et al.</w:t>
      </w:r>
      <w:r w:rsidRPr="008C5085">
        <w:rPr>
          <w:noProof/>
        </w:rPr>
        <w:t xml:space="preserve"> Accurate whole-genome sequencing and haplotyping from 10 to 20 human cells. </w:t>
      </w:r>
      <w:r w:rsidRPr="008C5085">
        <w:rPr>
          <w:i/>
          <w:iCs/>
          <w:noProof/>
        </w:rPr>
        <w:t>Nature</w:t>
      </w:r>
      <w:r w:rsidRPr="008C5085">
        <w:rPr>
          <w:noProof/>
        </w:rPr>
        <w:t xml:space="preserve"> </w:t>
      </w:r>
      <w:r w:rsidRPr="008C5085">
        <w:rPr>
          <w:b/>
          <w:bCs/>
          <w:noProof/>
        </w:rPr>
        <w:t>487,</w:t>
      </w:r>
      <w:r w:rsidRPr="008C5085">
        <w:rPr>
          <w:noProof/>
        </w:rPr>
        <w:t xml:space="preserve"> 190–5 (2012).</w:t>
      </w:r>
    </w:p>
    <w:p w:rsidR="008C5085" w:rsidRPr="008C5085" w:rsidRDefault="008C5085">
      <w:pPr>
        <w:pStyle w:val="NormalWeb"/>
        <w:ind w:left="640" w:hanging="640"/>
        <w:divId w:val="964579723"/>
        <w:rPr>
          <w:noProof/>
        </w:rPr>
      </w:pPr>
      <w:r w:rsidRPr="008C5085">
        <w:rPr>
          <w:noProof/>
        </w:rPr>
        <w:t>52.</w:t>
      </w:r>
      <w:r w:rsidRPr="008C5085">
        <w:rPr>
          <w:noProof/>
        </w:rPr>
        <w:tab/>
        <w:t xml:space="preserve">Fan, H. C., Wang, J., Potanina, A. &amp; Quake, S. R. Whole-genome molecular haplotyping of single cells. </w:t>
      </w:r>
      <w:r w:rsidRPr="008C5085">
        <w:rPr>
          <w:i/>
          <w:iCs/>
          <w:noProof/>
        </w:rPr>
        <w:t>Nat. Biotechnol.</w:t>
      </w:r>
      <w:r w:rsidRPr="008C5085">
        <w:rPr>
          <w:noProof/>
        </w:rPr>
        <w:t xml:space="preserve"> </w:t>
      </w:r>
      <w:r w:rsidRPr="008C5085">
        <w:rPr>
          <w:b/>
          <w:bCs/>
          <w:noProof/>
        </w:rPr>
        <w:t>29,</w:t>
      </w:r>
      <w:r w:rsidRPr="008C5085">
        <w:rPr>
          <w:noProof/>
        </w:rPr>
        <w:t xml:space="preserve"> 51–7 (2011).</w:t>
      </w:r>
    </w:p>
    <w:p w:rsidR="008C5085" w:rsidRPr="008C5085" w:rsidRDefault="008C5085">
      <w:pPr>
        <w:pStyle w:val="NormalWeb"/>
        <w:ind w:left="640" w:hanging="640"/>
        <w:divId w:val="964579723"/>
        <w:rPr>
          <w:noProof/>
        </w:rPr>
      </w:pPr>
      <w:r w:rsidRPr="008C5085">
        <w:rPr>
          <w:noProof/>
        </w:rPr>
        <w:t>53.</w:t>
      </w:r>
      <w:r w:rsidRPr="008C5085">
        <w:rPr>
          <w:noProof/>
        </w:rPr>
        <w:tab/>
        <w:t xml:space="preserve">Abyzov, A., Urban, A. E., Snyder, M. &amp; Gerstein, M. CNVnator: an approach to discover, genotype, and characterize typical and atypical CNVs from family and population genome sequencing. </w:t>
      </w:r>
      <w:r w:rsidRPr="008C5085">
        <w:rPr>
          <w:i/>
          <w:iCs/>
          <w:noProof/>
        </w:rPr>
        <w:t>Genome Res.</w:t>
      </w:r>
      <w:r w:rsidRPr="008C5085">
        <w:rPr>
          <w:noProof/>
        </w:rPr>
        <w:t xml:space="preserve"> </w:t>
      </w:r>
      <w:r w:rsidRPr="008C5085">
        <w:rPr>
          <w:b/>
          <w:bCs/>
          <w:noProof/>
        </w:rPr>
        <w:t>21,</w:t>
      </w:r>
      <w:r w:rsidRPr="008C5085">
        <w:rPr>
          <w:noProof/>
        </w:rPr>
        <w:t xml:space="preserve"> 974–84 (2011).</w:t>
      </w:r>
    </w:p>
    <w:p w:rsidR="008C5085" w:rsidRPr="008C5085" w:rsidRDefault="008C5085">
      <w:pPr>
        <w:pStyle w:val="NormalWeb"/>
        <w:ind w:left="640" w:hanging="640"/>
        <w:divId w:val="964579723"/>
        <w:rPr>
          <w:noProof/>
        </w:rPr>
      </w:pPr>
      <w:r w:rsidRPr="008C5085">
        <w:rPr>
          <w:noProof/>
        </w:rPr>
        <w:t>54.</w:t>
      </w:r>
      <w:r w:rsidRPr="008C5085">
        <w:rPr>
          <w:noProof/>
        </w:rPr>
        <w:tab/>
        <w:t xml:space="preserve">Lalonde, E. </w:t>
      </w:r>
      <w:r w:rsidRPr="008C5085">
        <w:rPr>
          <w:i/>
          <w:iCs/>
          <w:noProof/>
        </w:rPr>
        <w:t>et al.</w:t>
      </w:r>
      <w:r w:rsidRPr="008C5085">
        <w:rPr>
          <w:noProof/>
        </w:rPr>
        <w:t xml:space="preserve"> RNA sequencing reveals the role of splicing polymorphisms in regulating human gene expression. </w:t>
      </w:r>
      <w:r w:rsidRPr="008C5085">
        <w:rPr>
          <w:i/>
          <w:iCs/>
          <w:noProof/>
        </w:rPr>
        <w:t>Genome Res.</w:t>
      </w:r>
      <w:r w:rsidRPr="008C5085">
        <w:rPr>
          <w:noProof/>
        </w:rPr>
        <w:t xml:space="preserve"> </w:t>
      </w:r>
      <w:r w:rsidRPr="008C5085">
        <w:rPr>
          <w:b/>
          <w:bCs/>
          <w:noProof/>
        </w:rPr>
        <w:t>21,</w:t>
      </w:r>
      <w:r w:rsidRPr="008C5085">
        <w:rPr>
          <w:noProof/>
        </w:rPr>
        <w:t xml:space="preserve"> 545–54 (2011).</w:t>
      </w:r>
    </w:p>
    <w:p w:rsidR="008C5085" w:rsidRPr="008C5085" w:rsidRDefault="008C5085">
      <w:pPr>
        <w:pStyle w:val="NormalWeb"/>
        <w:ind w:left="640" w:hanging="640"/>
        <w:divId w:val="964579723"/>
        <w:rPr>
          <w:noProof/>
        </w:rPr>
      </w:pPr>
      <w:r w:rsidRPr="008C5085">
        <w:rPr>
          <w:noProof/>
        </w:rPr>
        <w:t>55.</w:t>
      </w:r>
      <w:r w:rsidRPr="008C5085">
        <w:rPr>
          <w:noProof/>
        </w:rPr>
        <w:tab/>
        <w:t xml:space="preserve">Montgomery, S. B. </w:t>
      </w:r>
      <w:r w:rsidRPr="008C5085">
        <w:rPr>
          <w:i/>
          <w:iCs/>
          <w:noProof/>
        </w:rPr>
        <w:t>et al.</w:t>
      </w:r>
      <w:r w:rsidRPr="008C5085">
        <w:rPr>
          <w:noProof/>
        </w:rPr>
        <w:t xml:space="preserve"> Transcriptome genetics using second generation sequencing in a Caucasian population. </w:t>
      </w:r>
      <w:r w:rsidRPr="008C5085">
        <w:rPr>
          <w:i/>
          <w:iCs/>
          <w:noProof/>
        </w:rPr>
        <w:t>Nature</w:t>
      </w:r>
      <w:r w:rsidRPr="008C5085">
        <w:rPr>
          <w:noProof/>
        </w:rPr>
        <w:t xml:space="preserve"> </w:t>
      </w:r>
      <w:r w:rsidRPr="008C5085">
        <w:rPr>
          <w:b/>
          <w:bCs/>
          <w:noProof/>
        </w:rPr>
        <w:t>464,</w:t>
      </w:r>
      <w:r w:rsidRPr="008C5085">
        <w:rPr>
          <w:noProof/>
        </w:rPr>
        <w:t xml:space="preserve"> 773–7 (2010).</w:t>
      </w:r>
    </w:p>
    <w:p w:rsidR="008C5085" w:rsidRPr="008C5085" w:rsidRDefault="008C5085">
      <w:pPr>
        <w:pStyle w:val="NormalWeb"/>
        <w:ind w:left="640" w:hanging="640"/>
        <w:divId w:val="964579723"/>
        <w:rPr>
          <w:noProof/>
        </w:rPr>
      </w:pPr>
      <w:r w:rsidRPr="008C5085">
        <w:rPr>
          <w:noProof/>
        </w:rPr>
        <w:lastRenderedPageBreak/>
        <w:t>56.</w:t>
      </w:r>
      <w:r w:rsidRPr="008C5085">
        <w:rPr>
          <w:noProof/>
        </w:rPr>
        <w:tab/>
        <w:t xml:space="preserve">McVicker, G. </w:t>
      </w:r>
      <w:r w:rsidRPr="008C5085">
        <w:rPr>
          <w:i/>
          <w:iCs/>
          <w:noProof/>
        </w:rPr>
        <w:t>et al.</w:t>
      </w:r>
      <w:r w:rsidRPr="008C5085">
        <w:rPr>
          <w:noProof/>
        </w:rPr>
        <w:t xml:space="preserve"> Identification of genetic variants that affect histone modifications in human cells. </w:t>
      </w:r>
      <w:r w:rsidRPr="008C5085">
        <w:rPr>
          <w:i/>
          <w:iCs/>
          <w:noProof/>
        </w:rPr>
        <w:t>Science</w:t>
      </w:r>
      <w:r w:rsidRPr="008C5085">
        <w:rPr>
          <w:noProof/>
        </w:rPr>
        <w:t xml:space="preserve"> </w:t>
      </w:r>
      <w:r w:rsidRPr="008C5085">
        <w:rPr>
          <w:b/>
          <w:bCs/>
          <w:noProof/>
        </w:rPr>
        <w:t>342,</w:t>
      </w:r>
      <w:r w:rsidRPr="008C5085">
        <w:rPr>
          <w:noProof/>
        </w:rPr>
        <w:t xml:space="preserve"> 747–9 (2013).</w:t>
      </w:r>
    </w:p>
    <w:p w:rsidR="008C5085" w:rsidRPr="008C5085" w:rsidRDefault="008C5085">
      <w:pPr>
        <w:pStyle w:val="NormalWeb"/>
        <w:ind w:left="640" w:hanging="640"/>
        <w:divId w:val="964579723"/>
        <w:rPr>
          <w:noProof/>
        </w:rPr>
      </w:pPr>
      <w:r w:rsidRPr="008C5085">
        <w:rPr>
          <w:noProof/>
        </w:rPr>
        <w:t>57.</w:t>
      </w:r>
      <w:r w:rsidRPr="008C5085">
        <w:rPr>
          <w:noProof/>
        </w:rPr>
        <w:tab/>
        <w:t xml:space="preserve">Langmead, B., Trapnell, C., Pop, M. &amp; Salzberg, S. L. Ultrafast and memory-efficient alignment of short DNA sequences to the human genome. </w:t>
      </w:r>
      <w:r w:rsidRPr="008C5085">
        <w:rPr>
          <w:i/>
          <w:iCs/>
          <w:noProof/>
        </w:rPr>
        <w:t>Genome Biol.</w:t>
      </w:r>
      <w:r w:rsidRPr="008C5085">
        <w:rPr>
          <w:noProof/>
        </w:rPr>
        <w:t xml:space="preserve"> </w:t>
      </w:r>
      <w:r w:rsidRPr="008C5085">
        <w:rPr>
          <w:b/>
          <w:bCs/>
          <w:noProof/>
        </w:rPr>
        <w:t>10,</w:t>
      </w:r>
      <w:r w:rsidRPr="008C5085">
        <w:rPr>
          <w:noProof/>
        </w:rPr>
        <w:t xml:space="preserve"> R25 (2009).</w:t>
      </w:r>
    </w:p>
    <w:p w:rsidR="008C5085" w:rsidRPr="008C5085" w:rsidRDefault="008C5085">
      <w:pPr>
        <w:pStyle w:val="NormalWeb"/>
        <w:ind w:left="640" w:hanging="640"/>
        <w:divId w:val="964579723"/>
        <w:rPr>
          <w:noProof/>
        </w:rPr>
      </w:pPr>
      <w:r w:rsidRPr="008C5085">
        <w:rPr>
          <w:noProof/>
        </w:rPr>
        <w:t>58.</w:t>
      </w:r>
      <w:r w:rsidRPr="008C5085">
        <w:rPr>
          <w:noProof/>
        </w:rPr>
        <w:tab/>
        <w:t>Yee, T. VGAM: Vector Generalized Linear and Additive Models. (2014). at &lt;http://cran.r-project.org/package=VGAM&gt;</w:t>
      </w:r>
    </w:p>
    <w:p w:rsidR="008C5085" w:rsidRPr="008C5085" w:rsidRDefault="008C5085">
      <w:pPr>
        <w:pStyle w:val="NormalWeb"/>
        <w:ind w:left="640" w:hanging="640"/>
        <w:divId w:val="964579723"/>
        <w:rPr>
          <w:noProof/>
        </w:rPr>
      </w:pPr>
      <w:r w:rsidRPr="008C5085">
        <w:rPr>
          <w:noProof/>
        </w:rPr>
        <w:t>59.</w:t>
      </w:r>
      <w:r w:rsidRPr="008C5085">
        <w:rPr>
          <w:noProof/>
        </w:rPr>
        <w:tab/>
        <w:t xml:space="preserve">Rozowsky, J. </w:t>
      </w:r>
      <w:r w:rsidRPr="008C5085">
        <w:rPr>
          <w:i/>
          <w:iCs/>
          <w:noProof/>
        </w:rPr>
        <w:t>et al.</w:t>
      </w:r>
      <w:r w:rsidRPr="008C5085">
        <w:rPr>
          <w:noProof/>
        </w:rPr>
        <w:t xml:space="preserve"> PeakSeq enables systematic scoring of ChIP-seq experiments relative to controls. </w:t>
      </w:r>
      <w:r w:rsidRPr="008C5085">
        <w:rPr>
          <w:i/>
          <w:iCs/>
          <w:noProof/>
        </w:rPr>
        <w:t>Nat. Biotechnol.</w:t>
      </w:r>
      <w:r w:rsidRPr="008C5085">
        <w:rPr>
          <w:noProof/>
        </w:rPr>
        <w:t xml:space="preserve"> </w:t>
      </w:r>
      <w:r w:rsidRPr="008C5085">
        <w:rPr>
          <w:b/>
          <w:bCs/>
          <w:noProof/>
        </w:rPr>
        <w:t>27,</w:t>
      </w:r>
      <w:r w:rsidRPr="008C5085">
        <w:rPr>
          <w:noProof/>
        </w:rPr>
        <w:t xml:space="preserve"> 66–75 (2009).</w:t>
      </w:r>
    </w:p>
    <w:p w:rsidR="008C5085" w:rsidRPr="008C5085" w:rsidRDefault="008C5085">
      <w:pPr>
        <w:pStyle w:val="NormalWeb"/>
        <w:ind w:left="640" w:hanging="640"/>
        <w:divId w:val="964579723"/>
        <w:rPr>
          <w:noProof/>
        </w:rPr>
      </w:pPr>
      <w:r w:rsidRPr="008C5085">
        <w:rPr>
          <w:noProof/>
        </w:rPr>
        <w:t>60.</w:t>
      </w:r>
      <w:r w:rsidRPr="008C5085">
        <w:rPr>
          <w:noProof/>
        </w:rPr>
        <w:tab/>
        <w:t xml:space="preserve">Robinson, J. T. </w:t>
      </w:r>
      <w:r w:rsidRPr="008C5085">
        <w:rPr>
          <w:i/>
          <w:iCs/>
          <w:noProof/>
        </w:rPr>
        <w:t>et al.</w:t>
      </w:r>
      <w:r w:rsidRPr="008C5085">
        <w:rPr>
          <w:noProof/>
        </w:rPr>
        <w:t xml:space="preserve"> Integrative genomics viewer. </w:t>
      </w:r>
      <w:r w:rsidRPr="008C5085">
        <w:rPr>
          <w:i/>
          <w:iCs/>
          <w:noProof/>
        </w:rPr>
        <w:t>Nat. Biotechnol.</w:t>
      </w:r>
      <w:r w:rsidRPr="008C5085">
        <w:rPr>
          <w:noProof/>
        </w:rPr>
        <w:t xml:space="preserve"> </w:t>
      </w:r>
      <w:r w:rsidRPr="008C5085">
        <w:rPr>
          <w:b/>
          <w:bCs/>
          <w:noProof/>
        </w:rPr>
        <w:t>29,</w:t>
      </w:r>
      <w:r w:rsidRPr="008C5085">
        <w:rPr>
          <w:noProof/>
        </w:rPr>
        <w:t xml:space="preserve"> 24–6 (2011).</w:t>
      </w:r>
    </w:p>
    <w:p w:rsidR="008C5085" w:rsidRPr="008C5085" w:rsidRDefault="008C5085">
      <w:pPr>
        <w:pStyle w:val="NormalWeb"/>
        <w:ind w:left="640" w:hanging="640"/>
        <w:divId w:val="964579723"/>
        <w:rPr>
          <w:noProof/>
        </w:rPr>
      </w:pPr>
      <w:r w:rsidRPr="008C5085">
        <w:rPr>
          <w:noProof/>
        </w:rPr>
        <w:t>61.</w:t>
      </w:r>
      <w:r w:rsidRPr="008C5085">
        <w:rPr>
          <w:noProof/>
        </w:rPr>
        <w:tab/>
        <w:t xml:space="preserve">Visscher, P. M., Hill, W. G. &amp; Wray, N. R. Heritability in the genomics era--concepts and misconceptions. </w:t>
      </w:r>
      <w:r w:rsidRPr="008C5085">
        <w:rPr>
          <w:i/>
          <w:iCs/>
          <w:noProof/>
        </w:rPr>
        <w:t>Nat. Rev. Genet.</w:t>
      </w:r>
      <w:r w:rsidRPr="008C5085">
        <w:rPr>
          <w:noProof/>
        </w:rPr>
        <w:t xml:space="preserve"> </w:t>
      </w:r>
      <w:r w:rsidRPr="008C5085">
        <w:rPr>
          <w:b/>
          <w:bCs/>
          <w:noProof/>
        </w:rPr>
        <w:t>9,</w:t>
      </w:r>
      <w:r w:rsidRPr="008C5085">
        <w:rPr>
          <w:noProof/>
        </w:rPr>
        <w:t xml:space="preserve"> 255–66 (2008).</w:t>
      </w:r>
    </w:p>
    <w:p w:rsidR="008C5085" w:rsidRPr="008C5085" w:rsidRDefault="008C5085">
      <w:pPr>
        <w:pStyle w:val="NormalWeb"/>
        <w:ind w:left="640" w:hanging="640"/>
        <w:divId w:val="964579723"/>
        <w:rPr>
          <w:noProof/>
        </w:rPr>
      </w:pPr>
      <w:r w:rsidRPr="008C5085">
        <w:rPr>
          <w:noProof/>
        </w:rPr>
        <w:t>62.</w:t>
      </w:r>
      <w:r w:rsidRPr="008C5085">
        <w:rPr>
          <w:noProof/>
        </w:rPr>
        <w:tab/>
        <w:t xml:space="preserve">Vaquerizas, J. M., Kummerfeld, S. K., Teichmann, S. A. &amp; Luscombe, N. M. A census of human transcription factors: function, expression and evolution. </w:t>
      </w:r>
      <w:r w:rsidRPr="008C5085">
        <w:rPr>
          <w:i/>
          <w:iCs/>
          <w:noProof/>
        </w:rPr>
        <w:t>Nat. Rev. Genet.</w:t>
      </w:r>
      <w:r w:rsidRPr="008C5085">
        <w:rPr>
          <w:noProof/>
        </w:rPr>
        <w:t xml:space="preserve"> </w:t>
      </w:r>
      <w:r w:rsidRPr="008C5085">
        <w:rPr>
          <w:b/>
          <w:bCs/>
          <w:noProof/>
        </w:rPr>
        <w:t>10,</w:t>
      </w:r>
      <w:r w:rsidRPr="008C5085">
        <w:rPr>
          <w:noProof/>
        </w:rPr>
        <w:t xml:space="preserve"> 252–263 (2009).</w:t>
      </w:r>
    </w:p>
    <w:p w:rsidR="008C5085" w:rsidRPr="008C5085" w:rsidRDefault="008C5085">
      <w:pPr>
        <w:pStyle w:val="NormalWeb"/>
        <w:ind w:left="640" w:hanging="640"/>
        <w:divId w:val="964579723"/>
        <w:rPr>
          <w:noProof/>
        </w:rPr>
      </w:pPr>
      <w:r w:rsidRPr="008C5085">
        <w:rPr>
          <w:noProof/>
        </w:rPr>
        <w:t>63.</w:t>
      </w:r>
      <w:r w:rsidRPr="008C5085">
        <w:rPr>
          <w:noProof/>
        </w:rPr>
        <w:tab/>
        <w:t xml:space="preserve">Lefranc, M.-P. </w:t>
      </w:r>
      <w:r w:rsidRPr="008C5085">
        <w:rPr>
          <w:i/>
          <w:iCs/>
          <w:noProof/>
        </w:rPr>
        <w:t>et al.</w:t>
      </w:r>
      <w:r w:rsidRPr="008C5085">
        <w:rPr>
          <w:noProof/>
        </w:rPr>
        <w:t xml:space="preserve"> IMGT-Choreography for immunogenetics and immunoinformatics. </w:t>
      </w:r>
      <w:r w:rsidRPr="008C5085">
        <w:rPr>
          <w:i/>
          <w:iCs/>
          <w:noProof/>
        </w:rPr>
        <w:t>In Silico Biol.</w:t>
      </w:r>
      <w:r w:rsidRPr="008C5085">
        <w:rPr>
          <w:noProof/>
        </w:rPr>
        <w:t xml:space="preserve"> </w:t>
      </w:r>
      <w:r w:rsidRPr="008C5085">
        <w:rPr>
          <w:b/>
          <w:bCs/>
          <w:noProof/>
        </w:rPr>
        <w:t>5,</w:t>
      </w:r>
      <w:r w:rsidRPr="008C5085">
        <w:rPr>
          <w:noProof/>
        </w:rPr>
        <w:t xml:space="preserve"> 45–60 (2005).</w:t>
      </w:r>
    </w:p>
    <w:p w:rsidR="008C5085" w:rsidRPr="008C5085" w:rsidRDefault="008C5085">
      <w:pPr>
        <w:pStyle w:val="NormalWeb"/>
        <w:ind w:left="640" w:hanging="640"/>
        <w:divId w:val="964579723"/>
        <w:rPr>
          <w:noProof/>
        </w:rPr>
      </w:pPr>
      <w:r w:rsidRPr="008C5085">
        <w:rPr>
          <w:noProof/>
        </w:rPr>
        <w:t>64.</w:t>
      </w:r>
      <w:r w:rsidRPr="008C5085">
        <w:rPr>
          <w:noProof/>
        </w:rPr>
        <w:tab/>
        <w:t xml:space="preserve">Morison, I. M., Ramsay, J. P. &amp; Spencer, H. G. A census of mammalian imprinting. </w:t>
      </w:r>
      <w:r w:rsidRPr="008C5085">
        <w:rPr>
          <w:i/>
          <w:iCs/>
          <w:noProof/>
        </w:rPr>
        <w:t>Trends Genet.</w:t>
      </w:r>
      <w:r w:rsidRPr="008C5085">
        <w:rPr>
          <w:noProof/>
        </w:rPr>
        <w:t xml:space="preserve"> </w:t>
      </w:r>
      <w:r w:rsidRPr="008C5085">
        <w:rPr>
          <w:b/>
          <w:bCs/>
          <w:noProof/>
        </w:rPr>
        <w:t>21,</w:t>
      </w:r>
      <w:r w:rsidRPr="008C5085">
        <w:rPr>
          <w:noProof/>
        </w:rPr>
        <w:t xml:space="preserve"> 457–65 (2005).</w:t>
      </w:r>
    </w:p>
    <w:p w:rsidR="008C5085" w:rsidRPr="008C5085" w:rsidRDefault="008C5085">
      <w:pPr>
        <w:pStyle w:val="NormalWeb"/>
        <w:ind w:left="640" w:hanging="640"/>
        <w:divId w:val="964579723"/>
        <w:rPr>
          <w:noProof/>
        </w:rPr>
      </w:pPr>
      <w:r w:rsidRPr="008C5085">
        <w:rPr>
          <w:noProof/>
        </w:rPr>
        <w:t>65.</w:t>
      </w:r>
      <w:r w:rsidRPr="008C5085">
        <w:rPr>
          <w:noProof/>
        </w:rPr>
        <w:tab/>
        <w:t>GeneImprint. at &lt;http://www.geneimprint.com/&gt;</w:t>
      </w:r>
    </w:p>
    <w:p w:rsidR="008C5085" w:rsidRPr="008C5085" w:rsidRDefault="008C5085">
      <w:pPr>
        <w:pStyle w:val="NormalWeb"/>
        <w:ind w:left="640" w:hanging="640"/>
        <w:divId w:val="964579723"/>
        <w:rPr>
          <w:noProof/>
        </w:rPr>
      </w:pPr>
      <w:r w:rsidRPr="008C5085">
        <w:rPr>
          <w:noProof/>
        </w:rPr>
        <w:t>66.</w:t>
      </w:r>
      <w:r w:rsidRPr="008C5085">
        <w:rPr>
          <w:noProof/>
        </w:rPr>
        <w:tab/>
        <w:t xml:space="preserve">Lo, H. S. </w:t>
      </w:r>
      <w:r w:rsidRPr="008C5085">
        <w:rPr>
          <w:i/>
          <w:iCs/>
          <w:noProof/>
        </w:rPr>
        <w:t>et al.</w:t>
      </w:r>
      <w:r w:rsidRPr="008C5085">
        <w:rPr>
          <w:noProof/>
        </w:rPr>
        <w:t xml:space="preserve"> Allelic variation in gene expression is common in the human genome. </w:t>
      </w:r>
      <w:r w:rsidRPr="008C5085">
        <w:rPr>
          <w:i/>
          <w:iCs/>
          <w:noProof/>
        </w:rPr>
        <w:t>Genome Res.</w:t>
      </w:r>
      <w:r w:rsidRPr="008C5085">
        <w:rPr>
          <w:noProof/>
        </w:rPr>
        <w:t xml:space="preserve"> </w:t>
      </w:r>
      <w:r w:rsidRPr="008C5085">
        <w:rPr>
          <w:b/>
          <w:bCs/>
          <w:noProof/>
        </w:rPr>
        <w:t>13,</w:t>
      </w:r>
      <w:r w:rsidRPr="008C5085">
        <w:rPr>
          <w:noProof/>
        </w:rPr>
        <w:t xml:space="preserve"> 1855–1862 (2003).</w:t>
      </w:r>
    </w:p>
    <w:p w:rsidR="008C5085" w:rsidRPr="008C5085" w:rsidRDefault="008C5085">
      <w:pPr>
        <w:pStyle w:val="NormalWeb"/>
        <w:ind w:left="640" w:hanging="640"/>
        <w:divId w:val="964579723"/>
        <w:rPr>
          <w:noProof/>
        </w:rPr>
      </w:pPr>
      <w:r w:rsidRPr="008C5085">
        <w:rPr>
          <w:noProof/>
        </w:rPr>
        <w:t>67.</w:t>
      </w:r>
      <w:r w:rsidRPr="008C5085">
        <w:rPr>
          <w:noProof/>
        </w:rPr>
        <w:tab/>
        <w:t xml:space="preserve">Ernst, J. &amp; Kellis, M. ChromHMM: automating chromatin-state discovery and characterization. </w:t>
      </w:r>
      <w:r w:rsidRPr="008C5085">
        <w:rPr>
          <w:i/>
          <w:iCs/>
          <w:noProof/>
        </w:rPr>
        <w:t>Nat. Methods</w:t>
      </w:r>
      <w:r w:rsidRPr="008C5085">
        <w:rPr>
          <w:noProof/>
        </w:rPr>
        <w:t xml:space="preserve"> </w:t>
      </w:r>
      <w:r w:rsidRPr="008C5085">
        <w:rPr>
          <w:b/>
          <w:bCs/>
          <w:noProof/>
        </w:rPr>
        <w:t>9,</w:t>
      </w:r>
      <w:r w:rsidRPr="008C5085">
        <w:rPr>
          <w:noProof/>
        </w:rPr>
        <w:t xml:space="preserve"> 215–6 (2012).</w:t>
      </w:r>
    </w:p>
    <w:p w:rsidR="008C5085" w:rsidRPr="008C5085" w:rsidRDefault="008C5085">
      <w:pPr>
        <w:pStyle w:val="NormalWeb"/>
        <w:ind w:left="640" w:hanging="640"/>
        <w:divId w:val="964579723"/>
        <w:rPr>
          <w:noProof/>
        </w:rPr>
      </w:pPr>
      <w:r w:rsidRPr="008C5085">
        <w:rPr>
          <w:noProof/>
        </w:rPr>
        <w:t>68.</w:t>
      </w:r>
      <w:r w:rsidRPr="008C5085">
        <w:rPr>
          <w:noProof/>
        </w:rPr>
        <w:tab/>
        <w:t xml:space="preserve">Hoffman, M. M. </w:t>
      </w:r>
      <w:r w:rsidRPr="008C5085">
        <w:rPr>
          <w:i/>
          <w:iCs/>
          <w:noProof/>
        </w:rPr>
        <w:t>et al.</w:t>
      </w:r>
      <w:r w:rsidRPr="008C5085">
        <w:rPr>
          <w:noProof/>
        </w:rPr>
        <w:t xml:space="preserve"> Integrative annotation of chromatin elements from ENCODE data. </w:t>
      </w:r>
      <w:r w:rsidRPr="008C5085">
        <w:rPr>
          <w:i/>
          <w:iCs/>
          <w:noProof/>
        </w:rPr>
        <w:t>Nucleic Acids Res.</w:t>
      </w:r>
      <w:r w:rsidRPr="008C5085">
        <w:rPr>
          <w:noProof/>
        </w:rPr>
        <w:t xml:space="preserve"> </w:t>
      </w:r>
      <w:r w:rsidRPr="008C5085">
        <w:rPr>
          <w:b/>
          <w:bCs/>
          <w:noProof/>
        </w:rPr>
        <w:t>41,</w:t>
      </w:r>
      <w:r w:rsidRPr="008C5085">
        <w:rPr>
          <w:noProof/>
        </w:rPr>
        <w:t xml:space="preserve"> 827–41 (2013).</w:t>
      </w:r>
    </w:p>
    <w:p w:rsidR="008C5085" w:rsidRPr="008C5085" w:rsidRDefault="008C5085">
      <w:pPr>
        <w:pStyle w:val="NormalWeb"/>
        <w:ind w:left="640" w:hanging="640"/>
        <w:divId w:val="964579723"/>
        <w:rPr>
          <w:noProof/>
        </w:rPr>
      </w:pPr>
      <w:r w:rsidRPr="008C5085">
        <w:rPr>
          <w:noProof/>
        </w:rPr>
        <w:t>69.</w:t>
      </w:r>
      <w:r w:rsidRPr="008C5085">
        <w:rPr>
          <w:noProof/>
        </w:rPr>
        <w:tab/>
        <w:t xml:space="preserve">Yip, K. Y. </w:t>
      </w:r>
      <w:r w:rsidRPr="008C5085">
        <w:rPr>
          <w:i/>
          <w:iCs/>
          <w:noProof/>
        </w:rPr>
        <w:t>et al.</w:t>
      </w:r>
      <w:r w:rsidRPr="008C5085">
        <w:rPr>
          <w:noProof/>
        </w:rPr>
        <w:t xml:space="preserve"> Classification of human genomic regions based on experimentally determined binding sites of more than 100 transcription-related factors. </w:t>
      </w:r>
      <w:r w:rsidRPr="008C5085">
        <w:rPr>
          <w:i/>
          <w:iCs/>
          <w:noProof/>
        </w:rPr>
        <w:t>Genome Biol.</w:t>
      </w:r>
      <w:r w:rsidRPr="008C5085">
        <w:rPr>
          <w:noProof/>
        </w:rPr>
        <w:t xml:space="preserve"> </w:t>
      </w:r>
      <w:r w:rsidRPr="008C5085">
        <w:rPr>
          <w:b/>
          <w:bCs/>
          <w:noProof/>
        </w:rPr>
        <w:t>13,</w:t>
      </w:r>
      <w:r w:rsidRPr="008C5085">
        <w:rPr>
          <w:noProof/>
        </w:rPr>
        <w:t xml:space="preserve"> R48 (2012).</w:t>
      </w:r>
    </w:p>
    <w:p w:rsidR="008C5085" w:rsidRPr="008C5085" w:rsidRDefault="008C5085">
      <w:pPr>
        <w:pStyle w:val="NormalWeb"/>
        <w:ind w:left="640" w:hanging="640"/>
        <w:divId w:val="964579723"/>
        <w:rPr>
          <w:noProof/>
        </w:rPr>
      </w:pPr>
      <w:r w:rsidRPr="008C5085">
        <w:rPr>
          <w:noProof/>
        </w:rPr>
        <w:t>70.</w:t>
      </w:r>
      <w:r w:rsidRPr="008C5085">
        <w:rPr>
          <w:noProof/>
        </w:rPr>
        <w:tab/>
        <w:t xml:space="preserve">Visel, A., Minovitsky, S., Dubchak, I. &amp; Pennacchio, L. A. VISTA Enhancer Browser--a database of tissue-specific human enhancers. </w:t>
      </w:r>
      <w:r w:rsidRPr="008C5085">
        <w:rPr>
          <w:i/>
          <w:iCs/>
          <w:noProof/>
        </w:rPr>
        <w:t>Nucleic Acids Res.</w:t>
      </w:r>
      <w:r w:rsidRPr="008C5085">
        <w:rPr>
          <w:noProof/>
        </w:rPr>
        <w:t xml:space="preserve"> </w:t>
      </w:r>
      <w:r w:rsidRPr="008C5085">
        <w:rPr>
          <w:b/>
          <w:bCs/>
          <w:noProof/>
        </w:rPr>
        <w:t>35,</w:t>
      </w:r>
      <w:r w:rsidRPr="008C5085">
        <w:rPr>
          <w:noProof/>
        </w:rPr>
        <w:t xml:space="preserve"> D88–92 (2007).</w:t>
      </w:r>
    </w:p>
    <w:p w:rsidR="008C5085" w:rsidRPr="008C5085" w:rsidRDefault="008C5085">
      <w:pPr>
        <w:pStyle w:val="NormalWeb"/>
        <w:ind w:left="640" w:hanging="640"/>
        <w:divId w:val="964579723"/>
        <w:rPr>
          <w:noProof/>
        </w:rPr>
      </w:pPr>
      <w:r w:rsidRPr="008C5085">
        <w:rPr>
          <w:noProof/>
        </w:rPr>
        <w:lastRenderedPageBreak/>
        <w:t>71.</w:t>
      </w:r>
      <w:r w:rsidRPr="008C5085">
        <w:rPr>
          <w:noProof/>
        </w:rPr>
        <w:tab/>
        <w:t xml:space="preserve">Eisenberg, E. &amp; Levanon, E. Y. Human housekeeping genes, revisited. </w:t>
      </w:r>
      <w:r w:rsidRPr="008C5085">
        <w:rPr>
          <w:i/>
          <w:iCs/>
          <w:noProof/>
        </w:rPr>
        <w:t>Trends Genet.</w:t>
      </w:r>
      <w:r w:rsidRPr="008C5085">
        <w:rPr>
          <w:noProof/>
        </w:rPr>
        <w:t xml:space="preserve"> </w:t>
      </w:r>
      <w:r w:rsidRPr="008C5085">
        <w:rPr>
          <w:b/>
          <w:bCs/>
          <w:noProof/>
        </w:rPr>
        <w:t>29,</w:t>
      </w:r>
      <w:r w:rsidRPr="008C5085">
        <w:rPr>
          <w:noProof/>
        </w:rPr>
        <w:t xml:space="preserve"> 569–74 (2013).</w:t>
      </w:r>
    </w:p>
    <w:p w:rsidR="008C5085" w:rsidRPr="008C5085" w:rsidRDefault="008C5085">
      <w:pPr>
        <w:pStyle w:val="NormalWeb"/>
        <w:ind w:left="640" w:hanging="640"/>
        <w:divId w:val="964579723"/>
        <w:rPr>
          <w:noProof/>
        </w:rPr>
      </w:pPr>
      <w:r w:rsidRPr="008C5085">
        <w:rPr>
          <w:noProof/>
        </w:rPr>
        <w:t>72.</w:t>
      </w:r>
      <w:r w:rsidRPr="008C5085">
        <w:rPr>
          <w:noProof/>
        </w:rPr>
        <w:tab/>
        <w:t xml:space="preserve">Kheradpour, P. &amp; Kellis, M. Systematic discovery and characterization of regulatory motifs in ENCODE TF binding experiments. </w:t>
      </w:r>
      <w:r w:rsidRPr="008C5085">
        <w:rPr>
          <w:i/>
          <w:iCs/>
          <w:noProof/>
        </w:rPr>
        <w:t>Nucleic Acids Res.</w:t>
      </w:r>
      <w:r w:rsidRPr="008C5085">
        <w:rPr>
          <w:noProof/>
        </w:rPr>
        <w:t xml:space="preserve"> </w:t>
      </w:r>
      <w:r w:rsidRPr="008C5085">
        <w:rPr>
          <w:b/>
          <w:bCs/>
          <w:noProof/>
        </w:rPr>
        <w:t>42,</w:t>
      </w:r>
      <w:r w:rsidRPr="008C5085">
        <w:rPr>
          <w:noProof/>
        </w:rPr>
        <w:t xml:space="preserve"> 2976–87 (2014).</w:t>
      </w:r>
    </w:p>
    <w:p w:rsidR="008C5085" w:rsidRPr="008C5085" w:rsidRDefault="008C5085">
      <w:pPr>
        <w:pStyle w:val="NormalWeb"/>
        <w:ind w:left="640" w:hanging="640"/>
        <w:divId w:val="964579723"/>
        <w:rPr>
          <w:noProof/>
        </w:rPr>
      </w:pPr>
      <w:r w:rsidRPr="008C5085">
        <w:rPr>
          <w:noProof/>
        </w:rPr>
        <w:t>73.</w:t>
      </w:r>
      <w:r w:rsidRPr="008C5085">
        <w:rPr>
          <w:noProof/>
        </w:rPr>
        <w:tab/>
        <w:t xml:space="preserve">Touzet, H. &amp; Varré, J.-S. Efficient and accurate P-value computation for Position Weight Matrices. </w:t>
      </w:r>
      <w:r w:rsidRPr="008C5085">
        <w:rPr>
          <w:i/>
          <w:iCs/>
          <w:noProof/>
        </w:rPr>
        <w:t>Algorithms Mol. Biol.</w:t>
      </w:r>
      <w:r w:rsidRPr="008C5085">
        <w:rPr>
          <w:noProof/>
        </w:rPr>
        <w:t xml:space="preserve"> </w:t>
      </w:r>
      <w:r w:rsidRPr="008C5085">
        <w:rPr>
          <w:b/>
          <w:bCs/>
          <w:noProof/>
        </w:rPr>
        <w:t>2,</w:t>
      </w:r>
      <w:r w:rsidRPr="008C5085">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of AlleleDB.</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r w:rsidRPr="00D77606">
        <w:rPr>
          <w:rFonts w:ascii="Times New Roman" w:hAnsi="Times New Roman" w:cs="Times New Roman"/>
          <w:sz w:val="24"/>
          <w:szCs w:val="24"/>
        </w:rPr>
        <w:t>ChIP-seq or RNA-seq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overdispersion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r w:rsidR="00C0200D">
        <w:rPr>
          <w:rFonts w:ascii="Times New Roman" w:hAnsi="Times New Roman" w:cs="Times New Roman"/>
          <w:sz w:val="24"/>
          <w:szCs w:val="24"/>
        </w:rPr>
        <w:t>over</w:t>
      </w:r>
      <w:r w:rsidR="00D77606" w:rsidRPr="00D77606">
        <w:rPr>
          <w:rFonts w:ascii="Times New Roman" w:hAnsi="Times New Roman" w:cs="Times New Roman"/>
          <w:sz w:val="24"/>
          <w:szCs w:val="24"/>
        </w:rPr>
        <w:t xml:space="preserve">dispersed datasets. (2b) The resultant datasets are pooled and the overdispersion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overdispersion parameter in Step 2b to account for overdispersion.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AlleleDB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overdispersion.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RNA-seq datasets for the individual HG00096. It has a low overdispersion parameter, ρ=0.0205. The empirical distribution does not have heavy 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RNA-seq datasets for the individual NA11894. Overdispersion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lastRenderedPageBreak/>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5</w:t>
      </w:r>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(Bonf</w:t>
      </w:r>
      <w:r w:rsidR="0004145F">
        <w:rPr>
          <w:rFonts w:ascii="Times New Roman" w:hAnsi="Times New Roman" w:cs="Times New Roman"/>
          <w:sz w:val="24"/>
          <w:szCs w:val="24"/>
        </w:rPr>
        <w:t>erron</w:t>
      </w:r>
      <w:r>
        <w:rPr>
          <w:rFonts w:ascii="Times New Roman" w:hAnsi="Times New Roman" w:cs="Times New Roman"/>
          <w:sz w:val="24"/>
          <w:szCs w:val="24"/>
        </w:rPr>
        <w:t>i-corrected)</w:t>
      </w:r>
      <w:r w:rsidRPr="00635F82">
        <w:rPr>
          <w:rFonts w:ascii="Times New Roman" w:hAnsi="Times New Roman" w:cs="Times New Roman"/>
          <w:sz w:val="24"/>
          <w:szCs w:val="24"/>
        </w:rPr>
        <w:t>: *, p&lt;0.05; **, p&lt;0.01; ***, p&lt;0.001. For each transcription factor (TF) in AlleleDB,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r w:rsidRPr="00635F82">
        <w:rPr>
          <w:rFonts w:ascii="Times New Roman" w:hAnsi="Times New Roman" w:cs="Times New Roman"/>
          <w:sz w:val="24"/>
          <w:szCs w:val="24"/>
        </w:rPr>
        <w:t xml:space="preserve">allelically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6</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r w:rsidR="00627A18">
        <w:rPr>
          <w:rFonts w:ascii="Times New Roman" w:hAnsi="Times New Roman" w:cs="Times New Roman"/>
          <w:sz w:val="24"/>
          <w:szCs w:val="24"/>
        </w:rPr>
        <w:t xml:space="preserve">Bonferroni-corrected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RNA-seq and ChIP-seq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Default="004E03BC" w:rsidP="00674E09">
      <w:pPr>
        <w:spacing w:after="0" w:line="240" w:lineRule="auto"/>
        <w:rPr>
          <w:rFonts w:ascii="Times New Roman" w:hAnsi="Times New Roman" w:cs="Times New Roman"/>
          <w:b/>
          <w:sz w:val="24"/>
          <w:szCs w:val="24"/>
          <w:u w:val="single"/>
        </w:rPr>
      </w:pPr>
    </w:p>
    <w:p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Pr>
          <w:rFonts w:ascii="Times New Roman" w:hAnsi="Times New Roman" w:cs="Times New Roman"/>
          <w:b/>
          <w:sz w:val="24"/>
          <w:szCs w:val="24"/>
        </w:rPr>
        <w:t>1</w:t>
      </w:r>
    </w:p>
    <w:p w:rsidR="0042647D" w:rsidRDefault="0042647D" w:rsidP="004264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table shows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bookmarkStart w:id="0" w:name="_GoBack"/>
      <w:bookmarkEnd w:id="0"/>
      <w:r>
        <w:rPr>
          <w:rFonts w:ascii="Times New Roman" w:hAnsi="Times New Roman" w:cs="Times New Roman"/>
          <w:sz w:val="24"/>
          <w:szCs w:val="24"/>
        </w:rPr>
        <w:t>to different reference genomes and variations of statistical tests in detecting the allele-specific variants.</w:t>
      </w:r>
    </w:p>
    <w:p w:rsidR="0042647D" w:rsidRPr="00635F82" w:rsidRDefault="0042647D" w:rsidP="0042647D">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p>
    <w:p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sidR="009C13C3">
        <w:rPr>
          <w:rFonts w:ascii="Times New Roman" w:hAnsi="Times New Roman" w:cs="Times New Roman"/>
          <w:sz w:val="24"/>
          <w:szCs w:val="24"/>
        </w:rPr>
        <w:t>“overdispersed”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p>
    <w:p w:rsidR="00260EFB" w:rsidRPr="00260EFB" w:rsidRDefault="00D06B0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C13C3">
        <w:rPr>
          <w:rFonts w:ascii="Times New Roman" w:hAnsi="Times New Roman" w:cs="Times New Roman"/>
          <w:sz w:val="24"/>
          <w:szCs w:val="24"/>
        </w:rPr>
        <w:t xml:space="preserve">We define an “overdispersed” ChIP-seq dataset by ρ ≥ 0.3, while an “overdispersed” RNA-seq dataset is defined more strictly by </w:t>
      </w:r>
      <w:r w:rsidR="009C13C3">
        <w:rPr>
          <w:rFonts w:ascii="Times New Roman" w:hAnsi="Times New Roman" w:cs="Times New Roman"/>
          <w:sz w:val="24"/>
          <w:szCs w:val="24"/>
        </w:rPr>
        <w:t xml:space="preserve">ρ ≥ </w:t>
      </w:r>
      <w:r w:rsidR="009C13C3">
        <w:rPr>
          <w:rFonts w:ascii="Times New Roman" w:hAnsi="Times New Roman" w:cs="Times New Roman"/>
          <w:sz w:val="24"/>
          <w:szCs w:val="24"/>
        </w:rPr>
        <w:t>0.125, which is one standard deviation more than the mean overdispersion in the RNA-seq datasets in our processing.</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Bonferroni-corrected),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monoallelically-expressed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3</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(original, Bonferroni-corrected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4</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s the ASB SNVs that reside in TF motifs described in Kheradpour and Kellis</w:t>
      </w:r>
      <w:r w:rsidR="00E563DD">
        <w:rPr>
          <w:rFonts w:ascii="Times New Roman" w:hAnsi="Times New Roman" w:cs="Times New Roman"/>
          <w:sz w:val="24"/>
          <w:szCs w:val="24"/>
        </w:rPr>
        <w:fldChar w:fldCharType="begin" w:fldLock="1"/>
      </w:r>
      <w:r w:rsidR="008C5085">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"&lt;sup&gt;71&lt;/sup&gt;"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8C5085" w:rsidRPr="008C5085">
        <w:rPr>
          <w:rFonts w:ascii="Times New Roman" w:hAnsi="Times New Roman" w:cs="Times New Roman"/>
          <w:noProof/>
          <w:sz w:val="24"/>
          <w:szCs w:val="24"/>
          <w:vertAlign w:val="superscript"/>
        </w:rPr>
        <w:t>72</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Kheradpour and Kellis),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File 5</w:t>
      </w:r>
    </w:p>
    <w:p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Word file contains the R pseudocode for the bisection method that is used to estimate the overdispersion parameter.</w:t>
      </w:r>
    </w:p>
    <w:p w:rsidR="000D3EA7" w:rsidRDefault="000D3EA7" w:rsidP="00674E09">
      <w:pPr>
        <w:spacing w:after="0" w:line="240" w:lineRule="auto"/>
        <w:rPr>
          <w:rFonts w:ascii="Times New Roman" w:hAnsi="Times New Roman" w:cs="Times New Roman"/>
          <w:sz w:val="24"/>
          <w:szCs w:val="24"/>
        </w:rPr>
      </w:pPr>
    </w:p>
    <w:p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Supplementary File 6</w:t>
      </w:r>
    </w:p>
    <w:p w:rsidR="000D3EA7" w:rsidRDefault="000D3EA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 xml:space="preserve">individuals (column ‘indCount’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‘winningAllele’ and ‘</w:t>
      </w:r>
      <w:r w:rsidR="00DE2596">
        <w:rPr>
          <w:rFonts w:ascii="Times New Roman" w:hAnsi="Times New Roman" w:cs="Times New Roman"/>
          <w:sz w:val="24"/>
          <w:szCs w:val="24"/>
        </w:rPr>
        <w:t>alleleCounts</w:t>
      </w:r>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 xml:space="preserve">of the individuals (column ‘freq’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ind_TF </w:t>
      </w:r>
      <w:r w:rsidR="007351E9">
        <w:rPr>
          <w:rFonts w:ascii="Times New Roman" w:hAnsi="Times New Roman" w:cs="Times New Roman"/>
          <w:sz w:val="24"/>
          <w:szCs w:val="24"/>
        </w:rPr>
        <w:t xml:space="preserve">and </w:t>
      </w:r>
      <w:r w:rsidR="00BE0CD2">
        <w:rPr>
          <w:rFonts w:ascii="Times New Roman" w:hAnsi="Times New Roman" w:cs="Times New Roman"/>
          <w:sz w:val="24"/>
          <w:szCs w:val="24"/>
        </w:rPr>
        <w:t xml:space="preserve">indCount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each ind_TF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‘winningAllele’</w:t>
      </w:r>
      <w:r w:rsidR="00B30C67">
        <w:rPr>
          <w:rFonts w:ascii="Times New Roman" w:hAnsi="Times New Roman" w:cs="Times New Roman"/>
          <w:sz w:val="24"/>
          <w:szCs w:val="24"/>
        </w:rPr>
        <w:t xml:space="preserve"> and ‘</w:t>
      </w:r>
      <w:r w:rsidR="00DE2596">
        <w:rPr>
          <w:rFonts w:ascii="Times New Roman" w:hAnsi="Times New Roman" w:cs="Times New Roman"/>
          <w:sz w:val="24"/>
          <w:szCs w:val="24"/>
        </w:rPr>
        <w:t>alleleCounts’</w:t>
      </w:r>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r w:rsidR="00F50F29">
        <w:rPr>
          <w:rFonts w:ascii="Times New Roman" w:hAnsi="Times New Roman" w:cs="Times New Roman"/>
          <w:sz w:val="24"/>
          <w:szCs w:val="24"/>
        </w:rPr>
        <w:t>ind_TF</w:t>
      </w:r>
      <w:r w:rsidR="00AD4BF5">
        <w:rPr>
          <w:rFonts w:ascii="Times New Roman" w:hAnsi="Times New Roman" w:cs="Times New Roman"/>
          <w:sz w:val="24"/>
          <w:szCs w:val="24"/>
        </w:rPr>
        <w:t xml:space="preserve"> </w:t>
      </w:r>
      <w:r w:rsidR="00C74F35">
        <w:rPr>
          <w:rFonts w:ascii="Times New Roman" w:hAnsi="Times New Roman" w:cs="Times New Roman"/>
          <w:sz w:val="24"/>
          <w:szCs w:val="24"/>
        </w:rPr>
        <w:t xml:space="preserve">(column ‘freq’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Pr>
          <w:rFonts w:ascii="Times New Roman" w:hAnsi="Times New Roman" w:cs="Times New Roman"/>
          <w:sz w:val="24"/>
          <w:szCs w:val="24"/>
        </w:rPr>
        <w:t xml:space="preserve">. </w:t>
      </w:r>
    </w:p>
    <w:p w:rsidR="00922058" w:rsidRDefault="00922058" w:rsidP="00674E09">
      <w:pPr>
        <w:spacing w:after="0" w:line="240" w:lineRule="auto"/>
        <w:rPr>
          <w:rFonts w:ascii="Times New Roman" w:hAnsi="Times New Roman" w:cs="Times New Roman"/>
          <w:sz w:val="24"/>
          <w:szCs w:val="24"/>
        </w:rPr>
      </w:pPr>
    </w:p>
    <w:p w:rsidR="00922058" w:rsidRPr="00922058" w:rsidRDefault="00922058" w:rsidP="00674E09">
      <w:pPr>
        <w:spacing w:after="0" w:line="240" w:lineRule="auto"/>
        <w:rPr>
          <w:rFonts w:ascii="Times New Roman" w:hAnsi="Times New Roman" w:cs="Times New Roman"/>
          <w:b/>
          <w:sz w:val="24"/>
          <w:szCs w:val="24"/>
        </w:rPr>
      </w:pPr>
      <w:r w:rsidRPr="00922058">
        <w:rPr>
          <w:rFonts w:ascii="Times New Roman" w:hAnsi="Times New Roman" w:cs="Times New Roman"/>
          <w:b/>
          <w:sz w:val="24"/>
          <w:szCs w:val="24"/>
        </w:rPr>
        <w:t>Supplementary File 7</w:t>
      </w:r>
    </w:p>
    <w:p w:rsidR="00922058" w:rsidRPr="00183CE0" w:rsidRDefault="0092205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the information for the minimum of the reads to be defined an accessible SNV in each pooled RNA-seq </w:t>
      </w:r>
      <w:r w:rsidR="004F2E42">
        <w:rPr>
          <w:rFonts w:ascii="Times New Roman" w:hAnsi="Times New Roman" w:cs="Times New Roman"/>
          <w:sz w:val="24"/>
          <w:szCs w:val="24"/>
        </w:rPr>
        <w:t xml:space="preserve">(grouped by individual) </w:t>
      </w:r>
      <w:r>
        <w:rPr>
          <w:rFonts w:ascii="Times New Roman" w:hAnsi="Times New Roman" w:cs="Times New Roman"/>
          <w:sz w:val="24"/>
          <w:szCs w:val="24"/>
        </w:rPr>
        <w:t>and ChIP-seq dataset</w:t>
      </w:r>
      <w:r w:rsidR="004F2E42">
        <w:rPr>
          <w:rFonts w:ascii="Times New Roman" w:hAnsi="Times New Roman" w:cs="Times New Roman"/>
          <w:sz w:val="24"/>
          <w:szCs w:val="24"/>
        </w:rPr>
        <w:t xml:space="preserve"> (grouped by individual and TF)</w:t>
      </w:r>
      <w:r>
        <w:rPr>
          <w:rFonts w:ascii="Times New Roman" w:hAnsi="Times New Roman" w:cs="Times New Roman"/>
          <w:sz w:val="24"/>
          <w:szCs w:val="24"/>
        </w:rPr>
        <w:t>.</w:t>
      </w:r>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8D" w:rsidRDefault="001F3B8D">
      <w:pPr>
        <w:spacing w:after="0" w:line="240" w:lineRule="auto"/>
      </w:pPr>
      <w:r>
        <w:separator/>
      </w:r>
    </w:p>
  </w:endnote>
  <w:endnote w:type="continuationSeparator" w:id="0">
    <w:p w:rsidR="001F3B8D" w:rsidRDefault="001F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rsidR="009C7FD5" w:rsidRDefault="009C7FD5">
        <w:pPr>
          <w:pStyle w:val="Footer"/>
          <w:jc w:val="right"/>
        </w:pPr>
        <w:r>
          <w:fldChar w:fldCharType="begin"/>
        </w:r>
        <w:r>
          <w:instrText xml:space="preserve"> PAGE   \* MERGEFORMAT </w:instrText>
        </w:r>
        <w:r>
          <w:fldChar w:fldCharType="separate"/>
        </w:r>
        <w:r w:rsidR="00B12E09">
          <w:rPr>
            <w:noProof/>
          </w:rPr>
          <w:t>20</w:t>
        </w:r>
        <w:r>
          <w:rPr>
            <w:noProof/>
          </w:rPr>
          <w:fldChar w:fldCharType="end"/>
        </w:r>
      </w:p>
    </w:sdtContent>
  </w:sdt>
  <w:p w:rsidR="009C7FD5" w:rsidRDefault="009C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8D" w:rsidRDefault="001F3B8D">
      <w:pPr>
        <w:spacing w:after="0" w:line="240" w:lineRule="auto"/>
      </w:pPr>
      <w:r>
        <w:separator/>
      </w:r>
    </w:p>
  </w:footnote>
  <w:footnote w:type="continuationSeparator" w:id="0">
    <w:p w:rsidR="001F3B8D" w:rsidRDefault="001F3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8CB"/>
    <w:rsid w:val="000C7E00"/>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12CD0"/>
    <w:rsid w:val="00113B5E"/>
    <w:rsid w:val="0012416E"/>
    <w:rsid w:val="001264F7"/>
    <w:rsid w:val="001328AD"/>
    <w:rsid w:val="00133F49"/>
    <w:rsid w:val="0013626F"/>
    <w:rsid w:val="0014711E"/>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F1569"/>
    <w:rsid w:val="001F3B8D"/>
    <w:rsid w:val="001F6FE2"/>
    <w:rsid w:val="0020742D"/>
    <w:rsid w:val="00207DC6"/>
    <w:rsid w:val="00211D2C"/>
    <w:rsid w:val="00217A80"/>
    <w:rsid w:val="0022179E"/>
    <w:rsid w:val="0022302C"/>
    <w:rsid w:val="00227674"/>
    <w:rsid w:val="00227CFF"/>
    <w:rsid w:val="0023567C"/>
    <w:rsid w:val="002379B8"/>
    <w:rsid w:val="00237FC0"/>
    <w:rsid w:val="0024131A"/>
    <w:rsid w:val="00251DDF"/>
    <w:rsid w:val="00253107"/>
    <w:rsid w:val="00254BAA"/>
    <w:rsid w:val="00260EFB"/>
    <w:rsid w:val="00262949"/>
    <w:rsid w:val="00263982"/>
    <w:rsid w:val="0027182C"/>
    <w:rsid w:val="00272C2D"/>
    <w:rsid w:val="00277B3E"/>
    <w:rsid w:val="00287CF0"/>
    <w:rsid w:val="00294896"/>
    <w:rsid w:val="002A1A4A"/>
    <w:rsid w:val="002A2C23"/>
    <w:rsid w:val="002A3489"/>
    <w:rsid w:val="002A6AA9"/>
    <w:rsid w:val="002A7DE3"/>
    <w:rsid w:val="002C0948"/>
    <w:rsid w:val="002C23C2"/>
    <w:rsid w:val="002C4BC9"/>
    <w:rsid w:val="002C4C1A"/>
    <w:rsid w:val="002C5D85"/>
    <w:rsid w:val="002C5FFF"/>
    <w:rsid w:val="002C60C1"/>
    <w:rsid w:val="002D1102"/>
    <w:rsid w:val="002D3EA0"/>
    <w:rsid w:val="002D70FB"/>
    <w:rsid w:val="002E71F8"/>
    <w:rsid w:val="002F1581"/>
    <w:rsid w:val="002F42DB"/>
    <w:rsid w:val="002F53AF"/>
    <w:rsid w:val="002F7530"/>
    <w:rsid w:val="002F7944"/>
    <w:rsid w:val="002F7CED"/>
    <w:rsid w:val="00300C73"/>
    <w:rsid w:val="00307D80"/>
    <w:rsid w:val="003131A0"/>
    <w:rsid w:val="00313AAD"/>
    <w:rsid w:val="003212C9"/>
    <w:rsid w:val="00322A8C"/>
    <w:rsid w:val="003236E7"/>
    <w:rsid w:val="003278F7"/>
    <w:rsid w:val="003322F2"/>
    <w:rsid w:val="00343445"/>
    <w:rsid w:val="003522DE"/>
    <w:rsid w:val="00357C15"/>
    <w:rsid w:val="00360ABA"/>
    <w:rsid w:val="00360FE5"/>
    <w:rsid w:val="00361DD4"/>
    <w:rsid w:val="003634B4"/>
    <w:rsid w:val="00380F2E"/>
    <w:rsid w:val="003873E9"/>
    <w:rsid w:val="00394537"/>
    <w:rsid w:val="00395A95"/>
    <w:rsid w:val="003A27E1"/>
    <w:rsid w:val="003A2DD4"/>
    <w:rsid w:val="003B0B96"/>
    <w:rsid w:val="003B4DFF"/>
    <w:rsid w:val="003B58E6"/>
    <w:rsid w:val="003C3751"/>
    <w:rsid w:val="003C3896"/>
    <w:rsid w:val="003C5A13"/>
    <w:rsid w:val="003D4E68"/>
    <w:rsid w:val="003E3438"/>
    <w:rsid w:val="003E4015"/>
    <w:rsid w:val="003E6F66"/>
    <w:rsid w:val="003E79BB"/>
    <w:rsid w:val="003F5BBC"/>
    <w:rsid w:val="0040088B"/>
    <w:rsid w:val="0040588F"/>
    <w:rsid w:val="00410C75"/>
    <w:rsid w:val="00416F3A"/>
    <w:rsid w:val="00422524"/>
    <w:rsid w:val="0042647D"/>
    <w:rsid w:val="00426F24"/>
    <w:rsid w:val="00427F61"/>
    <w:rsid w:val="00434EB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C81"/>
    <w:rsid w:val="00495FD4"/>
    <w:rsid w:val="004972C7"/>
    <w:rsid w:val="004A1A16"/>
    <w:rsid w:val="004B12A0"/>
    <w:rsid w:val="004C3D6F"/>
    <w:rsid w:val="004C560D"/>
    <w:rsid w:val="004E03BC"/>
    <w:rsid w:val="004E4887"/>
    <w:rsid w:val="004E7A6B"/>
    <w:rsid w:val="004F2E42"/>
    <w:rsid w:val="004F4189"/>
    <w:rsid w:val="00504488"/>
    <w:rsid w:val="005110C5"/>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F490B"/>
    <w:rsid w:val="005F5FDF"/>
    <w:rsid w:val="00601296"/>
    <w:rsid w:val="00606456"/>
    <w:rsid w:val="00606DFE"/>
    <w:rsid w:val="00607A4D"/>
    <w:rsid w:val="006147AA"/>
    <w:rsid w:val="00615AC4"/>
    <w:rsid w:val="00617A08"/>
    <w:rsid w:val="00627820"/>
    <w:rsid w:val="00627A18"/>
    <w:rsid w:val="00627BBE"/>
    <w:rsid w:val="0063613A"/>
    <w:rsid w:val="0064676C"/>
    <w:rsid w:val="00653C4E"/>
    <w:rsid w:val="0066615F"/>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5035"/>
    <w:rsid w:val="006B22A6"/>
    <w:rsid w:val="006C5143"/>
    <w:rsid w:val="006C7740"/>
    <w:rsid w:val="006D0FC0"/>
    <w:rsid w:val="006D4465"/>
    <w:rsid w:val="006D5810"/>
    <w:rsid w:val="006D6A68"/>
    <w:rsid w:val="006D6AF2"/>
    <w:rsid w:val="006E364C"/>
    <w:rsid w:val="006F13AC"/>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49D2"/>
    <w:rsid w:val="007D2F77"/>
    <w:rsid w:val="007D4ABA"/>
    <w:rsid w:val="007F0E76"/>
    <w:rsid w:val="007F7558"/>
    <w:rsid w:val="007F785B"/>
    <w:rsid w:val="008011A8"/>
    <w:rsid w:val="008025A1"/>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5C09"/>
    <w:rsid w:val="008734B7"/>
    <w:rsid w:val="00883A19"/>
    <w:rsid w:val="00897F0F"/>
    <w:rsid w:val="008A046A"/>
    <w:rsid w:val="008A696D"/>
    <w:rsid w:val="008B141B"/>
    <w:rsid w:val="008B32AA"/>
    <w:rsid w:val="008B3C89"/>
    <w:rsid w:val="008C5085"/>
    <w:rsid w:val="008D5BF7"/>
    <w:rsid w:val="008E00BC"/>
    <w:rsid w:val="008E2032"/>
    <w:rsid w:val="008E308F"/>
    <w:rsid w:val="008E4A05"/>
    <w:rsid w:val="008F2A87"/>
    <w:rsid w:val="009064AE"/>
    <w:rsid w:val="009166C9"/>
    <w:rsid w:val="00922058"/>
    <w:rsid w:val="00923985"/>
    <w:rsid w:val="00923C0B"/>
    <w:rsid w:val="00926AE1"/>
    <w:rsid w:val="00931B6E"/>
    <w:rsid w:val="00947363"/>
    <w:rsid w:val="0094743C"/>
    <w:rsid w:val="009511BD"/>
    <w:rsid w:val="00951E23"/>
    <w:rsid w:val="009572CA"/>
    <w:rsid w:val="0096017C"/>
    <w:rsid w:val="0096477C"/>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7938"/>
    <w:rsid w:val="00AF459C"/>
    <w:rsid w:val="00AF4F92"/>
    <w:rsid w:val="00AF63E8"/>
    <w:rsid w:val="00B1273E"/>
    <w:rsid w:val="00B12E09"/>
    <w:rsid w:val="00B2575A"/>
    <w:rsid w:val="00B25F41"/>
    <w:rsid w:val="00B30C67"/>
    <w:rsid w:val="00B34446"/>
    <w:rsid w:val="00B3624F"/>
    <w:rsid w:val="00B538D4"/>
    <w:rsid w:val="00B55ADF"/>
    <w:rsid w:val="00B6357D"/>
    <w:rsid w:val="00B67735"/>
    <w:rsid w:val="00B73A0B"/>
    <w:rsid w:val="00B76A9E"/>
    <w:rsid w:val="00B80779"/>
    <w:rsid w:val="00B80FE9"/>
    <w:rsid w:val="00B862B4"/>
    <w:rsid w:val="00BA40D7"/>
    <w:rsid w:val="00BA4178"/>
    <w:rsid w:val="00BA5410"/>
    <w:rsid w:val="00BB43B1"/>
    <w:rsid w:val="00BB74B0"/>
    <w:rsid w:val="00BC74CA"/>
    <w:rsid w:val="00BD3122"/>
    <w:rsid w:val="00BD55E1"/>
    <w:rsid w:val="00BD6B6F"/>
    <w:rsid w:val="00BE0490"/>
    <w:rsid w:val="00BE0CD2"/>
    <w:rsid w:val="00BE1E00"/>
    <w:rsid w:val="00BE6DAB"/>
    <w:rsid w:val="00BE7AA0"/>
    <w:rsid w:val="00BF3055"/>
    <w:rsid w:val="00C013CA"/>
    <w:rsid w:val="00C0200D"/>
    <w:rsid w:val="00C0561C"/>
    <w:rsid w:val="00C05FC5"/>
    <w:rsid w:val="00C12B83"/>
    <w:rsid w:val="00C13AB0"/>
    <w:rsid w:val="00C21EDA"/>
    <w:rsid w:val="00C315AE"/>
    <w:rsid w:val="00C32703"/>
    <w:rsid w:val="00C3345C"/>
    <w:rsid w:val="00C3446A"/>
    <w:rsid w:val="00C353A9"/>
    <w:rsid w:val="00C379E6"/>
    <w:rsid w:val="00C41DB6"/>
    <w:rsid w:val="00C529B9"/>
    <w:rsid w:val="00C52AEC"/>
    <w:rsid w:val="00C55AAA"/>
    <w:rsid w:val="00C55FFE"/>
    <w:rsid w:val="00C71C27"/>
    <w:rsid w:val="00C72C13"/>
    <w:rsid w:val="00C747FC"/>
    <w:rsid w:val="00C74AFE"/>
    <w:rsid w:val="00C74F35"/>
    <w:rsid w:val="00C80FBD"/>
    <w:rsid w:val="00C87A28"/>
    <w:rsid w:val="00C97577"/>
    <w:rsid w:val="00C976FD"/>
    <w:rsid w:val="00CA3741"/>
    <w:rsid w:val="00CA7F25"/>
    <w:rsid w:val="00CB671E"/>
    <w:rsid w:val="00CC18E3"/>
    <w:rsid w:val="00CD31C7"/>
    <w:rsid w:val="00CD7184"/>
    <w:rsid w:val="00CF4B51"/>
    <w:rsid w:val="00D06222"/>
    <w:rsid w:val="00D06B02"/>
    <w:rsid w:val="00D11ACB"/>
    <w:rsid w:val="00D1515C"/>
    <w:rsid w:val="00D16AFF"/>
    <w:rsid w:val="00D17915"/>
    <w:rsid w:val="00D24D7D"/>
    <w:rsid w:val="00D3192D"/>
    <w:rsid w:val="00D31C2A"/>
    <w:rsid w:val="00D3602B"/>
    <w:rsid w:val="00D4214F"/>
    <w:rsid w:val="00D45945"/>
    <w:rsid w:val="00D45948"/>
    <w:rsid w:val="00D4787E"/>
    <w:rsid w:val="00D6478E"/>
    <w:rsid w:val="00D66D47"/>
    <w:rsid w:val="00D741CC"/>
    <w:rsid w:val="00D74E7B"/>
    <w:rsid w:val="00D77606"/>
    <w:rsid w:val="00D80779"/>
    <w:rsid w:val="00D84ADA"/>
    <w:rsid w:val="00D87DC3"/>
    <w:rsid w:val="00D934D1"/>
    <w:rsid w:val="00D946B6"/>
    <w:rsid w:val="00D96F87"/>
    <w:rsid w:val="00DA22C6"/>
    <w:rsid w:val="00DB18DE"/>
    <w:rsid w:val="00DB4A01"/>
    <w:rsid w:val="00DB79CD"/>
    <w:rsid w:val="00DC2812"/>
    <w:rsid w:val="00DC2D25"/>
    <w:rsid w:val="00DC38AF"/>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2FD9"/>
    <w:rsid w:val="00E25A4E"/>
    <w:rsid w:val="00E25CB9"/>
    <w:rsid w:val="00E30913"/>
    <w:rsid w:val="00E32779"/>
    <w:rsid w:val="00E34676"/>
    <w:rsid w:val="00E401BE"/>
    <w:rsid w:val="00E42147"/>
    <w:rsid w:val="00E45C71"/>
    <w:rsid w:val="00E472B8"/>
    <w:rsid w:val="00E563DD"/>
    <w:rsid w:val="00E62DA0"/>
    <w:rsid w:val="00E62FE4"/>
    <w:rsid w:val="00E6594E"/>
    <w:rsid w:val="00E85E36"/>
    <w:rsid w:val="00E86F5D"/>
    <w:rsid w:val="00E901EF"/>
    <w:rsid w:val="00E90702"/>
    <w:rsid w:val="00E9561C"/>
    <w:rsid w:val="00E96E3A"/>
    <w:rsid w:val="00E97E6D"/>
    <w:rsid w:val="00EA0091"/>
    <w:rsid w:val="00EA0C68"/>
    <w:rsid w:val="00EA170A"/>
    <w:rsid w:val="00EA22AC"/>
    <w:rsid w:val="00EA49E9"/>
    <w:rsid w:val="00EA5BDE"/>
    <w:rsid w:val="00EA71E2"/>
    <w:rsid w:val="00EA786A"/>
    <w:rsid w:val="00EB668B"/>
    <w:rsid w:val="00EB67E9"/>
    <w:rsid w:val="00EC3812"/>
    <w:rsid w:val="00EC4EB1"/>
    <w:rsid w:val="00ED01AA"/>
    <w:rsid w:val="00EE382C"/>
    <w:rsid w:val="00EE4064"/>
    <w:rsid w:val="00EE40C1"/>
    <w:rsid w:val="00EE7B46"/>
    <w:rsid w:val="00EF0848"/>
    <w:rsid w:val="00EF0E23"/>
    <w:rsid w:val="00EF2396"/>
    <w:rsid w:val="00EF6C7E"/>
    <w:rsid w:val="00F05AEA"/>
    <w:rsid w:val="00F201F5"/>
    <w:rsid w:val="00F22891"/>
    <w:rsid w:val="00F45187"/>
    <w:rsid w:val="00F4588E"/>
    <w:rsid w:val="00F5094A"/>
    <w:rsid w:val="00F50F29"/>
    <w:rsid w:val="00F515D5"/>
    <w:rsid w:val="00F52EBA"/>
    <w:rsid w:val="00F5378E"/>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gersteinlab.org/Encode-enhanc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eledb.gersteinlab.org" TargetMode="External"/><Relationship Id="rId12" Type="http://schemas.openxmlformats.org/officeDocument/2006/relationships/hyperlink" Target="http://igc.otago.ac.nz/home.html" TargetMode="External"/><Relationship Id="rId17" Type="http://schemas.openxmlformats.org/officeDocument/2006/relationships/hyperlink" Target="http://compbio.mit.edu/encode-motifs/" TargetMode="External"/><Relationship Id="rId2" Type="http://schemas.openxmlformats.org/officeDocument/2006/relationships/styles" Target="styles.xml"/><Relationship Id="rId16" Type="http://schemas.openxmlformats.org/officeDocument/2006/relationships/hyperlink" Target="http://alleledb.gersteinlab.org/downloa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www.tau.ac.il/~elieis/HKG/" TargetMode="External"/><Relationship Id="rId10" Type="http://schemas.openxmlformats.org/officeDocument/2006/relationships/hyperlink" Target="http://alleledb.gersteinla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enhancer.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C931C-0DCB-4890-9701-DAD94F0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5461</TotalTime>
  <Pages>21</Pages>
  <Words>62615</Words>
  <Characters>345013</Characters>
  <Application>Microsoft Office Word</Application>
  <DocSecurity>0</DocSecurity>
  <Lines>5564</Lines>
  <Paragraphs>1323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90</cp:revision>
  <dcterms:created xsi:type="dcterms:W3CDTF">2015-04-20T18:29:00Z</dcterms:created>
  <dcterms:modified xsi:type="dcterms:W3CDTF">2015-04-27T17:22:00Z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