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2F9D1" w14:textId="77777777" w:rsidR="000F783D" w:rsidRPr="005141A3" w:rsidRDefault="000F783D" w:rsidP="000F783D">
      <w:pPr>
        <w:pStyle w:val="Heading1"/>
      </w:pPr>
      <w:bookmarkStart w:id="0" w:name="OLE_LINK1"/>
      <w:bookmarkStart w:id="1" w:name="OLE_LINK2"/>
      <w:bookmarkStart w:id="2" w:name="_GoBack"/>
      <w:bookmarkEnd w:id="2"/>
      <w:r w:rsidRPr="005141A3">
        <w:t>Response to reviewers for “Comparison of Pseudogene</w:t>
      </w:r>
      <w:r w:rsidR="008C1524" w:rsidRPr="005141A3">
        <w:t>s</w:t>
      </w:r>
      <w:r w:rsidRPr="005141A3">
        <w:t xml:space="preserve"> Across 3 Phyla”</w:t>
      </w:r>
    </w:p>
    <w:p w14:paraId="31C6AB2E" w14:textId="77777777" w:rsidR="000F783D" w:rsidRPr="005141A3" w:rsidRDefault="000F783D" w:rsidP="000F783D">
      <w:pPr>
        <w:pStyle w:val="Heading1"/>
        <w:pBdr>
          <w:bottom w:val="single" w:sz="36" w:space="1" w:color="auto"/>
        </w:pBdr>
      </w:pPr>
    </w:p>
    <w:p w14:paraId="2DA1DEE6" w14:textId="77777777" w:rsidR="000F783D" w:rsidRPr="005141A3" w:rsidRDefault="000F783D" w:rsidP="000F783D">
      <w:pPr>
        <w:pStyle w:val="Heading1"/>
      </w:pPr>
      <w:r w:rsidRPr="005141A3">
        <w:t>Response Letter</w:t>
      </w:r>
    </w:p>
    <w:p w14:paraId="35F0F991" w14:textId="77777777" w:rsidR="000F783D" w:rsidRPr="005141A3" w:rsidRDefault="000F783D" w:rsidP="000F783D">
      <w:pPr>
        <w:pStyle w:val="Heading3"/>
      </w:pPr>
    </w:p>
    <w:p w14:paraId="78A30B9C" w14:textId="77777777" w:rsidR="000F783D" w:rsidRPr="005141A3" w:rsidRDefault="000F783D" w:rsidP="000F783D">
      <w:pPr>
        <w:pStyle w:val="Heading3"/>
      </w:pPr>
      <w:r w:rsidRPr="005141A3">
        <w:t>-- Ref1 – General Remarks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1097C913" w14:textId="77777777" w:rsidTr="00C02FB9">
        <w:tc>
          <w:tcPr>
            <w:tcW w:w="1728" w:type="dxa"/>
          </w:tcPr>
          <w:p w14:paraId="22015B02" w14:textId="77777777" w:rsidR="000F783D" w:rsidRPr="005141A3" w:rsidRDefault="000F783D" w:rsidP="000F783D">
            <w:pPr>
              <w:pStyle w:val="reviewer"/>
              <w:jc w:val="both"/>
            </w:pPr>
            <w:r w:rsidRPr="005141A3">
              <w:t>Reviewer</w:t>
            </w:r>
          </w:p>
          <w:p w14:paraId="290D0E9B" w14:textId="77777777" w:rsidR="000F783D" w:rsidRPr="005141A3" w:rsidRDefault="000F783D" w:rsidP="000F783D">
            <w:pPr>
              <w:pStyle w:val="reviewer"/>
              <w:jc w:val="both"/>
            </w:pPr>
            <w:r w:rsidRPr="005141A3">
              <w:t>Comment</w:t>
            </w:r>
          </w:p>
        </w:tc>
        <w:tc>
          <w:tcPr>
            <w:tcW w:w="6602" w:type="dxa"/>
          </w:tcPr>
          <w:p w14:paraId="74F61098"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“Comparative analysis of pseudogenes across three phyla” presents impressive extension of the ENCODE project into important area of pseudogenes. The authors mapped pseudogenes in human, worm and fly genomes (as well as macaque, mouse, and zebrafish) and studied patterns of pseudogenes structural organization and distribution across the genomes. Results of this comprehensive analysis indicated significant lineage specific differences in pseudogene dominant structures and distribution patterns; these differences were attributed to differences in the driving forces directing the lineages evolution. The manuscript is very well written.</w:t>
            </w:r>
          </w:p>
          <w:p w14:paraId="1EE79194" w14:textId="77777777" w:rsidR="000F783D" w:rsidRPr="005141A3" w:rsidRDefault="000F783D" w:rsidP="000F783D">
            <w:pPr>
              <w:autoSpaceDE w:val="0"/>
              <w:autoSpaceDN w:val="0"/>
              <w:adjustRightInd w:val="0"/>
              <w:rPr>
                <w:rFonts w:ascii="Courier New" w:hAnsi="Courier New" w:cs="Courier New"/>
                <w:sz w:val="20"/>
                <w:szCs w:val="20"/>
              </w:rPr>
            </w:pPr>
          </w:p>
          <w:p w14:paraId="34C8A612"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The results are of significant importance for genomics and molecular evolution. This work is certainly of interest for PNAS as it belongs to category of top research advances.</w:t>
            </w:r>
          </w:p>
        </w:tc>
      </w:tr>
      <w:tr w:rsidR="000F783D" w:rsidRPr="005141A3" w14:paraId="5EA848A6" w14:textId="77777777" w:rsidTr="00C02FB9">
        <w:tc>
          <w:tcPr>
            <w:tcW w:w="1728" w:type="dxa"/>
          </w:tcPr>
          <w:p w14:paraId="2A098AC9" w14:textId="77777777" w:rsidR="000F783D" w:rsidRPr="005141A3" w:rsidRDefault="000F783D" w:rsidP="000F783D">
            <w:pPr>
              <w:pStyle w:val="author"/>
              <w:jc w:val="both"/>
            </w:pPr>
            <w:r w:rsidRPr="005141A3">
              <w:t>Author</w:t>
            </w:r>
          </w:p>
          <w:p w14:paraId="4B1E134A" w14:textId="77777777" w:rsidR="000F783D" w:rsidRPr="005141A3" w:rsidRDefault="000F783D" w:rsidP="000F783D">
            <w:pPr>
              <w:pStyle w:val="author"/>
              <w:jc w:val="both"/>
            </w:pPr>
            <w:r w:rsidRPr="005141A3">
              <w:t>Response</w:t>
            </w:r>
          </w:p>
        </w:tc>
        <w:tc>
          <w:tcPr>
            <w:tcW w:w="6602" w:type="dxa"/>
          </w:tcPr>
          <w:p w14:paraId="5BD6E8A7" w14:textId="77777777" w:rsidR="000F783D" w:rsidRPr="005141A3" w:rsidRDefault="000F783D" w:rsidP="00697B29">
            <w:pPr>
              <w:pStyle w:val="author"/>
              <w:jc w:val="both"/>
            </w:pPr>
            <w:r w:rsidRPr="005141A3">
              <w:t>We thank the reviewer for the constructive comments. We a</w:t>
            </w:r>
            <w:r w:rsidR="00697B29" w:rsidRPr="005141A3">
              <w:t xml:space="preserve">ddress them </w:t>
            </w:r>
            <w:r w:rsidRPr="005141A3">
              <w:t xml:space="preserve">in a </w:t>
            </w:r>
            <w:proofErr w:type="gramStart"/>
            <w:r w:rsidRPr="005141A3">
              <w:t>point by point</w:t>
            </w:r>
            <w:proofErr w:type="gramEnd"/>
            <w:r w:rsidRPr="005141A3">
              <w:t xml:space="preserve"> manner below.</w:t>
            </w:r>
          </w:p>
        </w:tc>
      </w:tr>
      <w:tr w:rsidR="000F783D" w:rsidRPr="005141A3" w14:paraId="2CB857DF" w14:textId="77777777" w:rsidTr="00C02FB9">
        <w:tc>
          <w:tcPr>
            <w:tcW w:w="1728" w:type="dxa"/>
          </w:tcPr>
          <w:p w14:paraId="78F7FD6A" w14:textId="77777777" w:rsidR="000F783D" w:rsidRPr="005141A3" w:rsidRDefault="000F783D" w:rsidP="000F783D">
            <w:pPr>
              <w:pStyle w:val="new-text"/>
              <w:jc w:val="both"/>
            </w:pPr>
            <w:r w:rsidRPr="005141A3">
              <w:t>Excerpt From</w:t>
            </w:r>
          </w:p>
          <w:p w14:paraId="5CC1C80A" w14:textId="77777777" w:rsidR="000F783D" w:rsidRPr="005141A3" w:rsidRDefault="000F783D" w:rsidP="000F783D">
            <w:pPr>
              <w:pStyle w:val="new-text"/>
              <w:jc w:val="both"/>
            </w:pPr>
            <w:r w:rsidRPr="005141A3">
              <w:t>Revised Manuscript</w:t>
            </w:r>
          </w:p>
        </w:tc>
        <w:tc>
          <w:tcPr>
            <w:tcW w:w="6602" w:type="dxa"/>
          </w:tcPr>
          <w:p w14:paraId="1123FD47" w14:textId="77777777" w:rsidR="000F783D" w:rsidRPr="005141A3" w:rsidRDefault="000F783D" w:rsidP="000F783D">
            <w:pPr>
              <w:pStyle w:val="BodyText3"/>
              <w:rPr>
                <w:szCs w:val="18"/>
              </w:rPr>
            </w:pPr>
          </w:p>
        </w:tc>
      </w:tr>
    </w:tbl>
    <w:p w14:paraId="370FE000" w14:textId="77777777" w:rsidR="000F783D" w:rsidRPr="005141A3" w:rsidRDefault="000F783D" w:rsidP="000F783D"/>
    <w:p w14:paraId="77113F9B" w14:textId="2F304587" w:rsidR="000F783D" w:rsidRPr="005141A3" w:rsidRDefault="000F783D" w:rsidP="000F783D">
      <w:pPr>
        <w:pStyle w:val="Heading3"/>
      </w:pPr>
      <w:r w:rsidRPr="005141A3">
        <w:t xml:space="preserve">-- Ref1.1 – Pseudogene </w:t>
      </w:r>
      <w:r w:rsidR="008F7B63" w:rsidRPr="005141A3">
        <w:t xml:space="preserve">Annotation Variance </w:t>
      </w:r>
      <w:r w:rsidRPr="005141A3">
        <w:t>--</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5E3F3EEF" w14:textId="77777777" w:rsidTr="00C02FB9">
        <w:tc>
          <w:tcPr>
            <w:tcW w:w="1728" w:type="dxa"/>
          </w:tcPr>
          <w:p w14:paraId="6BC214D1" w14:textId="77777777" w:rsidR="000F783D" w:rsidRPr="005141A3" w:rsidRDefault="000F783D" w:rsidP="000F783D">
            <w:pPr>
              <w:pStyle w:val="reviewer"/>
              <w:jc w:val="both"/>
            </w:pPr>
            <w:r w:rsidRPr="005141A3">
              <w:t>Reviewer</w:t>
            </w:r>
          </w:p>
          <w:p w14:paraId="0FA58B57" w14:textId="77777777" w:rsidR="000F783D" w:rsidRPr="005141A3" w:rsidRDefault="000F783D" w:rsidP="000F783D">
            <w:pPr>
              <w:pStyle w:val="reviewer"/>
              <w:jc w:val="both"/>
            </w:pPr>
            <w:r w:rsidRPr="005141A3">
              <w:t>Comment</w:t>
            </w:r>
          </w:p>
        </w:tc>
        <w:tc>
          <w:tcPr>
            <w:tcW w:w="6602" w:type="dxa"/>
          </w:tcPr>
          <w:p w14:paraId="7EB41965" w14:textId="796F636A"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The authors give (Fig. 1) specific numbers of pseudogenes that were characterized in each of the three genomes: 12,358 in human, 911 in worm, 145 in fly. Since there could be a margin of error – it would be useful to discuss this margin in Discussion.</w:t>
            </w:r>
          </w:p>
        </w:tc>
      </w:tr>
      <w:tr w:rsidR="000F783D" w:rsidRPr="005141A3" w14:paraId="5AE9788B" w14:textId="77777777" w:rsidTr="00C02FB9">
        <w:tc>
          <w:tcPr>
            <w:tcW w:w="1728" w:type="dxa"/>
          </w:tcPr>
          <w:p w14:paraId="3B5E51C8" w14:textId="77777777" w:rsidR="000F783D" w:rsidRPr="005141A3" w:rsidRDefault="000F783D" w:rsidP="000F783D">
            <w:pPr>
              <w:pStyle w:val="author"/>
              <w:jc w:val="both"/>
            </w:pPr>
            <w:r w:rsidRPr="005141A3">
              <w:t>Author</w:t>
            </w:r>
          </w:p>
          <w:p w14:paraId="2C744245" w14:textId="77777777" w:rsidR="000F783D" w:rsidRPr="005141A3" w:rsidRDefault="000F783D" w:rsidP="000F783D">
            <w:pPr>
              <w:pStyle w:val="author"/>
              <w:jc w:val="both"/>
            </w:pPr>
            <w:r w:rsidRPr="005141A3">
              <w:t>Response</w:t>
            </w:r>
          </w:p>
        </w:tc>
        <w:tc>
          <w:tcPr>
            <w:tcW w:w="6602" w:type="dxa"/>
          </w:tcPr>
          <w:p w14:paraId="031F1807" w14:textId="5B39B7A1" w:rsidR="00913A29" w:rsidRPr="005141A3" w:rsidRDefault="00307975" w:rsidP="00E24B0C">
            <w:pPr>
              <w:pStyle w:val="NormalWeb"/>
              <w:spacing w:before="0" w:beforeAutospacing="0" w:after="0" w:afterAutospacing="0"/>
              <w:jc w:val="both"/>
            </w:pPr>
            <w:r w:rsidRPr="005141A3">
              <w:rPr>
                <w:rFonts w:ascii="Arial" w:hAnsi="Arial" w:cs="Arial"/>
                <w:sz w:val="24"/>
                <w:szCs w:val="24"/>
              </w:rPr>
              <w:t xml:space="preserve">The pseudogene annotation accuracy is always dependent on the accuracy of the coding gene annotation. As such </w:t>
            </w:r>
            <w:r w:rsidR="00AE6462" w:rsidRPr="005141A3">
              <w:rPr>
                <w:rFonts w:ascii="Arial" w:hAnsi="Arial" w:cs="Arial"/>
                <w:sz w:val="24"/>
                <w:szCs w:val="24"/>
              </w:rPr>
              <w:t>looking at variations between annotation releases we can see significant differences between</w:t>
            </w:r>
            <w:r w:rsidR="00432D0A" w:rsidRPr="005141A3">
              <w:rPr>
                <w:rFonts w:ascii="Arial" w:hAnsi="Arial" w:cs="Arial"/>
                <w:sz w:val="24"/>
                <w:szCs w:val="24"/>
              </w:rPr>
              <w:t xml:space="preserve"> the total </w:t>
            </w:r>
            <w:r w:rsidR="00AE6462" w:rsidRPr="005141A3">
              <w:rPr>
                <w:rFonts w:ascii="Arial" w:hAnsi="Arial" w:cs="Arial"/>
                <w:sz w:val="24"/>
                <w:szCs w:val="24"/>
              </w:rPr>
              <w:t>number of pseudogenes (see Fig</w:t>
            </w:r>
            <w:r w:rsidR="00432D0A" w:rsidRPr="005141A3">
              <w:rPr>
                <w:rFonts w:ascii="Arial" w:hAnsi="Arial" w:cs="Arial"/>
                <w:sz w:val="24"/>
                <w:szCs w:val="24"/>
              </w:rPr>
              <w:t>.</w:t>
            </w:r>
            <w:r w:rsidR="00AE6462" w:rsidRPr="005141A3">
              <w:rPr>
                <w:rFonts w:ascii="Arial" w:hAnsi="Arial" w:cs="Arial"/>
                <w:sz w:val="24"/>
                <w:szCs w:val="24"/>
              </w:rPr>
              <w:t xml:space="preserve"> S1). However</w:t>
            </w:r>
            <w:r w:rsidR="00432D0A" w:rsidRPr="005141A3">
              <w:rPr>
                <w:rFonts w:ascii="Arial" w:hAnsi="Arial" w:cs="Arial"/>
                <w:sz w:val="24"/>
                <w:szCs w:val="24"/>
              </w:rPr>
              <w:t>,</w:t>
            </w:r>
            <w:r w:rsidR="00AE6462" w:rsidRPr="005141A3">
              <w:rPr>
                <w:rFonts w:ascii="Arial" w:hAnsi="Arial" w:cs="Arial"/>
                <w:sz w:val="24"/>
                <w:szCs w:val="24"/>
              </w:rPr>
              <w:t xml:space="preserve"> given that the </w:t>
            </w:r>
            <w:r w:rsidR="00AB7553" w:rsidRPr="005141A3">
              <w:rPr>
                <w:rFonts w:ascii="Arial" w:hAnsi="Arial" w:cs="Arial"/>
                <w:sz w:val="24"/>
                <w:szCs w:val="24"/>
              </w:rPr>
              <w:t>pseudogene sets described here are based on the finished manual annotations of human, worm, and fly genomes, we do not expect to see any statistically significant differences in the future genome releases.</w:t>
            </w:r>
            <w:r w:rsidR="00E24B0C" w:rsidRPr="005141A3">
              <w:rPr>
                <w:rFonts w:ascii="Arial" w:hAnsi="Arial" w:cs="Arial"/>
                <w:sz w:val="24"/>
                <w:szCs w:val="24"/>
              </w:rPr>
              <w:t xml:space="preserve"> Also all three genome pseudogene datasets (worm, fly, and human) used the same methodology, quality of evidence and analysis pipelines for manual annotation to remove inconsistency between the datasets. </w:t>
            </w:r>
            <w:r w:rsidR="00AB7553" w:rsidRPr="005141A3">
              <w:rPr>
                <w:rFonts w:ascii="Arial" w:hAnsi="Arial" w:cs="Arial"/>
                <w:sz w:val="24"/>
                <w:szCs w:val="24"/>
              </w:rPr>
              <w:t>Also in our previous paper</w:t>
            </w:r>
            <w:r w:rsidR="008F7B63" w:rsidRPr="005141A3">
              <w:rPr>
                <w:rFonts w:ascii="Arial" w:hAnsi="Arial" w:cs="Arial"/>
                <w:sz w:val="24"/>
                <w:szCs w:val="24"/>
              </w:rPr>
              <w:t xml:space="preserve"> on an incomplete version of the human annotation</w:t>
            </w:r>
            <w:r w:rsidR="00C96892" w:rsidRPr="005141A3">
              <w:rPr>
                <w:rFonts w:ascii="Arial" w:hAnsi="Arial" w:cs="Arial"/>
                <w:sz w:val="24"/>
                <w:szCs w:val="24"/>
              </w:rPr>
              <w:t xml:space="preserve"> </w:t>
            </w:r>
            <w:r w:rsidR="00C96892" w:rsidRPr="005141A3">
              <w:rPr>
                <w:rFonts w:ascii="Arial" w:hAnsi="Arial" w:cs="Arial"/>
                <w:sz w:val="24"/>
                <w:szCs w:val="24"/>
              </w:rPr>
              <w:fldChar w:fldCharType="begin"/>
            </w:r>
            <w:r w:rsidR="00C96892" w:rsidRPr="005141A3">
              <w:rPr>
                <w:rFonts w:ascii="Arial" w:hAnsi="Arial" w:cs="Arial"/>
                <w:sz w:val="24"/>
                <w:szCs w:val="24"/>
              </w:rPr>
              <w:instrText xml:space="preserve"> ADDIN cite{22951037}</w:instrText>
            </w:r>
            <w:r w:rsidR="00C96892" w:rsidRPr="005141A3">
              <w:rPr>
                <w:rFonts w:ascii="Arial" w:hAnsi="Arial" w:cs="Arial"/>
                <w:sz w:val="24"/>
                <w:szCs w:val="24"/>
              </w:rPr>
              <w:fldChar w:fldCharType="separate"/>
            </w:r>
            <w:r w:rsidR="00E24B0C" w:rsidRPr="005141A3">
              <w:rPr>
                <w:rFonts w:ascii="Arial" w:hAnsi="Arial" w:cs="Arial"/>
                <w:sz w:val="24"/>
                <w:szCs w:val="24"/>
              </w:rPr>
              <w:t>[1]</w:t>
            </w:r>
            <w:r w:rsidR="00C96892" w:rsidRPr="005141A3">
              <w:rPr>
                <w:rFonts w:ascii="Arial" w:hAnsi="Arial" w:cs="Arial"/>
                <w:sz w:val="24"/>
                <w:szCs w:val="24"/>
              </w:rPr>
              <w:fldChar w:fldCharType="end"/>
            </w:r>
            <w:r w:rsidR="00AB7553" w:rsidRPr="005141A3">
              <w:rPr>
                <w:rFonts w:ascii="Arial" w:hAnsi="Arial" w:cs="Arial"/>
                <w:sz w:val="24"/>
                <w:szCs w:val="24"/>
              </w:rPr>
              <w:t xml:space="preserve"> we </w:t>
            </w:r>
            <w:r w:rsidR="00AB7553" w:rsidRPr="005141A3">
              <w:rPr>
                <w:rFonts w:ascii="Arial" w:hAnsi="Arial" w:cs="Arial"/>
                <w:sz w:val="24"/>
                <w:szCs w:val="24"/>
              </w:rPr>
              <w:lastRenderedPageBreak/>
              <w:t xml:space="preserve">discussed thoroughly the difficulties </w:t>
            </w:r>
            <w:r w:rsidR="00432D0A" w:rsidRPr="005141A3">
              <w:rPr>
                <w:rFonts w:ascii="Arial" w:hAnsi="Arial" w:cs="Arial"/>
                <w:sz w:val="24"/>
                <w:szCs w:val="24"/>
              </w:rPr>
              <w:t xml:space="preserve">encountered in </w:t>
            </w:r>
            <w:r w:rsidR="00AB7553" w:rsidRPr="005141A3">
              <w:rPr>
                <w:rFonts w:ascii="Arial" w:hAnsi="Arial" w:cs="Arial"/>
                <w:sz w:val="24"/>
                <w:szCs w:val="24"/>
              </w:rPr>
              <w:t>the pseudogene annotation as well as potential sources of error.</w:t>
            </w:r>
            <w:r w:rsidR="008F7B63" w:rsidRPr="005141A3">
              <w:rPr>
                <w:rFonts w:ascii="Arial" w:hAnsi="Arial" w:cs="Arial"/>
                <w:sz w:val="24"/>
                <w:szCs w:val="24"/>
              </w:rPr>
              <w:t xml:space="preserve"> We have added </w:t>
            </w:r>
            <w:r w:rsidR="00E24B0C" w:rsidRPr="005141A3">
              <w:rPr>
                <w:rFonts w:ascii="Arial" w:hAnsi="Arial" w:cs="Arial"/>
                <w:sz w:val="24"/>
                <w:szCs w:val="24"/>
              </w:rPr>
              <w:t xml:space="preserve">to the discussion a mention of </w:t>
            </w:r>
            <w:r w:rsidR="008F7B63" w:rsidRPr="005141A3">
              <w:rPr>
                <w:rFonts w:ascii="Arial" w:hAnsi="Arial" w:cs="Arial"/>
                <w:sz w:val="24"/>
                <w:szCs w:val="24"/>
              </w:rPr>
              <w:t>t</w:t>
            </w:r>
            <w:r w:rsidR="00E24B0C" w:rsidRPr="005141A3">
              <w:rPr>
                <w:rFonts w:ascii="Arial" w:hAnsi="Arial" w:cs="Arial"/>
                <w:sz w:val="24"/>
                <w:szCs w:val="24"/>
              </w:rPr>
              <w:t>h</w:t>
            </w:r>
            <w:r w:rsidR="008F7B63" w:rsidRPr="005141A3">
              <w:rPr>
                <w:rFonts w:ascii="Arial" w:hAnsi="Arial" w:cs="Arial"/>
                <w:sz w:val="24"/>
                <w:szCs w:val="24"/>
              </w:rPr>
              <w:t>is earlier work to give the reader a reference point in understanding the potential uncertainties in the total number of pseudogenes.</w:t>
            </w:r>
          </w:p>
        </w:tc>
      </w:tr>
      <w:tr w:rsidR="000F783D" w:rsidRPr="005141A3" w14:paraId="30302DCC" w14:textId="77777777" w:rsidTr="00C02FB9">
        <w:tc>
          <w:tcPr>
            <w:tcW w:w="1728" w:type="dxa"/>
          </w:tcPr>
          <w:p w14:paraId="49C24896" w14:textId="72859E2C" w:rsidR="000F783D" w:rsidRPr="005141A3" w:rsidRDefault="000F783D" w:rsidP="000F783D">
            <w:pPr>
              <w:pStyle w:val="new-text"/>
              <w:jc w:val="both"/>
            </w:pPr>
            <w:r w:rsidRPr="005141A3">
              <w:lastRenderedPageBreak/>
              <w:t>Excerpt From</w:t>
            </w:r>
          </w:p>
          <w:p w14:paraId="3D67760A" w14:textId="77777777" w:rsidR="000F783D" w:rsidRPr="005141A3" w:rsidRDefault="000F783D" w:rsidP="000F783D">
            <w:pPr>
              <w:pStyle w:val="new-text"/>
              <w:jc w:val="both"/>
            </w:pPr>
            <w:r w:rsidRPr="005141A3">
              <w:t>Revised Manuscript</w:t>
            </w:r>
          </w:p>
        </w:tc>
        <w:tc>
          <w:tcPr>
            <w:tcW w:w="6602" w:type="dxa"/>
          </w:tcPr>
          <w:p w14:paraId="4528256A" w14:textId="0B98E7F9" w:rsidR="000F783D" w:rsidRPr="005141A3" w:rsidRDefault="008F7B63" w:rsidP="00EC79D1">
            <w:pPr>
              <w:pStyle w:val="BodyText3"/>
              <w:rPr>
                <w:szCs w:val="18"/>
              </w:rPr>
            </w:pPr>
            <w:r w:rsidRPr="005141A3">
              <w:rPr>
                <w:lang w:val="en-GB"/>
              </w:rPr>
              <w:t>We report a multi-organism comparison of pseudogenes leveraging the finished annotations of the genomes of human, worm,</w:t>
            </w:r>
            <w:r w:rsidR="00EC79D1">
              <w:rPr>
                <w:lang w:val="en-GB"/>
              </w:rPr>
              <w:t xml:space="preserve"> and fly. G</w:t>
            </w:r>
            <w:r w:rsidR="00095B57">
              <w:rPr>
                <w:lang w:val="en-GB"/>
              </w:rPr>
              <w:t xml:space="preserve">iven that these are </w:t>
            </w:r>
            <w:proofErr w:type="gramStart"/>
            <w:r w:rsidR="00095B57">
              <w:rPr>
                <w:lang w:val="en-GB"/>
              </w:rPr>
              <w:t xml:space="preserve">finished </w:t>
            </w:r>
            <w:r w:rsidR="00EC79D1">
              <w:rPr>
                <w:lang w:val="en-GB"/>
              </w:rPr>
              <w:t xml:space="preserve"> </w:t>
            </w:r>
            <w:r w:rsidRPr="005141A3">
              <w:rPr>
                <w:lang w:val="en-GB"/>
              </w:rPr>
              <w:t>annotations</w:t>
            </w:r>
            <w:proofErr w:type="gramEnd"/>
            <w:r w:rsidRPr="005141A3">
              <w:rPr>
                <w:lang w:val="en-GB"/>
              </w:rPr>
              <w:t xml:space="preserve"> we do not expect to see any significant changes in the total number of pseudogenes in the future. (For a detailed discussion of the variance in gene and pseudogene counts over draft annotation releases see Fig. S1, Supplementary Information in </w:t>
            </w:r>
            <w:r w:rsidR="00DE307F">
              <w:rPr>
                <w:lang w:val="en-GB"/>
              </w:rPr>
              <w:t>[4,26]</w:t>
            </w:r>
            <w:r w:rsidRPr="005141A3">
              <w:rPr>
                <w:lang w:val="en-GB"/>
              </w:rPr>
              <w:t>).</w:t>
            </w:r>
          </w:p>
        </w:tc>
      </w:tr>
    </w:tbl>
    <w:p w14:paraId="4359C03A" w14:textId="77777777" w:rsidR="000F783D" w:rsidRPr="005141A3" w:rsidRDefault="000F783D" w:rsidP="000F783D"/>
    <w:p w14:paraId="5DDD2D6E" w14:textId="2563787D" w:rsidR="008F7B63" w:rsidRPr="005141A3" w:rsidRDefault="008F7B63" w:rsidP="008F7B63">
      <w:pPr>
        <w:pStyle w:val="Heading3"/>
      </w:pPr>
      <w:r w:rsidRPr="005141A3">
        <w:t>-- Ref1.2 – Pseudogene Numbers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8F7B63" w:rsidRPr="005141A3" w14:paraId="35281DAC" w14:textId="77777777" w:rsidTr="00C02FB9">
        <w:tc>
          <w:tcPr>
            <w:tcW w:w="1728" w:type="dxa"/>
          </w:tcPr>
          <w:p w14:paraId="0924AFED" w14:textId="77777777" w:rsidR="008F7B63" w:rsidRPr="005141A3" w:rsidRDefault="008F7B63" w:rsidP="0062167B">
            <w:pPr>
              <w:pStyle w:val="reviewer"/>
              <w:jc w:val="both"/>
            </w:pPr>
            <w:r w:rsidRPr="005141A3">
              <w:t>Reviewer</w:t>
            </w:r>
          </w:p>
          <w:p w14:paraId="5F7DDE34" w14:textId="77777777" w:rsidR="008F7B63" w:rsidRPr="005141A3" w:rsidRDefault="008F7B63" w:rsidP="0062167B">
            <w:pPr>
              <w:pStyle w:val="reviewer"/>
              <w:jc w:val="both"/>
            </w:pPr>
            <w:r w:rsidRPr="005141A3">
              <w:t>Comment</w:t>
            </w:r>
          </w:p>
        </w:tc>
        <w:tc>
          <w:tcPr>
            <w:tcW w:w="6602" w:type="dxa"/>
          </w:tcPr>
          <w:p w14:paraId="0CE480A6" w14:textId="77777777" w:rsidR="008F7B63" w:rsidRPr="005141A3" w:rsidRDefault="008F7B63" w:rsidP="0062167B">
            <w:pPr>
              <w:autoSpaceDE w:val="0"/>
              <w:autoSpaceDN w:val="0"/>
              <w:adjustRightInd w:val="0"/>
              <w:rPr>
                <w:rFonts w:ascii="Courier New" w:hAnsi="Courier New" w:cs="Courier New"/>
                <w:sz w:val="20"/>
                <w:szCs w:val="20"/>
              </w:rPr>
            </w:pPr>
            <w:r w:rsidRPr="005141A3">
              <w:rPr>
                <w:rFonts w:ascii="Courier New" w:hAnsi="Courier New" w:cs="Courier New"/>
                <w:sz w:val="20"/>
                <w:szCs w:val="20"/>
              </w:rPr>
              <w:t>For instance, the distribution of worm processed pseudogenes by similarity to parent genes reaches max at 50% - chosen as the cut-off (Fig 1B); it is natural to expect dozens of processed pseudogenes with similarity at 40% still detectable level, but obviously they are not included in 911.</w:t>
            </w:r>
          </w:p>
        </w:tc>
      </w:tr>
      <w:tr w:rsidR="008F7B63" w:rsidRPr="005141A3" w14:paraId="3469AEAA" w14:textId="77777777" w:rsidTr="00C02FB9">
        <w:tc>
          <w:tcPr>
            <w:tcW w:w="1728" w:type="dxa"/>
          </w:tcPr>
          <w:p w14:paraId="5F072041" w14:textId="77777777" w:rsidR="008F7B63" w:rsidRPr="005141A3" w:rsidRDefault="008F7B63" w:rsidP="0062167B">
            <w:pPr>
              <w:pStyle w:val="author"/>
              <w:jc w:val="both"/>
            </w:pPr>
            <w:r w:rsidRPr="005141A3">
              <w:t>Author</w:t>
            </w:r>
          </w:p>
          <w:p w14:paraId="2F6D5679" w14:textId="77777777" w:rsidR="008F7B63" w:rsidRPr="005141A3" w:rsidRDefault="008F7B63" w:rsidP="0062167B">
            <w:pPr>
              <w:pStyle w:val="author"/>
              <w:jc w:val="both"/>
            </w:pPr>
            <w:r w:rsidRPr="005141A3">
              <w:t>Response</w:t>
            </w:r>
          </w:p>
        </w:tc>
        <w:tc>
          <w:tcPr>
            <w:tcW w:w="6602" w:type="dxa"/>
          </w:tcPr>
          <w:p w14:paraId="0A6A8B2B" w14:textId="77AB9E63" w:rsidR="008F7B63" w:rsidRPr="005141A3" w:rsidRDefault="008F7B63" w:rsidP="00404CA8">
            <w:pPr>
              <w:pStyle w:val="author"/>
              <w:jc w:val="both"/>
            </w:pPr>
            <w:r w:rsidRPr="005141A3">
              <w:t xml:space="preserve">Regarding Fig. 1B, we thank the reviewer for pointing out </w:t>
            </w:r>
            <w:r w:rsidR="00404CA8" w:rsidRPr="005141A3">
              <w:t xml:space="preserve">our misleading labels on the “x”-axis. </w:t>
            </w:r>
            <w:r w:rsidRPr="005141A3">
              <w:t>Given that the number of pseudogenes with a sequence similarity to parents less than 50% is very low, we aggregated all these cases in the 50% sequence similarity bin. We updated all the figures to explicitly show this fact.</w:t>
            </w:r>
            <w:r w:rsidRPr="005141A3" w:rsidDel="00432D0A">
              <w:t xml:space="preserve"> </w:t>
            </w:r>
          </w:p>
        </w:tc>
      </w:tr>
      <w:tr w:rsidR="008F7B63" w:rsidRPr="005141A3" w14:paraId="79CFF522" w14:textId="77777777" w:rsidTr="00C02FB9">
        <w:tc>
          <w:tcPr>
            <w:tcW w:w="1728" w:type="dxa"/>
          </w:tcPr>
          <w:p w14:paraId="555E7285" w14:textId="77777777" w:rsidR="008F7B63" w:rsidRPr="005141A3" w:rsidRDefault="008F7B63" w:rsidP="0062167B">
            <w:pPr>
              <w:pStyle w:val="new-text"/>
              <w:jc w:val="both"/>
            </w:pPr>
            <w:r w:rsidRPr="005141A3">
              <w:t>Excerpt From</w:t>
            </w:r>
          </w:p>
          <w:p w14:paraId="235C2C17" w14:textId="77777777" w:rsidR="008F7B63" w:rsidRPr="005141A3" w:rsidRDefault="008F7B63" w:rsidP="0062167B">
            <w:pPr>
              <w:pStyle w:val="new-text"/>
              <w:jc w:val="both"/>
            </w:pPr>
            <w:r w:rsidRPr="005141A3">
              <w:t>Revised Manuscript</w:t>
            </w:r>
          </w:p>
        </w:tc>
        <w:tc>
          <w:tcPr>
            <w:tcW w:w="6602" w:type="dxa"/>
          </w:tcPr>
          <w:p w14:paraId="221424AE" w14:textId="77777777" w:rsidR="008F7B63" w:rsidRPr="005141A3" w:rsidRDefault="008F7B63" w:rsidP="0062167B">
            <w:pPr>
              <w:pStyle w:val="BodyText3"/>
              <w:rPr>
                <w:szCs w:val="18"/>
              </w:rPr>
            </w:pPr>
            <w:r w:rsidRPr="005141A3">
              <w:rPr>
                <w:szCs w:val="18"/>
              </w:rPr>
              <w:t>Fig. 1B and Fig. S2 update.</w:t>
            </w:r>
          </w:p>
        </w:tc>
      </w:tr>
    </w:tbl>
    <w:p w14:paraId="39FC15F5" w14:textId="77777777" w:rsidR="008F7B63" w:rsidRPr="005141A3" w:rsidRDefault="008F7B63" w:rsidP="008F7B63"/>
    <w:p w14:paraId="3E910E44" w14:textId="77777777" w:rsidR="008F7B63" w:rsidRPr="005141A3" w:rsidRDefault="008F7B63" w:rsidP="000F783D"/>
    <w:p w14:paraId="65305818" w14:textId="4A802DB7" w:rsidR="000F783D" w:rsidRPr="005141A3" w:rsidRDefault="000F783D" w:rsidP="000F783D">
      <w:pPr>
        <w:pStyle w:val="Heading3"/>
      </w:pPr>
      <w:r w:rsidRPr="005141A3">
        <w:t>-- Ref1.</w:t>
      </w:r>
      <w:r w:rsidR="0062167B" w:rsidRPr="005141A3">
        <w:t>3</w:t>
      </w:r>
      <w:r w:rsidRPr="005141A3">
        <w:t xml:space="preserve"> – Duplicated Pseudogene</w:t>
      </w:r>
      <w:r w:rsidR="00EE5B39" w:rsidRPr="005141A3">
        <w:t>s</w:t>
      </w:r>
      <w:r w:rsidRPr="005141A3">
        <w:t xml:space="preserve"> Timeline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631946DD" w14:textId="77777777" w:rsidTr="00C02FB9">
        <w:tc>
          <w:tcPr>
            <w:tcW w:w="1728" w:type="dxa"/>
          </w:tcPr>
          <w:p w14:paraId="0AB0878F" w14:textId="77777777" w:rsidR="000F783D" w:rsidRPr="005141A3" w:rsidRDefault="000F783D" w:rsidP="000F783D">
            <w:pPr>
              <w:pStyle w:val="reviewer"/>
              <w:jc w:val="both"/>
            </w:pPr>
            <w:r w:rsidRPr="005141A3">
              <w:t>Reviewer</w:t>
            </w:r>
          </w:p>
          <w:p w14:paraId="314D2F93" w14:textId="77777777" w:rsidR="000F783D" w:rsidRPr="005141A3" w:rsidRDefault="000F783D" w:rsidP="000F783D">
            <w:pPr>
              <w:pStyle w:val="reviewer"/>
              <w:jc w:val="both"/>
            </w:pPr>
            <w:r w:rsidRPr="005141A3">
              <w:t>Comment</w:t>
            </w:r>
          </w:p>
        </w:tc>
        <w:tc>
          <w:tcPr>
            <w:tcW w:w="6602" w:type="dxa"/>
          </w:tcPr>
          <w:p w14:paraId="7926DDD6"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The timeline is analyzed &amp; discussed only for processed pseudogenes. The duplicated pseudogenes – more than 2200 of them in human – have not been analyzed in terms of timeline (at least the data were not shown). Are there clear reasons for this void?</w:t>
            </w:r>
          </w:p>
        </w:tc>
      </w:tr>
      <w:tr w:rsidR="000F783D" w:rsidRPr="005141A3" w14:paraId="55C9C5A7" w14:textId="77777777" w:rsidTr="00C02FB9">
        <w:tc>
          <w:tcPr>
            <w:tcW w:w="1728" w:type="dxa"/>
          </w:tcPr>
          <w:p w14:paraId="5BC06A52" w14:textId="77777777" w:rsidR="000F783D" w:rsidRPr="005141A3" w:rsidRDefault="000F783D" w:rsidP="000F783D">
            <w:pPr>
              <w:pStyle w:val="author"/>
              <w:jc w:val="both"/>
            </w:pPr>
            <w:r w:rsidRPr="005141A3">
              <w:t>Author</w:t>
            </w:r>
          </w:p>
          <w:p w14:paraId="7FBBA40D" w14:textId="77777777" w:rsidR="000F783D" w:rsidRPr="005141A3" w:rsidRDefault="000F783D" w:rsidP="000F783D">
            <w:pPr>
              <w:pStyle w:val="author"/>
              <w:jc w:val="both"/>
            </w:pPr>
            <w:r w:rsidRPr="005141A3">
              <w:t>Response</w:t>
            </w:r>
          </w:p>
        </w:tc>
        <w:tc>
          <w:tcPr>
            <w:tcW w:w="6602" w:type="dxa"/>
          </w:tcPr>
          <w:p w14:paraId="5C9185E0" w14:textId="1E902F71" w:rsidR="000F783D" w:rsidRPr="005141A3" w:rsidRDefault="009B1F3E" w:rsidP="000F783D">
            <w:pPr>
              <w:pStyle w:val="author"/>
              <w:jc w:val="both"/>
            </w:pPr>
            <w:r w:rsidRPr="005141A3">
              <w:t xml:space="preserve">We included a figure in the supplementary material showing the distribution of pseudogenes at various ages. </w:t>
            </w:r>
            <w:r w:rsidR="00404CA8" w:rsidRPr="005141A3">
              <w:t>We also addressed the variation of duplicated pseudogenes as function of time in the main text.</w:t>
            </w:r>
            <w:r w:rsidR="003C77FD" w:rsidRPr="005141A3">
              <w:t xml:space="preserve"> </w:t>
            </w:r>
            <w:r w:rsidR="00323F17" w:rsidRPr="005141A3">
              <w:t xml:space="preserve"> </w:t>
            </w:r>
          </w:p>
        </w:tc>
      </w:tr>
      <w:tr w:rsidR="000F783D" w:rsidRPr="005141A3" w14:paraId="624B1918" w14:textId="77777777" w:rsidTr="00C02FB9">
        <w:tc>
          <w:tcPr>
            <w:tcW w:w="1728" w:type="dxa"/>
          </w:tcPr>
          <w:p w14:paraId="38B08B5C" w14:textId="77777777" w:rsidR="000F783D" w:rsidRPr="005141A3" w:rsidRDefault="000F783D" w:rsidP="000F783D">
            <w:pPr>
              <w:pStyle w:val="new-text"/>
              <w:jc w:val="both"/>
            </w:pPr>
            <w:r w:rsidRPr="005141A3">
              <w:t>Excerpt From</w:t>
            </w:r>
          </w:p>
          <w:p w14:paraId="67DF0D47" w14:textId="77777777" w:rsidR="000F783D" w:rsidRPr="005141A3" w:rsidRDefault="000F783D" w:rsidP="000F783D">
            <w:pPr>
              <w:pStyle w:val="new-text"/>
              <w:jc w:val="both"/>
            </w:pPr>
            <w:r w:rsidRPr="005141A3">
              <w:t>Revised Manuscript</w:t>
            </w:r>
          </w:p>
        </w:tc>
        <w:tc>
          <w:tcPr>
            <w:tcW w:w="6602" w:type="dxa"/>
          </w:tcPr>
          <w:p w14:paraId="730D5A38" w14:textId="5764B4E7" w:rsidR="000F783D" w:rsidRPr="005141A3" w:rsidRDefault="00EE5B39" w:rsidP="000F783D">
            <w:pPr>
              <w:pStyle w:val="BodyText3"/>
              <w:rPr>
                <w:szCs w:val="18"/>
              </w:rPr>
            </w:pPr>
            <w:r w:rsidRPr="005141A3">
              <w:rPr>
                <w:lang w:val="en-GB"/>
              </w:rPr>
              <w:t>We observe that the distribution of duplicated pseudogenes shows little variation with age (Fig. S2). However, the creation of processed pseudogenes varies very much over time (Fig. 1B)</w:t>
            </w:r>
          </w:p>
        </w:tc>
      </w:tr>
    </w:tbl>
    <w:p w14:paraId="760E8635" w14:textId="77777777" w:rsidR="000F783D" w:rsidRPr="005141A3" w:rsidRDefault="000F783D" w:rsidP="000F783D"/>
    <w:p w14:paraId="263F8CF3" w14:textId="4D7CDEE7" w:rsidR="000F783D" w:rsidRPr="005141A3" w:rsidRDefault="000F783D" w:rsidP="000F783D">
      <w:pPr>
        <w:pStyle w:val="Heading3"/>
      </w:pPr>
      <w:r w:rsidRPr="005141A3">
        <w:t>-- Ref1.</w:t>
      </w:r>
      <w:r w:rsidR="0062167B" w:rsidRPr="005141A3">
        <w:t>4</w:t>
      </w:r>
      <w:r w:rsidRPr="005141A3">
        <w:t xml:space="preserve"> – </w:t>
      </w:r>
      <w:r w:rsidR="00EE5B39" w:rsidRPr="005141A3">
        <w:t xml:space="preserve">Pseudogene Biotype </w:t>
      </w:r>
      <w:r w:rsidRPr="005141A3">
        <w:t>Classification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2F6383D1" w14:textId="77777777" w:rsidTr="00C02FB9">
        <w:tc>
          <w:tcPr>
            <w:tcW w:w="1728" w:type="dxa"/>
          </w:tcPr>
          <w:p w14:paraId="6F0F1D1E" w14:textId="77777777" w:rsidR="000F783D" w:rsidRPr="005141A3" w:rsidRDefault="000F783D" w:rsidP="000F783D">
            <w:pPr>
              <w:pStyle w:val="reviewer"/>
              <w:jc w:val="both"/>
            </w:pPr>
            <w:r w:rsidRPr="005141A3">
              <w:t>Reviewer</w:t>
            </w:r>
          </w:p>
          <w:p w14:paraId="31DCF5BF" w14:textId="77777777" w:rsidR="000F783D" w:rsidRPr="005141A3" w:rsidRDefault="000F783D" w:rsidP="000F783D">
            <w:pPr>
              <w:pStyle w:val="reviewer"/>
              <w:jc w:val="both"/>
            </w:pPr>
            <w:r w:rsidRPr="005141A3">
              <w:t>Comment</w:t>
            </w:r>
          </w:p>
        </w:tc>
        <w:tc>
          <w:tcPr>
            <w:tcW w:w="6602" w:type="dxa"/>
          </w:tcPr>
          <w:p w14:paraId="04CC5EF5"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In Classification section (p.5) the pseudogenes are classified in three groups – and then the ones of the third type – unitary pseudogenes – are not mentioned any more. Any comments why?</w:t>
            </w:r>
          </w:p>
        </w:tc>
      </w:tr>
      <w:tr w:rsidR="000F783D" w:rsidRPr="005141A3" w14:paraId="547092D4" w14:textId="77777777" w:rsidTr="00C02FB9">
        <w:tc>
          <w:tcPr>
            <w:tcW w:w="1728" w:type="dxa"/>
          </w:tcPr>
          <w:p w14:paraId="17C4C637" w14:textId="77777777" w:rsidR="000F783D" w:rsidRPr="005141A3" w:rsidRDefault="000F783D" w:rsidP="000F783D">
            <w:pPr>
              <w:pStyle w:val="author"/>
              <w:jc w:val="both"/>
            </w:pPr>
            <w:r w:rsidRPr="005141A3">
              <w:t>Author</w:t>
            </w:r>
          </w:p>
          <w:p w14:paraId="72F4E4EC" w14:textId="77777777" w:rsidR="000F783D" w:rsidRPr="005141A3" w:rsidRDefault="000F783D" w:rsidP="000F783D">
            <w:pPr>
              <w:pStyle w:val="author"/>
              <w:jc w:val="both"/>
            </w:pPr>
            <w:r w:rsidRPr="005141A3">
              <w:t>Response</w:t>
            </w:r>
          </w:p>
        </w:tc>
        <w:tc>
          <w:tcPr>
            <w:tcW w:w="6602" w:type="dxa"/>
          </w:tcPr>
          <w:p w14:paraId="37FF33BC" w14:textId="08A9EFCA" w:rsidR="00151E4D" w:rsidRPr="005141A3" w:rsidRDefault="00BC7F34" w:rsidP="00880611">
            <w:pPr>
              <w:pStyle w:val="author"/>
              <w:jc w:val="both"/>
            </w:pPr>
            <w:r w:rsidRPr="005141A3">
              <w:t>There are 151 unitary pseudogenes in the human genome, comprising about 1% of the total number of pseudogenes. These pseudogenes were included in all the analysis that did not require a biotype differentiation or</w:t>
            </w:r>
            <w:r w:rsidR="00E954E9" w:rsidRPr="005141A3">
              <w:t xml:space="preserve"> the presence of a parent gene. A</w:t>
            </w:r>
            <w:r w:rsidR="00DA7A58" w:rsidRPr="005141A3">
              <w:t>s</w:t>
            </w:r>
            <w:r w:rsidR="00E954E9" w:rsidRPr="005141A3">
              <w:t xml:space="preserve"> such, chromosomal distribution of unitary pseudogenes is </w:t>
            </w:r>
            <w:r w:rsidRPr="005141A3">
              <w:t>not stati</w:t>
            </w:r>
            <w:r w:rsidR="00E954E9" w:rsidRPr="005141A3">
              <w:t>stically significant</w:t>
            </w:r>
            <w:r w:rsidRPr="005141A3">
              <w:t xml:space="preserve"> due to the low number of unitary pseudogenes compared to processed or duplicated ones.</w:t>
            </w:r>
            <w:r w:rsidR="00880611" w:rsidRPr="005141A3">
              <w:t xml:space="preserve"> </w:t>
            </w:r>
            <w:r w:rsidR="00E954E9" w:rsidRPr="005141A3">
              <w:t xml:space="preserve">Similarly, upstream sequence comparison between unitary pseudogenes and parent genes is not possible due to the fact that unitary pseudogenes do not have functioning counterparts in same organism. </w:t>
            </w:r>
          </w:p>
        </w:tc>
      </w:tr>
      <w:tr w:rsidR="000F783D" w:rsidRPr="005141A3" w14:paraId="4EA36D43" w14:textId="77777777" w:rsidTr="00C02FB9">
        <w:tc>
          <w:tcPr>
            <w:tcW w:w="1728" w:type="dxa"/>
          </w:tcPr>
          <w:p w14:paraId="7DBDBF8E" w14:textId="77777777" w:rsidR="000F783D" w:rsidRPr="005141A3" w:rsidRDefault="000F783D" w:rsidP="000F783D">
            <w:pPr>
              <w:pStyle w:val="new-text"/>
              <w:jc w:val="both"/>
            </w:pPr>
            <w:r w:rsidRPr="005141A3">
              <w:t>Excerpt From</w:t>
            </w:r>
          </w:p>
          <w:p w14:paraId="736AA40B" w14:textId="77777777" w:rsidR="000F783D" w:rsidRPr="005141A3" w:rsidRDefault="000F783D" w:rsidP="000F783D">
            <w:pPr>
              <w:pStyle w:val="new-text"/>
              <w:jc w:val="both"/>
            </w:pPr>
            <w:r w:rsidRPr="005141A3">
              <w:t>Revised Manuscript</w:t>
            </w:r>
          </w:p>
        </w:tc>
        <w:tc>
          <w:tcPr>
            <w:tcW w:w="6602" w:type="dxa"/>
          </w:tcPr>
          <w:p w14:paraId="5D2424C4" w14:textId="620EBDC4" w:rsidR="000F783D" w:rsidRPr="005141A3" w:rsidRDefault="000F783D" w:rsidP="000F783D">
            <w:pPr>
              <w:pStyle w:val="BodyText3"/>
              <w:rPr>
                <w:szCs w:val="18"/>
              </w:rPr>
            </w:pPr>
          </w:p>
        </w:tc>
      </w:tr>
    </w:tbl>
    <w:p w14:paraId="6EA3790E" w14:textId="77777777" w:rsidR="000F783D" w:rsidRPr="005141A3" w:rsidRDefault="000F783D" w:rsidP="000F783D"/>
    <w:p w14:paraId="10680680" w14:textId="69561509" w:rsidR="000F783D" w:rsidRPr="005141A3" w:rsidRDefault="000F783D" w:rsidP="000F783D">
      <w:pPr>
        <w:pStyle w:val="Heading3"/>
      </w:pPr>
      <w:r w:rsidRPr="005141A3">
        <w:t>-- Ref1.</w:t>
      </w:r>
      <w:r w:rsidR="0062167B" w:rsidRPr="005141A3">
        <w:t>5</w:t>
      </w:r>
      <w:r w:rsidRPr="005141A3">
        <w:t xml:space="preserve"> – Pseudogene Annotation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133CA7F2" w14:textId="77777777" w:rsidTr="00C02FB9">
        <w:tc>
          <w:tcPr>
            <w:tcW w:w="1728" w:type="dxa"/>
          </w:tcPr>
          <w:p w14:paraId="01CE0C15" w14:textId="77777777" w:rsidR="000F783D" w:rsidRPr="005141A3" w:rsidRDefault="000F783D" w:rsidP="000F783D">
            <w:pPr>
              <w:pStyle w:val="reviewer"/>
              <w:jc w:val="both"/>
            </w:pPr>
            <w:r w:rsidRPr="005141A3">
              <w:t>Reviewer</w:t>
            </w:r>
          </w:p>
          <w:p w14:paraId="58B24237" w14:textId="77777777" w:rsidR="000F783D" w:rsidRPr="005141A3" w:rsidRDefault="000F783D" w:rsidP="000F783D">
            <w:pPr>
              <w:pStyle w:val="reviewer"/>
              <w:jc w:val="both"/>
            </w:pPr>
            <w:r w:rsidRPr="005141A3">
              <w:t>Comment</w:t>
            </w:r>
          </w:p>
        </w:tc>
        <w:tc>
          <w:tcPr>
            <w:tcW w:w="6602" w:type="dxa"/>
          </w:tcPr>
          <w:p w14:paraId="49A327DA"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 xml:space="preserve">Definition of a human gene model as pseudogene relies on several clearly specified features (Suppl. Methods p.1) However, in some functional human genes read-through stop codons code for </w:t>
            </w:r>
            <w:proofErr w:type="spellStart"/>
            <w:r w:rsidRPr="005141A3">
              <w:rPr>
                <w:rFonts w:ascii="Courier New" w:hAnsi="Courier New" w:cs="Courier New"/>
                <w:sz w:val="20"/>
                <w:szCs w:val="20"/>
              </w:rPr>
              <w:t>celenocystein</w:t>
            </w:r>
            <w:proofErr w:type="spellEnd"/>
            <w:r w:rsidRPr="005141A3">
              <w:rPr>
                <w:rFonts w:ascii="Courier New" w:hAnsi="Courier New" w:cs="Courier New"/>
                <w:sz w:val="20"/>
                <w:szCs w:val="20"/>
              </w:rPr>
              <w:t xml:space="preserve">; also some known genes with “recoding” have programmed </w:t>
            </w:r>
            <w:proofErr w:type="spellStart"/>
            <w:r w:rsidRPr="005141A3">
              <w:rPr>
                <w:rFonts w:ascii="Courier New" w:hAnsi="Courier New" w:cs="Courier New"/>
                <w:sz w:val="20"/>
                <w:szCs w:val="20"/>
              </w:rPr>
              <w:t>frameshifts</w:t>
            </w:r>
            <w:proofErr w:type="spellEnd"/>
            <w:r w:rsidRPr="005141A3">
              <w:rPr>
                <w:rFonts w:ascii="Courier New" w:hAnsi="Courier New" w:cs="Courier New"/>
                <w:sz w:val="20"/>
                <w:szCs w:val="20"/>
              </w:rPr>
              <w:t>; these exceptions makes sense to mention.</w:t>
            </w:r>
          </w:p>
        </w:tc>
      </w:tr>
      <w:tr w:rsidR="000F783D" w:rsidRPr="005141A3" w14:paraId="5178C931" w14:textId="77777777" w:rsidTr="00C02FB9">
        <w:tc>
          <w:tcPr>
            <w:tcW w:w="1728" w:type="dxa"/>
          </w:tcPr>
          <w:p w14:paraId="1903A8E9" w14:textId="77777777" w:rsidR="000F783D" w:rsidRPr="005141A3" w:rsidRDefault="000F783D" w:rsidP="000F783D">
            <w:pPr>
              <w:pStyle w:val="author"/>
              <w:jc w:val="both"/>
            </w:pPr>
            <w:r w:rsidRPr="005141A3">
              <w:t>Author</w:t>
            </w:r>
          </w:p>
          <w:p w14:paraId="3C73BCC0" w14:textId="77777777" w:rsidR="000F783D" w:rsidRPr="005141A3" w:rsidRDefault="000F783D" w:rsidP="000F783D">
            <w:pPr>
              <w:pStyle w:val="author"/>
              <w:jc w:val="both"/>
            </w:pPr>
            <w:r w:rsidRPr="005141A3">
              <w:t>Response</w:t>
            </w:r>
          </w:p>
        </w:tc>
        <w:tc>
          <w:tcPr>
            <w:tcW w:w="6602" w:type="dxa"/>
          </w:tcPr>
          <w:p w14:paraId="6080A396" w14:textId="277EB6C5" w:rsidR="00E24B0C" w:rsidRPr="005141A3" w:rsidRDefault="0062167B" w:rsidP="00E24B0C">
            <w:pPr>
              <w:pStyle w:val="NormalWeb"/>
              <w:spacing w:before="0" w:beforeAutospacing="0" w:after="0" w:afterAutospacing="0"/>
              <w:rPr>
                <w:sz w:val="24"/>
                <w:szCs w:val="24"/>
              </w:rPr>
            </w:pPr>
            <w:r w:rsidRPr="005141A3">
              <w:rPr>
                <w:rFonts w:ascii="Arial" w:eastAsia="Times New Roman" w:hAnsi="Arial" w:cs="Arial"/>
                <w:sz w:val="24"/>
                <w:szCs w:val="24"/>
                <w:shd w:val="clear" w:color="auto" w:fill="FFFFFF"/>
              </w:rPr>
              <w:t>Yes, these exceptions are taken into account in the manual annotation process.</w:t>
            </w:r>
            <w:r w:rsidR="00020C6C" w:rsidRPr="005141A3">
              <w:rPr>
                <w:rFonts w:ascii="Arial" w:eastAsia="Times New Roman" w:hAnsi="Arial" w:cs="Arial"/>
                <w:sz w:val="24"/>
                <w:szCs w:val="24"/>
                <w:shd w:val="clear" w:color="auto" w:fill="FFFFFF"/>
              </w:rPr>
              <w:t xml:space="preserve"> If a model has evidence (transcriptional, functional, publication) showing that the locus represents a protein-coding gene with structural/functional divergence from its parent (</w:t>
            </w:r>
            <w:proofErr w:type="spellStart"/>
            <w:r w:rsidR="00020C6C" w:rsidRPr="005141A3">
              <w:rPr>
                <w:rFonts w:ascii="Arial" w:eastAsia="Times New Roman" w:hAnsi="Arial" w:cs="Arial"/>
                <w:sz w:val="24"/>
                <w:szCs w:val="24"/>
                <w:shd w:val="clear" w:color="auto" w:fill="FFFFFF"/>
              </w:rPr>
              <w:t>paralog</w:t>
            </w:r>
            <w:proofErr w:type="spellEnd"/>
            <w:r w:rsidR="00020C6C" w:rsidRPr="005141A3">
              <w:rPr>
                <w:rFonts w:ascii="Arial" w:eastAsia="Times New Roman" w:hAnsi="Arial" w:cs="Arial"/>
                <w:sz w:val="24"/>
                <w:szCs w:val="24"/>
                <w:shd w:val="clear" w:color="auto" w:fill="FFFFFF"/>
              </w:rPr>
              <w:t xml:space="preserve">), it is discarded from the pseudogene dataset. </w:t>
            </w:r>
            <w:r w:rsidR="00E24B0C" w:rsidRPr="005141A3">
              <w:rPr>
                <w:rFonts w:ascii="Arial" w:hAnsi="Arial" w:cs="Arial"/>
                <w:sz w:val="24"/>
                <w:szCs w:val="24"/>
              </w:rPr>
              <w:t xml:space="preserve">In addition we run </w:t>
            </w:r>
            <w:proofErr w:type="spellStart"/>
            <w:r w:rsidR="00E24B0C" w:rsidRPr="005141A3">
              <w:rPr>
                <w:rFonts w:ascii="Arial" w:hAnsi="Arial" w:cs="Arial"/>
                <w:sz w:val="24"/>
                <w:szCs w:val="24"/>
              </w:rPr>
              <w:t>selenoprofiles</w:t>
            </w:r>
            <w:proofErr w:type="spellEnd"/>
            <w:r w:rsidR="00E24B0C" w:rsidRPr="005141A3">
              <w:rPr>
                <w:rFonts w:ascii="Arial" w:hAnsi="Arial" w:cs="Arial"/>
                <w:sz w:val="24"/>
                <w:szCs w:val="24"/>
              </w:rPr>
              <w:t xml:space="preserve"> supplied by </w:t>
            </w:r>
            <w:proofErr w:type="spellStart"/>
            <w:r w:rsidR="00E24B0C" w:rsidRPr="005141A3">
              <w:rPr>
                <w:rFonts w:ascii="Arial" w:hAnsi="Arial" w:cs="Arial"/>
                <w:sz w:val="24"/>
                <w:szCs w:val="24"/>
              </w:rPr>
              <w:t>Roderic</w:t>
            </w:r>
            <w:proofErr w:type="spellEnd"/>
            <w:r w:rsidR="00E24B0C" w:rsidRPr="005141A3">
              <w:rPr>
                <w:rFonts w:ascii="Arial" w:hAnsi="Arial" w:cs="Arial"/>
                <w:sz w:val="24"/>
                <w:szCs w:val="24"/>
              </w:rPr>
              <w:t xml:space="preserve"> </w:t>
            </w:r>
            <w:proofErr w:type="spellStart"/>
            <w:r w:rsidR="00E24B0C" w:rsidRPr="005141A3">
              <w:rPr>
                <w:rFonts w:ascii="Arial" w:hAnsi="Arial" w:cs="Arial"/>
                <w:sz w:val="24"/>
                <w:szCs w:val="24"/>
              </w:rPr>
              <w:t>Guigo</w:t>
            </w:r>
            <w:r w:rsidR="00F77846" w:rsidRPr="005141A3">
              <w:rPr>
                <w:rFonts w:ascii="Arial" w:hAnsi="Arial" w:cs="Arial"/>
                <w:sz w:val="24"/>
                <w:szCs w:val="24"/>
              </w:rPr>
              <w:t>'</w:t>
            </w:r>
            <w:r w:rsidR="00E24B0C" w:rsidRPr="005141A3">
              <w:rPr>
                <w:rFonts w:ascii="Arial" w:hAnsi="Arial" w:cs="Arial"/>
                <w:sz w:val="24"/>
                <w:szCs w:val="24"/>
              </w:rPr>
              <w:t>s</w:t>
            </w:r>
            <w:proofErr w:type="spellEnd"/>
            <w:r w:rsidR="00E24B0C" w:rsidRPr="005141A3">
              <w:rPr>
                <w:rFonts w:ascii="Arial" w:hAnsi="Arial" w:cs="Arial"/>
                <w:sz w:val="24"/>
                <w:szCs w:val="24"/>
              </w:rPr>
              <w:t xml:space="preserve"> group, which characterises the </w:t>
            </w:r>
            <w:proofErr w:type="spellStart"/>
            <w:r w:rsidR="00E24B0C" w:rsidRPr="005141A3">
              <w:rPr>
                <w:rFonts w:ascii="Arial" w:hAnsi="Arial" w:cs="Arial"/>
                <w:sz w:val="24"/>
                <w:szCs w:val="24"/>
              </w:rPr>
              <w:t>selenoproteome</w:t>
            </w:r>
            <w:proofErr w:type="spellEnd"/>
            <w:r w:rsidR="00E24B0C" w:rsidRPr="005141A3">
              <w:rPr>
                <w:rFonts w:ascii="Arial" w:hAnsi="Arial" w:cs="Arial"/>
                <w:sz w:val="24"/>
                <w:szCs w:val="24"/>
              </w:rPr>
              <w:t xml:space="preserve"> and provides accurate predictions of </w:t>
            </w:r>
            <w:proofErr w:type="spellStart"/>
            <w:r w:rsidR="00E24B0C" w:rsidRPr="005141A3">
              <w:rPr>
                <w:rFonts w:ascii="Arial" w:hAnsi="Arial" w:cs="Arial"/>
                <w:sz w:val="24"/>
                <w:szCs w:val="24"/>
              </w:rPr>
              <w:t>selenoprotein</w:t>
            </w:r>
            <w:proofErr w:type="spellEnd"/>
            <w:r w:rsidR="00E24B0C" w:rsidRPr="005141A3">
              <w:rPr>
                <w:rFonts w:ascii="Arial" w:hAnsi="Arial" w:cs="Arial"/>
                <w:sz w:val="24"/>
                <w:szCs w:val="24"/>
              </w:rPr>
              <w:t xml:space="preserve"> genes </w:t>
            </w:r>
            <w:r w:rsidR="00E24B0C" w:rsidRPr="005141A3">
              <w:rPr>
                <w:rFonts w:ascii="Arial" w:hAnsi="Arial" w:cs="Arial"/>
                <w:sz w:val="24"/>
                <w:szCs w:val="24"/>
              </w:rPr>
              <w:fldChar w:fldCharType="begin"/>
            </w:r>
            <w:r w:rsidR="00E24B0C" w:rsidRPr="005141A3">
              <w:rPr>
                <w:rFonts w:ascii="Arial" w:hAnsi="Arial" w:cs="Arial"/>
                <w:sz w:val="24"/>
                <w:szCs w:val="24"/>
              </w:rPr>
              <w:instrText xml:space="preserve"> ADDIN cite{20861026}</w:instrText>
            </w:r>
            <w:r w:rsidR="00E24B0C" w:rsidRPr="005141A3">
              <w:rPr>
                <w:rFonts w:ascii="Arial" w:hAnsi="Arial" w:cs="Arial"/>
                <w:sz w:val="24"/>
                <w:szCs w:val="24"/>
              </w:rPr>
              <w:fldChar w:fldCharType="separate"/>
            </w:r>
            <w:r w:rsidR="00E24B0C" w:rsidRPr="005141A3">
              <w:rPr>
                <w:rFonts w:ascii="Arial" w:hAnsi="Arial" w:cs="Arial"/>
                <w:sz w:val="24"/>
                <w:szCs w:val="24"/>
              </w:rPr>
              <w:t>[2]</w:t>
            </w:r>
            <w:r w:rsidR="00E24B0C" w:rsidRPr="005141A3">
              <w:rPr>
                <w:rFonts w:ascii="Arial" w:hAnsi="Arial" w:cs="Arial"/>
                <w:sz w:val="24"/>
                <w:szCs w:val="24"/>
              </w:rPr>
              <w:fldChar w:fldCharType="end"/>
            </w:r>
            <w:r w:rsidR="00E24B0C" w:rsidRPr="005141A3">
              <w:rPr>
                <w:rFonts w:ascii="Arial" w:hAnsi="Arial" w:cs="Arial"/>
                <w:sz w:val="24"/>
                <w:szCs w:val="24"/>
              </w:rPr>
              <w:t>.</w:t>
            </w:r>
          </w:p>
          <w:p w14:paraId="3F1CDDE1" w14:textId="278C983E" w:rsidR="000F783D" w:rsidRPr="005141A3" w:rsidRDefault="00020C6C" w:rsidP="00E24B0C">
            <w:pPr>
              <w:pStyle w:val="NormalWeb"/>
              <w:spacing w:before="0" w:beforeAutospacing="0" w:after="0" w:afterAutospacing="0"/>
              <w:jc w:val="both"/>
              <w:rPr>
                <w:sz w:val="24"/>
                <w:szCs w:val="24"/>
              </w:rPr>
            </w:pPr>
            <w:r w:rsidRPr="005141A3">
              <w:rPr>
                <w:rFonts w:ascii="Arial" w:eastAsia="Times New Roman" w:hAnsi="Arial" w:cs="Arial"/>
                <w:sz w:val="24"/>
                <w:szCs w:val="24"/>
                <w:shd w:val="clear" w:color="auto" w:fill="FFFFFF"/>
              </w:rPr>
              <w:t>We have added a small amount of text to the supplementary methods to make clear that the HAVANA manual annotation pipeline does check for the read-</w:t>
            </w:r>
            <w:r w:rsidR="00E24B0C" w:rsidRPr="005141A3">
              <w:rPr>
                <w:rFonts w:ascii="Arial" w:eastAsia="Times New Roman" w:hAnsi="Arial" w:cs="Arial"/>
                <w:sz w:val="24"/>
                <w:szCs w:val="24"/>
                <w:shd w:val="clear" w:color="auto" w:fill="FFFFFF"/>
              </w:rPr>
              <w:t xml:space="preserve">through stop codons coding for </w:t>
            </w:r>
            <w:proofErr w:type="spellStart"/>
            <w:r w:rsidR="00E24B0C" w:rsidRPr="005141A3">
              <w:rPr>
                <w:rFonts w:ascii="Arial" w:eastAsia="Times New Roman" w:hAnsi="Arial" w:cs="Arial"/>
                <w:sz w:val="24"/>
                <w:szCs w:val="24"/>
                <w:shd w:val="clear" w:color="auto" w:fill="FFFFFF"/>
              </w:rPr>
              <w:t>s</w:t>
            </w:r>
            <w:r w:rsidRPr="005141A3">
              <w:rPr>
                <w:rFonts w:ascii="Arial" w:eastAsia="Times New Roman" w:hAnsi="Arial" w:cs="Arial"/>
                <w:sz w:val="24"/>
                <w:szCs w:val="24"/>
                <w:shd w:val="clear" w:color="auto" w:fill="FFFFFF"/>
              </w:rPr>
              <w:t>elenocystein</w:t>
            </w:r>
            <w:r w:rsidR="00E24B0C" w:rsidRPr="005141A3">
              <w:rPr>
                <w:rFonts w:ascii="Arial" w:eastAsia="Times New Roman" w:hAnsi="Arial" w:cs="Arial"/>
                <w:sz w:val="24"/>
                <w:szCs w:val="24"/>
                <w:shd w:val="clear" w:color="auto" w:fill="FFFFFF"/>
              </w:rPr>
              <w:t>e</w:t>
            </w:r>
            <w:proofErr w:type="spellEnd"/>
            <w:r w:rsidRPr="005141A3">
              <w:rPr>
                <w:rFonts w:ascii="Arial" w:eastAsia="Times New Roman" w:hAnsi="Arial" w:cs="Arial"/>
                <w:sz w:val="24"/>
                <w:szCs w:val="24"/>
                <w:shd w:val="clear" w:color="auto" w:fill="FFFFFF"/>
              </w:rPr>
              <w:t xml:space="preserve"> and for known genes with programmed </w:t>
            </w:r>
            <w:proofErr w:type="spellStart"/>
            <w:r w:rsidRPr="005141A3">
              <w:rPr>
                <w:rFonts w:ascii="Arial" w:eastAsia="Times New Roman" w:hAnsi="Arial" w:cs="Arial"/>
                <w:sz w:val="24"/>
                <w:szCs w:val="24"/>
                <w:shd w:val="clear" w:color="auto" w:fill="FFFFFF"/>
              </w:rPr>
              <w:t>frameshifts</w:t>
            </w:r>
            <w:proofErr w:type="spellEnd"/>
            <w:r w:rsidRPr="005141A3">
              <w:rPr>
                <w:rFonts w:ascii="Arial" w:eastAsia="Times New Roman" w:hAnsi="Arial" w:cs="Arial"/>
                <w:sz w:val="24"/>
                <w:szCs w:val="24"/>
                <w:shd w:val="clear" w:color="auto" w:fill="FFFFFF"/>
              </w:rPr>
              <w:t>.</w:t>
            </w:r>
          </w:p>
        </w:tc>
      </w:tr>
      <w:tr w:rsidR="000F783D" w:rsidRPr="005141A3" w14:paraId="3EAD1FEB" w14:textId="77777777" w:rsidTr="00C02FB9">
        <w:tc>
          <w:tcPr>
            <w:tcW w:w="1728" w:type="dxa"/>
          </w:tcPr>
          <w:p w14:paraId="21CB4F71" w14:textId="77777777" w:rsidR="000F783D" w:rsidRPr="005141A3" w:rsidRDefault="000F783D" w:rsidP="000F783D">
            <w:pPr>
              <w:pStyle w:val="new-text"/>
              <w:jc w:val="both"/>
              <w:rPr>
                <w:szCs w:val="18"/>
              </w:rPr>
            </w:pPr>
            <w:r w:rsidRPr="005141A3">
              <w:rPr>
                <w:szCs w:val="18"/>
              </w:rPr>
              <w:t>Excerpt From</w:t>
            </w:r>
          </w:p>
          <w:p w14:paraId="0FB37872" w14:textId="77777777" w:rsidR="000F783D" w:rsidRPr="005141A3" w:rsidRDefault="000F783D" w:rsidP="000F783D">
            <w:pPr>
              <w:pStyle w:val="new-text"/>
              <w:jc w:val="both"/>
              <w:rPr>
                <w:szCs w:val="18"/>
              </w:rPr>
            </w:pPr>
            <w:r w:rsidRPr="005141A3">
              <w:rPr>
                <w:szCs w:val="18"/>
              </w:rPr>
              <w:t>Revised Manuscript</w:t>
            </w:r>
          </w:p>
        </w:tc>
        <w:tc>
          <w:tcPr>
            <w:tcW w:w="6602" w:type="dxa"/>
          </w:tcPr>
          <w:p w14:paraId="73207172" w14:textId="7558416A" w:rsidR="000F783D" w:rsidRPr="005141A3" w:rsidRDefault="0059232B" w:rsidP="0059232B">
            <w:pPr>
              <w:rPr>
                <w:sz w:val="18"/>
                <w:szCs w:val="18"/>
              </w:rPr>
            </w:pPr>
            <w:r w:rsidRPr="005141A3">
              <w:rPr>
                <w:sz w:val="18"/>
                <w:szCs w:val="18"/>
              </w:rPr>
              <w:t>We note that the</w:t>
            </w:r>
            <w:r w:rsidR="005141A3" w:rsidRPr="005141A3">
              <w:rPr>
                <w:sz w:val="18"/>
                <w:szCs w:val="18"/>
              </w:rPr>
              <w:t xml:space="preserve"> manual annotation pipeline checks the possibility than any putative pseudogene might instead be a protein-coding gene. If any putative pseudogene locus has transcriptional, functional or publication evidence to support coding potential, including </w:t>
            </w:r>
            <w:proofErr w:type="spellStart"/>
            <w:r w:rsidR="005141A3" w:rsidRPr="005141A3">
              <w:rPr>
                <w:sz w:val="18"/>
                <w:szCs w:val="18"/>
              </w:rPr>
              <w:t>selenocysteine</w:t>
            </w:r>
            <w:proofErr w:type="spellEnd"/>
            <w:r w:rsidR="005141A3" w:rsidRPr="005141A3">
              <w:rPr>
                <w:sz w:val="18"/>
                <w:szCs w:val="18"/>
              </w:rPr>
              <w:t xml:space="preserve"> incorporation, stop-codon read</w:t>
            </w:r>
            <w:r w:rsidR="005141A3">
              <w:rPr>
                <w:sz w:val="18"/>
                <w:szCs w:val="18"/>
              </w:rPr>
              <w:t>-</w:t>
            </w:r>
            <w:r w:rsidR="005141A3" w:rsidRPr="005141A3">
              <w:rPr>
                <w:sz w:val="18"/>
                <w:szCs w:val="18"/>
              </w:rPr>
              <w:t xml:space="preserve">through and programmed </w:t>
            </w:r>
            <w:proofErr w:type="spellStart"/>
            <w:r w:rsidR="005141A3" w:rsidRPr="005141A3">
              <w:rPr>
                <w:sz w:val="18"/>
                <w:szCs w:val="18"/>
              </w:rPr>
              <w:t>frameshift</w:t>
            </w:r>
            <w:proofErr w:type="spellEnd"/>
            <w:r w:rsidR="005141A3" w:rsidRPr="005141A3">
              <w:rPr>
                <w:sz w:val="18"/>
                <w:szCs w:val="18"/>
              </w:rPr>
              <w:t xml:space="preserve"> events, it is excluded from the set of pseudogene transcripts. </w:t>
            </w:r>
            <w:r w:rsidR="005141A3">
              <w:rPr>
                <w:sz w:val="18"/>
                <w:szCs w:val="18"/>
              </w:rPr>
              <w:t xml:space="preserve"> </w:t>
            </w:r>
          </w:p>
        </w:tc>
      </w:tr>
    </w:tbl>
    <w:p w14:paraId="12AE5DCE" w14:textId="77777777" w:rsidR="000F783D" w:rsidRPr="005141A3" w:rsidRDefault="000F783D" w:rsidP="000F783D"/>
    <w:p w14:paraId="46515CBC" w14:textId="79FC8FA8" w:rsidR="000F783D" w:rsidRPr="005141A3" w:rsidRDefault="000F783D" w:rsidP="000F783D">
      <w:pPr>
        <w:pStyle w:val="Heading3"/>
      </w:pPr>
      <w:r w:rsidRPr="005141A3">
        <w:t>-- Ref1.</w:t>
      </w:r>
      <w:r w:rsidR="0062167B" w:rsidRPr="005141A3">
        <w:t>6</w:t>
      </w:r>
      <w:r w:rsidRPr="005141A3">
        <w:t xml:space="preserve"> – Functional Pseudogenes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546D0718" w14:textId="77777777" w:rsidTr="00C02FB9">
        <w:tc>
          <w:tcPr>
            <w:tcW w:w="1728" w:type="dxa"/>
          </w:tcPr>
          <w:p w14:paraId="3A5F7B47" w14:textId="77777777" w:rsidR="000F783D" w:rsidRPr="005141A3" w:rsidRDefault="000F783D" w:rsidP="000F783D">
            <w:pPr>
              <w:pStyle w:val="reviewer"/>
              <w:jc w:val="both"/>
            </w:pPr>
            <w:r w:rsidRPr="005141A3">
              <w:t>Reviewer</w:t>
            </w:r>
          </w:p>
          <w:p w14:paraId="7C092A9B" w14:textId="77777777" w:rsidR="000F783D" w:rsidRPr="005141A3" w:rsidRDefault="000F783D" w:rsidP="000F783D">
            <w:pPr>
              <w:pStyle w:val="reviewer"/>
              <w:jc w:val="both"/>
            </w:pPr>
            <w:r w:rsidRPr="005141A3">
              <w:t>Comment</w:t>
            </w:r>
          </w:p>
        </w:tc>
        <w:tc>
          <w:tcPr>
            <w:tcW w:w="6602" w:type="dxa"/>
          </w:tcPr>
          <w:p w14:paraId="06B47805"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The concept of “functional” pseudogenes – p.8 (transcribed or even translated) is controversial, almost oxymoron-like concept. Should the concept of a gene be further generalized – a revision that the corresponding author already initiated in a previous ENCODE publication?</w:t>
            </w:r>
          </w:p>
        </w:tc>
      </w:tr>
      <w:tr w:rsidR="000F783D" w:rsidRPr="005141A3" w14:paraId="10997723" w14:textId="77777777" w:rsidTr="00C02FB9">
        <w:tc>
          <w:tcPr>
            <w:tcW w:w="1728" w:type="dxa"/>
          </w:tcPr>
          <w:p w14:paraId="75B61528" w14:textId="77777777" w:rsidR="000F783D" w:rsidRPr="005141A3" w:rsidRDefault="000F783D" w:rsidP="000F783D">
            <w:pPr>
              <w:pStyle w:val="author"/>
              <w:jc w:val="both"/>
            </w:pPr>
            <w:r w:rsidRPr="005141A3">
              <w:t>Author</w:t>
            </w:r>
          </w:p>
          <w:p w14:paraId="65569FE2" w14:textId="77777777" w:rsidR="000F783D" w:rsidRPr="005141A3" w:rsidRDefault="000F783D" w:rsidP="000F783D">
            <w:pPr>
              <w:pStyle w:val="author"/>
              <w:jc w:val="both"/>
            </w:pPr>
            <w:r w:rsidRPr="005141A3">
              <w:t>Response</w:t>
            </w:r>
          </w:p>
        </w:tc>
        <w:tc>
          <w:tcPr>
            <w:tcW w:w="6602" w:type="dxa"/>
          </w:tcPr>
          <w:p w14:paraId="2D1E48D8" w14:textId="3496321E" w:rsidR="002B1127" w:rsidRPr="005141A3" w:rsidRDefault="00DD71AE" w:rsidP="002B1127">
            <w:pPr>
              <w:pStyle w:val="author"/>
              <w:jc w:val="both"/>
            </w:pPr>
            <w:r w:rsidRPr="005141A3">
              <w:t xml:space="preserve">We agree with the reviewer that the concept of “functional” pseudogene is counterintuitive, and we do realize the necessity to revisit the definition of the notions of pseudogene and gene. </w:t>
            </w:r>
            <w:r w:rsidR="002B1127" w:rsidRPr="005141A3">
              <w:t xml:space="preserve">We have written a number of reviews on the definition of gene and pseudogene </w:t>
            </w:r>
            <w:r w:rsidR="00C96892" w:rsidRPr="005141A3">
              <w:fldChar w:fldCharType="begin"/>
            </w:r>
            <w:r w:rsidR="00C96892" w:rsidRPr="005141A3">
              <w:instrText xml:space="preserve"> ADDIN cite{17382428,12690176,18528383}</w:instrText>
            </w:r>
            <w:r w:rsidR="00C96892" w:rsidRPr="005141A3">
              <w:fldChar w:fldCharType="separate"/>
            </w:r>
            <w:r w:rsidR="00E24B0C" w:rsidRPr="005141A3">
              <w:t>[3, 4, 5]</w:t>
            </w:r>
            <w:r w:rsidR="00C96892" w:rsidRPr="005141A3">
              <w:fldChar w:fldCharType="end"/>
            </w:r>
            <w:r w:rsidR="00E24B0C" w:rsidRPr="005141A3">
              <w:t xml:space="preserve"> and we also put in a call for </w:t>
            </w:r>
            <w:r w:rsidR="002B1127" w:rsidRPr="005141A3">
              <w:t xml:space="preserve">future perspective on this matter. </w:t>
            </w:r>
          </w:p>
          <w:p w14:paraId="474080C9" w14:textId="38B90B46" w:rsidR="0008053C" w:rsidRPr="005141A3" w:rsidRDefault="00DD71AE" w:rsidP="00E86428">
            <w:pPr>
              <w:pStyle w:val="author"/>
              <w:jc w:val="both"/>
            </w:pPr>
            <w:r w:rsidRPr="005141A3">
              <w:t>However we believe that the present paper is not the most suitable place to address</w:t>
            </w:r>
            <w:r w:rsidR="00E86428" w:rsidRPr="005141A3">
              <w:t xml:space="preserve"> such a complex</w:t>
            </w:r>
            <w:r w:rsidRPr="005141A3">
              <w:t xml:space="preserve"> issue.</w:t>
            </w:r>
            <w:r w:rsidR="00E86428" w:rsidRPr="005141A3">
              <w:t xml:space="preserve"> In this manuscript we refine the pseudogene dataset to a list of so called “functional” candidates, that comprises of a number of interesting pseudogenes that have characteristics, commonly attributed to functional coding genes: e.g. have transcription/translation evidence, are located in regions of active chromatin, and/or have active upstream sequences. We consider that these interesting </w:t>
            </w:r>
            <w:r w:rsidR="000975B4" w:rsidRPr="005141A3">
              <w:t>scenarios are wor</w:t>
            </w:r>
            <w:r w:rsidR="00E86428" w:rsidRPr="005141A3">
              <w:t xml:space="preserve">th of further </w:t>
            </w:r>
            <w:r w:rsidR="000975B4" w:rsidRPr="005141A3">
              <w:t>analyses that can</w:t>
            </w:r>
            <w:r w:rsidR="00E86428" w:rsidRPr="005141A3">
              <w:t xml:space="preserve"> po</w:t>
            </w:r>
            <w:r w:rsidR="000975B4" w:rsidRPr="005141A3">
              <w:t>tential result in reclassifying them</w:t>
            </w:r>
            <w:r w:rsidR="00E86428" w:rsidRPr="005141A3">
              <w:t xml:space="preserve"> in other annotation categories (e.g. coding gene, </w:t>
            </w:r>
            <w:proofErr w:type="spellStart"/>
            <w:r w:rsidR="00E86428" w:rsidRPr="005141A3">
              <w:t>ncRNA</w:t>
            </w:r>
            <w:proofErr w:type="spellEnd"/>
            <w:r w:rsidR="00E86428" w:rsidRPr="005141A3">
              <w:t>, etc.)</w:t>
            </w:r>
            <w:r w:rsidR="007B5C57" w:rsidRPr="005141A3">
              <w:t>. We added a sentence in the text to define the term “functional”-candidate.</w:t>
            </w:r>
          </w:p>
        </w:tc>
      </w:tr>
      <w:tr w:rsidR="000F783D" w:rsidRPr="005141A3" w14:paraId="7E4D24D1" w14:textId="77777777" w:rsidTr="00C02FB9">
        <w:tc>
          <w:tcPr>
            <w:tcW w:w="1728" w:type="dxa"/>
          </w:tcPr>
          <w:p w14:paraId="6A7C4491" w14:textId="77777777" w:rsidR="000F783D" w:rsidRPr="005141A3" w:rsidRDefault="000F783D" w:rsidP="000F783D">
            <w:pPr>
              <w:pStyle w:val="new-text"/>
              <w:jc w:val="both"/>
              <w:rPr>
                <w:szCs w:val="18"/>
              </w:rPr>
            </w:pPr>
            <w:r w:rsidRPr="005141A3">
              <w:rPr>
                <w:szCs w:val="18"/>
              </w:rPr>
              <w:t>Excerpt From</w:t>
            </w:r>
          </w:p>
          <w:p w14:paraId="3C5F5A20" w14:textId="77777777" w:rsidR="000F783D" w:rsidRPr="005141A3" w:rsidRDefault="000F783D" w:rsidP="000F783D">
            <w:pPr>
              <w:pStyle w:val="new-text"/>
              <w:jc w:val="both"/>
              <w:rPr>
                <w:szCs w:val="18"/>
              </w:rPr>
            </w:pPr>
            <w:r w:rsidRPr="005141A3">
              <w:rPr>
                <w:szCs w:val="18"/>
              </w:rPr>
              <w:t>Revised Manuscript</w:t>
            </w:r>
          </w:p>
        </w:tc>
        <w:tc>
          <w:tcPr>
            <w:tcW w:w="6602" w:type="dxa"/>
          </w:tcPr>
          <w:p w14:paraId="7D488008" w14:textId="77777777" w:rsidR="00EE5B39" w:rsidRPr="005141A3" w:rsidRDefault="00EE5B39" w:rsidP="008249E3">
            <w:pPr>
              <w:pStyle w:val="BodyText3"/>
              <w:rPr>
                <w:b/>
                <w:szCs w:val="18"/>
                <w:lang w:val="en-GB"/>
              </w:rPr>
            </w:pPr>
            <w:r w:rsidRPr="005141A3">
              <w:rPr>
                <w:b/>
                <w:szCs w:val="18"/>
                <w:lang w:val="en-GB"/>
              </w:rPr>
              <w:t>Results</w:t>
            </w:r>
          </w:p>
          <w:p w14:paraId="63CC92AA" w14:textId="6CCE06A5" w:rsidR="00EE5B39" w:rsidRPr="005141A3" w:rsidRDefault="00EE5B39" w:rsidP="008249E3">
            <w:pPr>
              <w:pStyle w:val="BodyText3"/>
              <w:rPr>
                <w:b/>
                <w:szCs w:val="18"/>
                <w:lang w:val="en-GB"/>
              </w:rPr>
            </w:pPr>
            <w:r w:rsidRPr="005141A3">
              <w:rPr>
                <w:b/>
                <w:szCs w:val="18"/>
                <w:lang w:val="en-GB"/>
              </w:rPr>
              <w:t xml:space="preserve">[…] </w:t>
            </w:r>
          </w:p>
          <w:p w14:paraId="57D0C999" w14:textId="778FF6F8" w:rsidR="00EE5B39" w:rsidRPr="005141A3" w:rsidRDefault="00EE5B39" w:rsidP="008249E3">
            <w:pPr>
              <w:pStyle w:val="BodyText3"/>
              <w:rPr>
                <w:b/>
                <w:szCs w:val="18"/>
                <w:lang w:val="en-GB"/>
              </w:rPr>
            </w:pPr>
            <w:r w:rsidRPr="005141A3">
              <w:rPr>
                <w:b/>
                <w:szCs w:val="18"/>
                <w:lang w:val="en-GB"/>
              </w:rPr>
              <w:t>“Functional” Pseudogene Candidates</w:t>
            </w:r>
          </w:p>
          <w:p w14:paraId="3266B19A" w14:textId="767DEBED" w:rsidR="000F783D" w:rsidRPr="005141A3" w:rsidRDefault="00EE5B39" w:rsidP="008249E3">
            <w:pPr>
              <w:pStyle w:val="BodyText3"/>
              <w:rPr>
                <w:szCs w:val="18"/>
                <w:lang w:val="en-GB"/>
              </w:rPr>
            </w:pPr>
            <w:r w:rsidRPr="005141A3">
              <w:rPr>
                <w:szCs w:val="18"/>
                <w:lang w:val="en-GB"/>
              </w:rPr>
              <w:t xml:space="preserve"> </w:t>
            </w:r>
            <w:r w:rsidR="0062167B" w:rsidRPr="005141A3">
              <w:rPr>
                <w:szCs w:val="18"/>
                <w:lang w:val="en-GB"/>
              </w:rPr>
              <w:t>Finally, combining the annotation, functional genomics and evolutionary data, we refine the active pseudogene group to a set of “functional” candidates. This term refers to a pseudogene that possesses numerous signs of activity, commonly attributed to canonical coding genes (e.g. transcription, translation, active chromatin, etc.).</w:t>
            </w:r>
          </w:p>
          <w:p w14:paraId="62D0F8D2" w14:textId="77777777" w:rsidR="00EE5B39" w:rsidRPr="005141A3" w:rsidRDefault="00EE5B39" w:rsidP="008249E3">
            <w:pPr>
              <w:pStyle w:val="BodyText3"/>
              <w:rPr>
                <w:b/>
                <w:szCs w:val="18"/>
                <w:lang w:val="en-GB"/>
              </w:rPr>
            </w:pPr>
            <w:r w:rsidRPr="005141A3">
              <w:rPr>
                <w:b/>
                <w:szCs w:val="18"/>
                <w:lang w:val="en-GB"/>
              </w:rPr>
              <w:t>Discussion</w:t>
            </w:r>
          </w:p>
          <w:p w14:paraId="28B83EE8" w14:textId="05E6852E" w:rsidR="00EE5B39" w:rsidRPr="005141A3" w:rsidRDefault="00EE5B39" w:rsidP="008249E3">
            <w:pPr>
              <w:pStyle w:val="BodyText3"/>
              <w:rPr>
                <w:b/>
                <w:szCs w:val="18"/>
                <w:lang w:val="en-GB"/>
              </w:rPr>
            </w:pPr>
            <w:r w:rsidRPr="005141A3">
              <w:rPr>
                <w:b/>
                <w:szCs w:val="18"/>
                <w:lang w:val="en-GB"/>
              </w:rPr>
              <w:t>[…]</w:t>
            </w:r>
          </w:p>
          <w:p w14:paraId="3111433C" w14:textId="6AD50086" w:rsidR="00EE5B39" w:rsidRPr="005141A3" w:rsidRDefault="00EE5B39" w:rsidP="00EE5B39">
            <w:pPr>
              <w:pStyle w:val="BodyText3"/>
              <w:rPr>
                <w:szCs w:val="18"/>
              </w:rPr>
            </w:pPr>
            <w:r w:rsidRPr="005141A3">
              <w:rPr>
                <w:szCs w:val="18"/>
              </w:rPr>
              <w:t>Hence we suggest that some pseudogenes may play active roles in genome biology and warrant further experimental investigation. We realize the notion of “functional pseudogene” is, in a sense, an oxymoron. However, here we focus only on tabulating and enumerating these potential functional candidates. In light of recent advances in functional genomics and genome biology, it may be useful to revisit the definition of gene and pseudogene to better and more accurately describe these entities.</w:t>
            </w:r>
          </w:p>
        </w:tc>
      </w:tr>
    </w:tbl>
    <w:p w14:paraId="708A65D3" w14:textId="7FD2DF00" w:rsidR="000F783D" w:rsidRPr="005141A3" w:rsidRDefault="000F783D" w:rsidP="000F783D"/>
    <w:p w14:paraId="08715242" w14:textId="0FEED611" w:rsidR="000F783D" w:rsidRPr="005141A3" w:rsidRDefault="000F783D" w:rsidP="000F783D">
      <w:pPr>
        <w:pStyle w:val="Heading3"/>
      </w:pPr>
      <w:r w:rsidRPr="005141A3">
        <w:t>-- Ref1.</w:t>
      </w:r>
      <w:r w:rsidR="0062167B" w:rsidRPr="005141A3">
        <w:t>7</w:t>
      </w:r>
      <w:r w:rsidRPr="005141A3">
        <w:t xml:space="preserve"> – Pseudogene Localization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0F783D" w:rsidRPr="005141A3" w14:paraId="6444993E" w14:textId="77777777" w:rsidTr="00C02FB9">
        <w:tc>
          <w:tcPr>
            <w:tcW w:w="1728" w:type="dxa"/>
          </w:tcPr>
          <w:p w14:paraId="7E6D522A" w14:textId="77777777" w:rsidR="000F783D" w:rsidRPr="005141A3" w:rsidRDefault="000F783D" w:rsidP="000F783D">
            <w:pPr>
              <w:pStyle w:val="reviewer"/>
              <w:jc w:val="both"/>
            </w:pPr>
            <w:r w:rsidRPr="005141A3">
              <w:t>Reviewer</w:t>
            </w:r>
          </w:p>
          <w:p w14:paraId="42F60B32" w14:textId="77777777" w:rsidR="000F783D" w:rsidRPr="005141A3" w:rsidRDefault="000F783D" w:rsidP="000F783D">
            <w:pPr>
              <w:pStyle w:val="reviewer"/>
              <w:jc w:val="both"/>
            </w:pPr>
            <w:r w:rsidRPr="005141A3">
              <w:t>Comment</w:t>
            </w:r>
          </w:p>
        </w:tc>
        <w:tc>
          <w:tcPr>
            <w:tcW w:w="6602" w:type="dxa"/>
          </w:tcPr>
          <w:p w14:paraId="74185367" w14:textId="77777777" w:rsidR="000F783D" w:rsidRPr="005141A3" w:rsidRDefault="000F783D" w:rsidP="000F783D">
            <w:pPr>
              <w:autoSpaceDE w:val="0"/>
              <w:autoSpaceDN w:val="0"/>
              <w:adjustRightInd w:val="0"/>
              <w:rPr>
                <w:rFonts w:ascii="Courier New" w:hAnsi="Courier New" w:cs="Courier New"/>
                <w:sz w:val="20"/>
                <w:szCs w:val="20"/>
              </w:rPr>
            </w:pPr>
            <w:r w:rsidRPr="005141A3">
              <w:rPr>
                <w:rFonts w:ascii="Courier New" w:hAnsi="Courier New" w:cs="Courier New"/>
                <w:sz w:val="20"/>
                <w:szCs w:val="20"/>
              </w:rPr>
              <w:t>In Table S1 results for human Chromosomes 12, 14 and 19 – appear to be contra intuitive (significance – True, when P-value is 1.00)</w:t>
            </w:r>
          </w:p>
        </w:tc>
      </w:tr>
      <w:tr w:rsidR="000F783D" w:rsidRPr="005141A3" w14:paraId="0EE351D5" w14:textId="77777777" w:rsidTr="00C02FB9">
        <w:tc>
          <w:tcPr>
            <w:tcW w:w="1728" w:type="dxa"/>
          </w:tcPr>
          <w:p w14:paraId="36B7BF0F" w14:textId="77777777" w:rsidR="000F783D" w:rsidRPr="005141A3" w:rsidRDefault="000F783D" w:rsidP="000F783D">
            <w:pPr>
              <w:pStyle w:val="author"/>
              <w:jc w:val="both"/>
            </w:pPr>
            <w:r w:rsidRPr="005141A3">
              <w:t>Author</w:t>
            </w:r>
          </w:p>
          <w:p w14:paraId="42296CA1" w14:textId="77777777" w:rsidR="000F783D" w:rsidRPr="005141A3" w:rsidRDefault="000F783D" w:rsidP="000F783D">
            <w:pPr>
              <w:pStyle w:val="author"/>
              <w:jc w:val="both"/>
            </w:pPr>
            <w:r w:rsidRPr="005141A3">
              <w:t>Response</w:t>
            </w:r>
          </w:p>
        </w:tc>
        <w:tc>
          <w:tcPr>
            <w:tcW w:w="6602" w:type="dxa"/>
          </w:tcPr>
          <w:p w14:paraId="4A392F95" w14:textId="2A1C583C" w:rsidR="000F783D" w:rsidRPr="005141A3" w:rsidRDefault="00E97841" w:rsidP="000F783D">
            <w:pPr>
              <w:pStyle w:val="author"/>
              <w:jc w:val="both"/>
            </w:pPr>
            <w:r w:rsidRPr="005141A3">
              <w:t>We thank the reviewer for noticing our mistake. We corrected the wrong p-values and added a more detailed explanation to the binomial test in the supplementary information.</w:t>
            </w:r>
            <w:r w:rsidR="003C77FD" w:rsidRPr="005141A3">
              <w:t xml:space="preserve"> </w:t>
            </w:r>
          </w:p>
        </w:tc>
      </w:tr>
      <w:tr w:rsidR="000F783D" w:rsidRPr="005141A3" w14:paraId="655D6B30" w14:textId="77777777" w:rsidTr="00C02FB9">
        <w:tc>
          <w:tcPr>
            <w:tcW w:w="1728" w:type="dxa"/>
          </w:tcPr>
          <w:p w14:paraId="41C6FEAB" w14:textId="77777777" w:rsidR="000F783D" w:rsidRPr="005141A3" w:rsidRDefault="000F783D" w:rsidP="000F783D">
            <w:pPr>
              <w:pStyle w:val="new-text"/>
              <w:jc w:val="both"/>
              <w:rPr>
                <w:szCs w:val="18"/>
              </w:rPr>
            </w:pPr>
            <w:r w:rsidRPr="005141A3">
              <w:rPr>
                <w:szCs w:val="18"/>
              </w:rPr>
              <w:t>Excerpt From</w:t>
            </w:r>
          </w:p>
          <w:p w14:paraId="0A24B8FF" w14:textId="77777777" w:rsidR="000F783D" w:rsidRPr="005141A3" w:rsidRDefault="000F783D" w:rsidP="000F783D">
            <w:pPr>
              <w:pStyle w:val="new-text"/>
              <w:jc w:val="both"/>
              <w:rPr>
                <w:szCs w:val="18"/>
              </w:rPr>
            </w:pPr>
            <w:r w:rsidRPr="005141A3">
              <w:rPr>
                <w:szCs w:val="18"/>
              </w:rPr>
              <w:t>Revised Manuscript</w:t>
            </w:r>
          </w:p>
        </w:tc>
        <w:tc>
          <w:tcPr>
            <w:tcW w:w="6602" w:type="dxa"/>
          </w:tcPr>
          <w:p w14:paraId="125BDA00" w14:textId="77777777" w:rsidR="000F783D" w:rsidRDefault="000009BB" w:rsidP="000F783D">
            <w:pPr>
              <w:pStyle w:val="BodyText3"/>
              <w:rPr>
                <w:szCs w:val="18"/>
              </w:rPr>
            </w:pPr>
            <w:r w:rsidRPr="005141A3">
              <w:rPr>
                <w:szCs w:val="18"/>
              </w:rPr>
              <w:t xml:space="preserve">We used a two hypotheses binomial test to evaluate the statistical significance of the difference in the pseudogene frequency between the </w:t>
            </w:r>
            <w:proofErr w:type="spellStart"/>
            <w:r w:rsidRPr="005141A3">
              <w:rPr>
                <w:szCs w:val="18"/>
              </w:rPr>
              <w:t>telomeric</w:t>
            </w:r>
            <w:proofErr w:type="spellEnd"/>
            <w:r w:rsidRPr="005141A3">
              <w:rPr>
                <w:szCs w:val="18"/>
              </w:rPr>
              <w:t xml:space="preserve"> and the </w:t>
            </w:r>
            <w:proofErr w:type="spellStart"/>
            <w:r w:rsidRPr="005141A3">
              <w:rPr>
                <w:szCs w:val="18"/>
              </w:rPr>
              <w:t>centromeric</w:t>
            </w:r>
            <w:proofErr w:type="spellEnd"/>
            <w:r w:rsidRPr="005141A3">
              <w:rPr>
                <w:szCs w:val="18"/>
              </w:rPr>
              <w:t xml:space="preserve"> regions (Table S1). The first hypothesis is that the pseudogenes are equally distributed at the </w:t>
            </w:r>
            <w:proofErr w:type="spellStart"/>
            <w:r w:rsidRPr="005141A3">
              <w:rPr>
                <w:szCs w:val="18"/>
              </w:rPr>
              <w:t>centromeric</w:t>
            </w:r>
            <w:proofErr w:type="spellEnd"/>
            <w:r w:rsidRPr="005141A3">
              <w:rPr>
                <w:szCs w:val="18"/>
              </w:rPr>
              <w:t xml:space="preserve"> and </w:t>
            </w:r>
            <w:proofErr w:type="spellStart"/>
            <w:r w:rsidRPr="005141A3">
              <w:rPr>
                <w:szCs w:val="18"/>
              </w:rPr>
              <w:t>telomeric</w:t>
            </w:r>
            <w:proofErr w:type="spellEnd"/>
            <w:r w:rsidRPr="005141A3">
              <w:rPr>
                <w:szCs w:val="18"/>
              </w:rPr>
              <w:t xml:space="preserve"> regions. The second hypothesis describes the observed distribution of pseudogenes at in the </w:t>
            </w:r>
            <w:proofErr w:type="spellStart"/>
            <w:r w:rsidRPr="005141A3">
              <w:rPr>
                <w:szCs w:val="18"/>
              </w:rPr>
              <w:t>centromeric</w:t>
            </w:r>
            <w:proofErr w:type="spellEnd"/>
            <w:r w:rsidRPr="005141A3">
              <w:rPr>
                <w:szCs w:val="18"/>
              </w:rPr>
              <w:t xml:space="preserve"> and </w:t>
            </w:r>
            <w:proofErr w:type="spellStart"/>
            <w:r w:rsidRPr="005141A3">
              <w:rPr>
                <w:szCs w:val="18"/>
              </w:rPr>
              <w:t>telomeric</w:t>
            </w:r>
            <w:proofErr w:type="spellEnd"/>
            <w:r w:rsidRPr="005141A3">
              <w:rPr>
                <w:szCs w:val="18"/>
              </w:rPr>
              <w:t xml:space="preserve"> regions. As such, there are two options: “*” – the centromere has more pseudogenes than the telomere; and  “#” – the telomere has more pseudogenes than the centromere. The significance threshold p-value was set to 0.05.</w:t>
            </w:r>
          </w:p>
          <w:p w14:paraId="3DD9BE11" w14:textId="71F90D24" w:rsidR="005C637E" w:rsidRPr="005141A3" w:rsidRDefault="005C637E" w:rsidP="000F783D">
            <w:pPr>
              <w:pStyle w:val="BodyText3"/>
              <w:rPr>
                <w:szCs w:val="18"/>
              </w:rPr>
            </w:pPr>
            <w:r>
              <w:rPr>
                <w:szCs w:val="18"/>
              </w:rPr>
              <w:t>[…] Updated Table S1.1</w:t>
            </w:r>
          </w:p>
        </w:tc>
      </w:tr>
    </w:tbl>
    <w:p w14:paraId="4BE6088C" w14:textId="77777777" w:rsidR="000F783D" w:rsidRPr="005141A3" w:rsidRDefault="000F783D" w:rsidP="000F783D"/>
    <w:p w14:paraId="52E2C337" w14:textId="77777777" w:rsidR="000F783D" w:rsidRPr="005141A3" w:rsidRDefault="000F783D" w:rsidP="000F783D"/>
    <w:p w14:paraId="60680572" w14:textId="58970F8F" w:rsidR="008C1524" w:rsidRPr="005141A3" w:rsidRDefault="008C1524" w:rsidP="008C1524">
      <w:pPr>
        <w:pStyle w:val="Heading3"/>
      </w:pPr>
      <w:r w:rsidRPr="005141A3">
        <w:t>-- Ref1.</w:t>
      </w:r>
      <w:r w:rsidR="0062167B" w:rsidRPr="005141A3">
        <w:t>8</w:t>
      </w:r>
      <w:r w:rsidRPr="005141A3">
        <w:t xml:space="preserve"> – Typos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8C1524" w:rsidRPr="005141A3" w14:paraId="7E55333C" w14:textId="77777777" w:rsidTr="00C02FB9">
        <w:tc>
          <w:tcPr>
            <w:tcW w:w="1728" w:type="dxa"/>
          </w:tcPr>
          <w:p w14:paraId="11A5D8E8" w14:textId="77777777" w:rsidR="008C1524" w:rsidRPr="005141A3" w:rsidRDefault="008C1524" w:rsidP="008C1524">
            <w:pPr>
              <w:pStyle w:val="reviewer"/>
              <w:jc w:val="both"/>
            </w:pPr>
            <w:r w:rsidRPr="005141A3">
              <w:t>Reviewer</w:t>
            </w:r>
          </w:p>
          <w:p w14:paraId="227F04BD" w14:textId="77777777" w:rsidR="008C1524" w:rsidRPr="005141A3" w:rsidRDefault="008C1524" w:rsidP="008C1524">
            <w:pPr>
              <w:pStyle w:val="reviewer"/>
              <w:jc w:val="both"/>
            </w:pPr>
            <w:r w:rsidRPr="005141A3">
              <w:t>Comment</w:t>
            </w:r>
          </w:p>
        </w:tc>
        <w:tc>
          <w:tcPr>
            <w:tcW w:w="6602" w:type="dxa"/>
          </w:tcPr>
          <w:p w14:paraId="7DE592EF" w14:textId="77777777" w:rsidR="008C1524" w:rsidRPr="005141A3" w:rsidRDefault="008C1524" w:rsidP="008C1524">
            <w:pPr>
              <w:autoSpaceDE w:val="0"/>
              <w:autoSpaceDN w:val="0"/>
              <w:adjustRightInd w:val="0"/>
              <w:rPr>
                <w:rFonts w:ascii="Courier New" w:hAnsi="Courier New" w:cs="Courier New"/>
                <w:sz w:val="20"/>
                <w:szCs w:val="20"/>
              </w:rPr>
            </w:pPr>
            <w:r w:rsidRPr="005141A3">
              <w:rPr>
                <w:rFonts w:ascii="Courier New" w:hAnsi="Courier New" w:cs="Courier New"/>
                <w:sz w:val="20"/>
                <w:szCs w:val="20"/>
              </w:rPr>
              <w:t>– Fig S3 – has typo in the labels</w:t>
            </w:r>
          </w:p>
          <w:p w14:paraId="6B42D794" w14:textId="77777777" w:rsidR="008C1524" w:rsidRPr="005141A3" w:rsidRDefault="008C1524" w:rsidP="008C1524">
            <w:pPr>
              <w:autoSpaceDE w:val="0"/>
              <w:autoSpaceDN w:val="0"/>
              <w:adjustRightInd w:val="0"/>
              <w:rPr>
                <w:rFonts w:ascii="Courier New" w:hAnsi="Courier New" w:cs="Courier New"/>
                <w:sz w:val="20"/>
                <w:szCs w:val="20"/>
              </w:rPr>
            </w:pPr>
            <w:proofErr w:type="gramStart"/>
            <w:r w:rsidRPr="005141A3">
              <w:rPr>
                <w:rFonts w:ascii="Courier New" w:hAnsi="Courier New" w:cs="Courier New"/>
                <w:sz w:val="20"/>
                <w:szCs w:val="20"/>
              </w:rPr>
              <w:t>p</w:t>
            </w:r>
            <w:proofErr w:type="gramEnd"/>
            <w:r w:rsidRPr="005141A3">
              <w:rPr>
                <w:rFonts w:ascii="Courier New" w:hAnsi="Courier New" w:cs="Courier New"/>
                <w:sz w:val="20"/>
                <w:szCs w:val="20"/>
              </w:rPr>
              <w:t>.7 of Suppl. Methods – typo in RPKM</w:t>
            </w:r>
          </w:p>
        </w:tc>
      </w:tr>
      <w:tr w:rsidR="008C1524" w:rsidRPr="005141A3" w14:paraId="5EAF6A40" w14:textId="77777777" w:rsidTr="00C02FB9">
        <w:tc>
          <w:tcPr>
            <w:tcW w:w="1728" w:type="dxa"/>
          </w:tcPr>
          <w:p w14:paraId="259B8959" w14:textId="77777777" w:rsidR="008C1524" w:rsidRPr="005141A3" w:rsidRDefault="008C1524" w:rsidP="008C1524">
            <w:pPr>
              <w:pStyle w:val="author"/>
              <w:jc w:val="both"/>
            </w:pPr>
            <w:r w:rsidRPr="005141A3">
              <w:t>Author</w:t>
            </w:r>
          </w:p>
          <w:p w14:paraId="5AF0DB3F" w14:textId="77777777" w:rsidR="008C1524" w:rsidRPr="005141A3" w:rsidRDefault="008C1524" w:rsidP="008C1524">
            <w:pPr>
              <w:pStyle w:val="author"/>
              <w:jc w:val="both"/>
            </w:pPr>
            <w:r w:rsidRPr="005141A3">
              <w:t>Response</w:t>
            </w:r>
          </w:p>
        </w:tc>
        <w:tc>
          <w:tcPr>
            <w:tcW w:w="6602" w:type="dxa"/>
          </w:tcPr>
          <w:p w14:paraId="6517D767" w14:textId="77777777" w:rsidR="008C1524" w:rsidRPr="005141A3" w:rsidRDefault="00323F17" w:rsidP="008C1524">
            <w:pPr>
              <w:pStyle w:val="author"/>
              <w:jc w:val="both"/>
            </w:pPr>
            <w:r w:rsidRPr="005141A3">
              <w:t>We thank the reviewer for pointing out these mistakes. The typos have been corrected in the revised version.</w:t>
            </w:r>
          </w:p>
        </w:tc>
      </w:tr>
      <w:tr w:rsidR="008C1524" w:rsidRPr="005141A3" w14:paraId="6A5F0419" w14:textId="77777777" w:rsidTr="00C02FB9">
        <w:tc>
          <w:tcPr>
            <w:tcW w:w="1728" w:type="dxa"/>
          </w:tcPr>
          <w:p w14:paraId="0A8BFF4E" w14:textId="77777777" w:rsidR="008C1524" w:rsidRPr="005141A3" w:rsidRDefault="008C1524" w:rsidP="008C1524">
            <w:pPr>
              <w:pStyle w:val="new-text"/>
              <w:jc w:val="both"/>
            </w:pPr>
            <w:r w:rsidRPr="005141A3">
              <w:t>Excerpt From</w:t>
            </w:r>
          </w:p>
          <w:p w14:paraId="37CE15F3" w14:textId="77777777" w:rsidR="008C1524" w:rsidRPr="005141A3" w:rsidRDefault="008C1524" w:rsidP="008C1524">
            <w:pPr>
              <w:pStyle w:val="new-text"/>
              <w:jc w:val="both"/>
            </w:pPr>
            <w:r w:rsidRPr="005141A3">
              <w:t>Revised Manuscript</w:t>
            </w:r>
          </w:p>
        </w:tc>
        <w:tc>
          <w:tcPr>
            <w:tcW w:w="6602" w:type="dxa"/>
          </w:tcPr>
          <w:p w14:paraId="782CD11B" w14:textId="77777777" w:rsidR="008C1524" w:rsidRPr="005141A3" w:rsidRDefault="008C1524" w:rsidP="008C1524">
            <w:pPr>
              <w:pStyle w:val="BodyText3"/>
              <w:rPr>
                <w:szCs w:val="18"/>
              </w:rPr>
            </w:pPr>
          </w:p>
        </w:tc>
      </w:tr>
    </w:tbl>
    <w:p w14:paraId="5A2D26B2" w14:textId="77777777" w:rsidR="008C1524" w:rsidRPr="005141A3" w:rsidRDefault="008C1524" w:rsidP="008C1524"/>
    <w:p w14:paraId="11325EEC" w14:textId="77777777" w:rsidR="007F44B1" w:rsidRPr="005141A3" w:rsidRDefault="007F44B1" w:rsidP="000F783D"/>
    <w:p w14:paraId="5470388F" w14:textId="77777777" w:rsidR="008C1524" w:rsidRPr="005141A3" w:rsidRDefault="008C1524" w:rsidP="008C1524">
      <w:pPr>
        <w:pStyle w:val="Heading3"/>
      </w:pPr>
      <w:r w:rsidRPr="005141A3">
        <w:t>-- Ref2 – General Remarks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602"/>
      </w:tblGrid>
      <w:tr w:rsidR="008C1524" w:rsidRPr="005141A3" w14:paraId="687C18E9" w14:textId="77777777" w:rsidTr="00C02FB9">
        <w:tc>
          <w:tcPr>
            <w:tcW w:w="1728" w:type="dxa"/>
          </w:tcPr>
          <w:p w14:paraId="7036A1F5" w14:textId="77777777" w:rsidR="008C1524" w:rsidRPr="005141A3" w:rsidRDefault="008C1524" w:rsidP="008C1524">
            <w:pPr>
              <w:pStyle w:val="reviewer"/>
              <w:jc w:val="both"/>
            </w:pPr>
            <w:r w:rsidRPr="005141A3">
              <w:t>Reviewer</w:t>
            </w:r>
          </w:p>
          <w:p w14:paraId="7AF0364D" w14:textId="77777777" w:rsidR="008C1524" w:rsidRPr="005141A3" w:rsidRDefault="008C1524" w:rsidP="008C1524">
            <w:pPr>
              <w:pStyle w:val="reviewer"/>
              <w:jc w:val="both"/>
            </w:pPr>
            <w:r w:rsidRPr="005141A3">
              <w:t>Comment</w:t>
            </w:r>
          </w:p>
        </w:tc>
        <w:tc>
          <w:tcPr>
            <w:tcW w:w="6602" w:type="dxa"/>
          </w:tcPr>
          <w:p w14:paraId="6C602361" w14:textId="77777777" w:rsidR="00697B29" w:rsidRPr="005141A3" w:rsidRDefault="00697B29" w:rsidP="00697B29">
            <w:pPr>
              <w:autoSpaceDE w:val="0"/>
              <w:autoSpaceDN w:val="0"/>
              <w:adjustRightInd w:val="0"/>
              <w:rPr>
                <w:rFonts w:ascii="Courier New" w:hAnsi="Courier New" w:cs="Courier New"/>
                <w:sz w:val="20"/>
                <w:szCs w:val="20"/>
              </w:rPr>
            </w:pPr>
            <w:r w:rsidRPr="005141A3">
              <w:rPr>
                <w:rFonts w:ascii="Courier New" w:hAnsi="Courier New" w:cs="Courier New"/>
                <w:sz w:val="20"/>
                <w:szCs w:val="20"/>
              </w:rPr>
              <w:t xml:space="preserve">This paper describes a comparative analysis of pseudogenes in several organisms, with emphasis on human, fly, and worm, in light of ENCODE functional genomics data. The analysis is accompanied with a very useful online pseudogene resource, psicube.pseudogenes.org. Interestingly, the authors find that mammalian pseudogenes are more frequent in genes that are highly transcribed, suggesting retrotransposition resulting processed pseudogenes as the main source, while worm and fly pseudogenes are mostly due to duplication. Another interesting analysis involves the categorization of human pseudogenes as "active" and "very active", in light of ENCODE data, and the identification of a subset of human pseudogenes with conserved promoter activity and sequence with respect to the parent genes, suggesting some functional role for these pseudogenes. </w:t>
            </w:r>
          </w:p>
          <w:p w14:paraId="3F3A205F" w14:textId="77777777" w:rsidR="00697B29" w:rsidRPr="005141A3" w:rsidRDefault="00697B29" w:rsidP="00697B29">
            <w:pPr>
              <w:autoSpaceDE w:val="0"/>
              <w:autoSpaceDN w:val="0"/>
              <w:adjustRightInd w:val="0"/>
              <w:rPr>
                <w:rFonts w:ascii="Courier New" w:hAnsi="Courier New" w:cs="Courier New"/>
                <w:sz w:val="20"/>
                <w:szCs w:val="20"/>
              </w:rPr>
            </w:pPr>
          </w:p>
          <w:p w14:paraId="33F8B826" w14:textId="095447D3" w:rsidR="00697B29" w:rsidRPr="005141A3" w:rsidRDefault="00697B29" w:rsidP="00697B29">
            <w:pPr>
              <w:autoSpaceDE w:val="0"/>
              <w:autoSpaceDN w:val="0"/>
              <w:adjustRightInd w:val="0"/>
              <w:rPr>
                <w:rFonts w:ascii="Courier New" w:hAnsi="Courier New" w:cs="Courier New"/>
                <w:sz w:val="20"/>
                <w:szCs w:val="20"/>
              </w:rPr>
            </w:pPr>
            <w:r w:rsidRPr="005141A3">
              <w:rPr>
                <w:rFonts w:ascii="Courier New" w:hAnsi="Courier New" w:cs="Courier New"/>
                <w:sz w:val="20"/>
                <w:szCs w:val="20"/>
              </w:rPr>
              <w:t>Overall, the paper is well written, the analysis is thorough and interesting, the online resource is very useful, and this is a paper of great value to the genomi</w:t>
            </w:r>
            <w:r w:rsidR="00D65EE7" w:rsidRPr="005141A3">
              <w:rPr>
                <w:rFonts w:ascii="Courier New" w:hAnsi="Courier New" w:cs="Courier New"/>
                <w:sz w:val="20"/>
                <w:szCs w:val="20"/>
              </w:rPr>
              <w:t>c</w:t>
            </w:r>
            <w:r w:rsidRPr="005141A3">
              <w:rPr>
                <w:rFonts w:ascii="Courier New" w:hAnsi="Courier New" w:cs="Courier New"/>
                <w:sz w:val="20"/>
                <w:szCs w:val="20"/>
              </w:rPr>
              <w:t xml:space="preserve">s community. </w:t>
            </w:r>
          </w:p>
          <w:p w14:paraId="67BD6943" w14:textId="77777777" w:rsidR="008C1524" w:rsidRPr="005141A3" w:rsidRDefault="008C1524" w:rsidP="008C1524">
            <w:pPr>
              <w:autoSpaceDE w:val="0"/>
              <w:autoSpaceDN w:val="0"/>
              <w:adjustRightInd w:val="0"/>
              <w:rPr>
                <w:rFonts w:ascii="Courier New" w:hAnsi="Courier New" w:cs="Courier New"/>
                <w:sz w:val="20"/>
                <w:szCs w:val="20"/>
              </w:rPr>
            </w:pPr>
          </w:p>
        </w:tc>
      </w:tr>
      <w:tr w:rsidR="008C1524" w:rsidRPr="005141A3" w14:paraId="51FCDA9D" w14:textId="77777777" w:rsidTr="00C02FB9">
        <w:tc>
          <w:tcPr>
            <w:tcW w:w="1728" w:type="dxa"/>
          </w:tcPr>
          <w:p w14:paraId="7BD4A039" w14:textId="77777777" w:rsidR="008C1524" w:rsidRPr="005141A3" w:rsidRDefault="008C1524" w:rsidP="008C1524">
            <w:pPr>
              <w:pStyle w:val="author"/>
              <w:jc w:val="both"/>
            </w:pPr>
            <w:r w:rsidRPr="005141A3">
              <w:t>Author</w:t>
            </w:r>
          </w:p>
          <w:p w14:paraId="27139508" w14:textId="77777777" w:rsidR="008C1524" w:rsidRPr="005141A3" w:rsidRDefault="008C1524" w:rsidP="008C1524">
            <w:pPr>
              <w:pStyle w:val="author"/>
              <w:jc w:val="both"/>
            </w:pPr>
            <w:r w:rsidRPr="005141A3">
              <w:t>Response</w:t>
            </w:r>
          </w:p>
        </w:tc>
        <w:tc>
          <w:tcPr>
            <w:tcW w:w="6602" w:type="dxa"/>
          </w:tcPr>
          <w:p w14:paraId="35492428" w14:textId="77777777" w:rsidR="008C1524" w:rsidRPr="005141A3" w:rsidRDefault="008C1524" w:rsidP="00697B29">
            <w:pPr>
              <w:pStyle w:val="author"/>
              <w:jc w:val="both"/>
            </w:pPr>
            <w:r w:rsidRPr="005141A3">
              <w:t xml:space="preserve">We thank the reviewer for the comments. </w:t>
            </w:r>
          </w:p>
        </w:tc>
      </w:tr>
      <w:tr w:rsidR="008C1524" w:rsidRPr="005141A3" w14:paraId="53641ECE" w14:textId="77777777" w:rsidTr="00C02FB9">
        <w:tc>
          <w:tcPr>
            <w:tcW w:w="1728" w:type="dxa"/>
          </w:tcPr>
          <w:p w14:paraId="6C5B88D5" w14:textId="77777777" w:rsidR="008C1524" w:rsidRPr="005141A3" w:rsidRDefault="008C1524" w:rsidP="008C1524">
            <w:pPr>
              <w:pStyle w:val="new-text"/>
              <w:jc w:val="both"/>
            </w:pPr>
            <w:r w:rsidRPr="005141A3">
              <w:t>Excerpt From</w:t>
            </w:r>
          </w:p>
          <w:p w14:paraId="0E9D3E61" w14:textId="77777777" w:rsidR="008C1524" w:rsidRPr="005141A3" w:rsidRDefault="008C1524" w:rsidP="008C1524">
            <w:pPr>
              <w:pStyle w:val="new-text"/>
              <w:jc w:val="both"/>
            </w:pPr>
            <w:r w:rsidRPr="005141A3">
              <w:t>Revised Manuscript</w:t>
            </w:r>
          </w:p>
        </w:tc>
        <w:tc>
          <w:tcPr>
            <w:tcW w:w="6602" w:type="dxa"/>
          </w:tcPr>
          <w:p w14:paraId="416ED166" w14:textId="77777777" w:rsidR="008C1524" w:rsidRPr="005141A3" w:rsidRDefault="008C1524" w:rsidP="008C1524">
            <w:pPr>
              <w:pStyle w:val="BodyText3"/>
              <w:rPr>
                <w:szCs w:val="18"/>
              </w:rPr>
            </w:pPr>
          </w:p>
        </w:tc>
      </w:tr>
    </w:tbl>
    <w:p w14:paraId="42FE9C21" w14:textId="77777777" w:rsidR="008C1524" w:rsidRPr="005141A3" w:rsidRDefault="008C1524" w:rsidP="008C1524"/>
    <w:p w14:paraId="740C0032" w14:textId="77777777" w:rsidR="00C96892" w:rsidRPr="005141A3" w:rsidRDefault="00C96892" w:rsidP="000F783D"/>
    <w:p w14:paraId="7E5DA657" w14:textId="69C34F7D" w:rsidR="0098035C" w:rsidRPr="005141A3" w:rsidRDefault="0098035C" w:rsidP="0098035C">
      <w:pPr>
        <w:spacing w:after="120"/>
        <w:rPr>
          <w:b/>
          <w:sz w:val="28"/>
          <w:szCs w:val="28"/>
        </w:rPr>
      </w:pPr>
      <w:r w:rsidRPr="005141A3">
        <w:rPr>
          <w:b/>
          <w:sz w:val="28"/>
          <w:szCs w:val="28"/>
        </w:rPr>
        <w:t>References</w:t>
      </w:r>
    </w:p>
    <w:p w14:paraId="018E4D00" w14:textId="1A06E8F7" w:rsidR="00E24B0C" w:rsidRPr="005141A3" w:rsidRDefault="00C96892" w:rsidP="00E24B0C">
      <w:pPr>
        <w:tabs>
          <w:tab w:val="left" w:pos="426"/>
        </w:tabs>
        <w:spacing w:after="120"/>
      </w:pPr>
      <w:r w:rsidRPr="005141A3">
        <w:fldChar w:fldCharType="begin"/>
      </w:r>
      <w:r w:rsidR="00E24B0C" w:rsidRPr="005141A3">
        <w:instrText xml:space="preserve"> ADDIN bibliography{bib_file:Full-bib31Dec2013.bib;bib_template:/Users/Cristina/Documents/Structure-Grant-MG2011/BDtW-Templates/BDtW-BibliographyTemplateCristinaPNAS.doc;citep_template:/Users/Cristina/Library/Application Support/BibDesk/Templates/BDtW-NumberedBracketedCite.txt;citet_template:/Users/Cristina/Library/Application Support/BibDesk/Templates/BDtW-NumberedBracketedCiteT.txt;ref_order:Appearance}</w:instrText>
      </w:r>
      <w:r w:rsidRPr="005141A3">
        <w:fldChar w:fldCharType="separate"/>
      </w:r>
      <w:r w:rsidR="00E24B0C" w:rsidRPr="005141A3">
        <w:t>1.</w:t>
      </w:r>
      <w:r w:rsidR="00E24B0C" w:rsidRPr="005141A3">
        <w:tab/>
        <w:t xml:space="preserve">Pei, B. et al. (2012) The GENCODE pseudogene resource. </w:t>
      </w:r>
      <w:r w:rsidR="00E24B0C" w:rsidRPr="005141A3">
        <w:rPr>
          <w:i/>
        </w:rPr>
        <w:t>Genome Biol</w:t>
      </w:r>
      <w:r w:rsidR="00E24B0C" w:rsidRPr="005141A3">
        <w:t xml:space="preserve"> </w:t>
      </w:r>
      <w:r w:rsidR="00E24B0C" w:rsidRPr="005141A3">
        <w:rPr>
          <w:b/>
        </w:rPr>
        <w:t>13</w:t>
      </w:r>
      <w:r w:rsidR="00E24B0C" w:rsidRPr="005141A3">
        <w:t>:R51.</w:t>
      </w:r>
      <w:r w:rsidR="00E24B0C" w:rsidRPr="005141A3">
        <w:cr/>
        <w:t>2.</w:t>
      </w:r>
      <w:r w:rsidR="00E24B0C" w:rsidRPr="005141A3">
        <w:tab/>
        <w:t xml:space="preserve">Mariotti, M. &amp; Guigó, R. (2010) Selenoprofiles: profile-based scanning of eukaryotic genome sequences for selenoprotein genes. </w:t>
      </w:r>
      <w:r w:rsidR="00E24B0C" w:rsidRPr="005141A3">
        <w:rPr>
          <w:i/>
        </w:rPr>
        <w:t>Bioinformatics</w:t>
      </w:r>
      <w:r w:rsidR="00E24B0C" w:rsidRPr="005141A3">
        <w:t xml:space="preserve"> </w:t>
      </w:r>
      <w:r w:rsidR="00E24B0C" w:rsidRPr="005141A3">
        <w:rPr>
          <w:b/>
        </w:rPr>
        <w:t>26</w:t>
      </w:r>
      <w:r w:rsidR="00E24B0C" w:rsidRPr="005141A3">
        <w:t>:2656-63.</w:t>
      </w:r>
      <w:r w:rsidR="00E24B0C" w:rsidRPr="005141A3">
        <w:cr/>
        <w:t>3.</w:t>
      </w:r>
      <w:r w:rsidR="00E24B0C" w:rsidRPr="005141A3">
        <w:tab/>
        <w:t xml:space="preserve">Zheng, D. &amp; Gerstein, M. B. (2007) The ambiguous boundary between genes and pseudogenes: the dead rise up, or do they? </w:t>
      </w:r>
      <w:r w:rsidR="00E24B0C" w:rsidRPr="005141A3">
        <w:rPr>
          <w:i/>
        </w:rPr>
        <w:t>Trends Genet</w:t>
      </w:r>
      <w:r w:rsidR="00E24B0C" w:rsidRPr="005141A3">
        <w:t xml:space="preserve"> </w:t>
      </w:r>
      <w:r w:rsidR="00E24B0C" w:rsidRPr="005141A3">
        <w:rPr>
          <w:b/>
        </w:rPr>
        <w:t>23</w:t>
      </w:r>
      <w:r w:rsidR="00E24B0C" w:rsidRPr="005141A3">
        <w:t>:219-24.</w:t>
      </w:r>
      <w:r w:rsidR="00E24B0C" w:rsidRPr="005141A3">
        <w:cr/>
        <w:t>4.</w:t>
      </w:r>
      <w:r w:rsidR="00E24B0C" w:rsidRPr="005141A3">
        <w:tab/>
        <w:t xml:space="preserve">Snyder, M. &amp; Gerstein, M. (2003) Genomics. Defining genes in the genomics era. </w:t>
      </w:r>
      <w:r w:rsidR="00E24B0C" w:rsidRPr="005141A3">
        <w:rPr>
          <w:i/>
        </w:rPr>
        <w:t>Science</w:t>
      </w:r>
      <w:r w:rsidR="00E24B0C" w:rsidRPr="005141A3">
        <w:t xml:space="preserve"> </w:t>
      </w:r>
      <w:r w:rsidR="00E24B0C" w:rsidRPr="005141A3">
        <w:rPr>
          <w:b/>
        </w:rPr>
        <w:t>300</w:t>
      </w:r>
      <w:r w:rsidR="00E24B0C" w:rsidRPr="005141A3">
        <w:t>:258-60.</w:t>
      </w:r>
      <w:r w:rsidR="00E24B0C" w:rsidRPr="005141A3">
        <w:cr/>
        <w:t>5.</w:t>
      </w:r>
      <w:r w:rsidR="00E24B0C" w:rsidRPr="005141A3">
        <w:tab/>
        <w:t xml:space="preserve">Sasidharan, R. &amp; Gerstein, M. (2008) Genomics: protein fossils live on as RNA. </w:t>
      </w:r>
      <w:r w:rsidR="00E24B0C" w:rsidRPr="005141A3">
        <w:rPr>
          <w:i/>
        </w:rPr>
        <w:t>Nature</w:t>
      </w:r>
      <w:r w:rsidR="00E24B0C" w:rsidRPr="005141A3">
        <w:t xml:space="preserve"> </w:t>
      </w:r>
      <w:r w:rsidR="00E24B0C" w:rsidRPr="005141A3">
        <w:rPr>
          <w:b/>
        </w:rPr>
        <w:t>453</w:t>
      </w:r>
      <w:r w:rsidR="00E24B0C" w:rsidRPr="005141A3">
        <w:t>:729--731.</w:t>
      </w:r>
    </w:p>
    <w:p w14:paraId="3CB868EB" w14:textId="010D76FA" w:rsidR="008C1524" w:rsidRPr="005141A3" w:rsidRDefault="00C96892" w:rsidP="000F783D">
      <w:r w:rsidRPr="005141A3">
        <w:fldChar w:fldCharType="end"/>
      </w:r>
    </w:p>
    <w:bookmarkEnd w:id="0"/>
    <w:bookmarkEnd w:id="1"/>
    <w:sectPr w:rsidR="008C1524" w:rsidRPr="005141A3" w:rsidSect="00712013">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SimSun">
    <w:altName w:val="宋体"/>
    <w:charset w:val="86"/>
    <w:family w:val="auto"/>
    <w:pitch w:val="variable"/>
    <w:sig w:usb0="00000003" w:usb1="080E0000" w:usb2="00000010" w:usb3="00000000" w:csb0="0004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New">
    <w:panose1 w:val="020703090202050204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83D"/>
    <w:rsid w:val="000009BB"/>
    <w:rsid w:val="00020C6C"/>
    <w:rsid w:val="0008053C"/>
    <w:rsid w:val="00095B57"/>
    <w:rsid w:val="000975B4"/>
    <w:rsid w:val="000F783D"/>
    <w:rsid w:val="00151E4D"/>
    <w:rsid w:val="002B1127"/>
    <w:rsid w:val="00307975"/>
    <w:rsid w:val="00323F17"/>
    <w:rsid w:val="00351751"/>
    <w:rsid w:val="003C77FD"/>
    <w:rsid w:val="00404CA8"/>
    <w:rsid w:val="004122E3"/>
    <w:rsid w:val="00432D0A"/>
    <w:rsid w:val="004D73BF"/>
    <w:rsid w:val="00506362"/>
    <w:rsid w:val="005141A3"/>
    <w:rsid w:val="005905E9"/>
    <w:rsid w:val="0059232B"/>
    <w:rsid w:val="005B5452"/>
    <w:rsid w:val="005C637E"/>
    <w:rsid w:val="005F6CF1"/>
    <w:rsid w:val="0062167B"/>
    <w:rsid w:val="00694330"/>
    <w:rsid w:val="00697B29"/>
    <w:rsid w:val="006C5E91"/>
    <w:rsid w:val="00712013"/>
    <w:rsid w:val="007B5C57"/>
    <w:rsid w:val="007D2204"/>
    <w:rsid w:val="007F44B1"/>
    <w:rsid w:val="0081391C"/>
    <w:rsid w:val="008249E3"/>
    <w:rsid w:val="00880611"/>
    <w:rsid w:val="008C1524"/>
    <w:rsid w:val="008F7B63"/>
    <w:rsid w:val="00913A29"/>
    <w:rsid w:val="0098035C"/>
    <w:rsid w:val="009B1F3E"/>
    <w:rsid w:val="00AB7553"/>
    <w:rsid w:val="00AC2AF0"/>
    <w:rsid w:val="00AE6462"/>
    <w:rsid w:val="00BC7F34"/>
    <w:rsid w:val="00BD03A2"/>
    <w:rsid w:val="00C02FB9"/>
    <w:rsid w:val="00C32A85"/>
    <w:rsid w:val="00C96892"/>
    <w:rsid w:val="00D65EE7"/>
    <w:rsid w:val="00DA7A58"/>
    <w:rsid w:val="00DD71AE"/>
    <w:rsid w:val="00DE185D"/>
    <w:rsid w:val="00DE307F"/>
    <w:rsid w:val="00E24B0C"/>
    <w:rsid w:val="00E86428"/>
    <w:rsid w:val="00E954E9"/>
    <w:rsid w:val="00E97841"/>
    <w:rsid w:val="00EC79D1"/>
    <w:rsid w:val="00EE5B39"/>
    <w:rsid w:val="00F54AE0"/>
    <w:rsid w:val="00F778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91D6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D"/>
    <w:rPr>
      <w:rFonts w:ascii="Times New Roman" w:eastAsia="SimSun" w:hAnsi="Times New Roman" w:cs="Times New Roman"/>
      <w:lang w:val="en-US" w:eastAsia="zh-CN"/>
    </w:rPr>
  </w:style>
  <w:style w:type="paragraph" w:styleId="Heading1">
    <w:name w:val="heading 1"/>
    <w:basedOn w:val="Normal"/>
    <w:next w:val="Heading3"/>
    <w:link w:val="Heading1Char1"/>
    <w:qFormat/>
    <w:rsid w:val="000F783D"/>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link w:val="Heading2Char"/>
    <w:uiPriority w:val="9"/>
    <w:semiHidden/>
    <w:unhideWhenUsed/>
    <w:qFormat/>
    <w:rsid w:val="000F78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qFormat/>
    <w:rsid w:val="000F783D"/>
    <w:pPr>
      <w:keepLines w:val="0"/>
      <w:spacing w:before="120" w:after="120"/>
      <w:jc w:val="center"/>
      <w:outlineLvl w:val="2"/>
    </w:pPr>
    <w:rPr>
      <w:rFonts w:ascii="Arial" w:eastAsia="Times New Roman" w:hAnsi="Arial" w:cs="Times New Roman"/>
      <w:bCs w:val="0"/>
      <w:color w:val="auto"/>
      <w:kern w:val="28"/>
      <w:sz w:val="28"/>
      <w:szCs w:val="20"/>
      <w:lang w:eastAsia="en-US"/>
    </w:rPr>
  </w:style>
  <w:style w:type="paragraph" w:styleId="Heading4">
    <w:name w:val="heading 4"/>
    <w:basedOn w:val="Normal"/>
    <w:next w:val="Normal"/>
    <w:link w:val="Heading4Char"/>
    <w:uiPriority w:val="9"/>
    <w:semiHidden/>
    <w:unhideWhenUsed/>
    <w:qFormat/>
    <w:rsid w:val="000F78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table" w:styleId="TableGrid">
    <w:name w:val="Table Grid"/>
    <w:basedOn w:val="TableNormal"/>
    <w:uiPriority w:val="59"/>
    <w:rsid w:val="000F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0F783D"/>
    <w:rPr>
      <w:rFonts w:asciiTheme="majorHAnsi" w:eastAsiaTheme="majorEastAsia" w:hAnsiTheme="majorHAnsi" w:cstheme="majorBidi"/>
      <w:b/>
      <w:bCs/>
      <w:color w:val="345A8A" w:themeColor="accent1" w:themeShade="B5"/>
      <w:sz w:val="32"/>
      <w:szCs w:val="32"/>
      <w:lang w:val="en-US" w:eastAsia="zh-CN"/>
    </w:rPr>
  </w:style>
  <w:style w:type="character" w:customStyle="1" w:styleId="Heading3Char">
    <w:name w:val="Heading 3 Char"/>
    <w:aliases w:val="headline Char,OH Char,3 Char,heading 3 Char"/>
    <w:basedOn w:val="DefaultParagraphFont"/>
    <w:link w:val="Heading3"/>
    <w:rsid w:val="000F783D"/>
    <w:rPr>
      <w:rFonts w:ascii="Arial" w:eastAsia="Times New Roman" w:hAnsi="Arial" w:cs="Times New Roman"/>
      <w:b/>
      <w:kern w:val="28"/>
      <w:sz w:val="28"/>
      <w:szCs w:val="20"/>
      <w:lang w:val="en-US"/>
    </w:rPr>
  </w:style>
  <w:style w:type="paragraph" w:customStyle="1" w:styleId="reviewer">
    <w:name w:val="reviewer"/>
    <w:aliases w:val="re"/>
    <w:basedOn w:val="Normal"/>
    <w:rsid w:val="000F783D"/>
    <w:rPr>
      <w:rFonts w:ascii="Courier New" w:eastAsia="Times New Roman" w:hAnsi="Courier New"/>
      <w:sz w:val="20"/>
      <w:szCs w:val="20"/>
      <w:lang w:eastAsia="en-US"/>
    </w:rPr>
  </w:style>
  <w:style w:type="paragraph" w:customStyle="1" w:styleId="author">
    <w:name w:val="author"/>
    <w:aliases w:val="au"/>
    <w:basedOn w:val="Normal"/>
    <w:rsid w:val="000F783D"/>
    <w:rPr>
      <w:rFonts w:ascii="Arial" w:eastAsia="Times New Roman" w:hAnsi="Arial"/>
      <w:szCs w:val="20"/>
      <w:lang w:eastAsia="en-US"/>
    </w:rPr>
  </w:style>
  <w:style w:type="paragraph" w:customStyle="1" w:styleId="new-text">
    <w:name w:val="new-text"/>
    <w:basedOn w:val="Normal"/>
    <w:rsid w:val="000F783D"/>
    <w:rPr>
      <w:rFonts w:eastAsia="Times New Roman"/>
      <w:sz w:val="18"/>
      <w:szCs w:val="20"/>
      <w:lang w:eastAsia="en-US"/>
    </w:rPr>
  </w:style>
  <w:style w:type="paragraph" w:styleId="BodyText3">
    <w:name w:val="Body Text 3"/>
    <w:basedOn w:val="Normal"/>
    <w:link w:val="BodyText3Char"/>
    <w:rsid w:val="000F783D"/>
    <w:pPr>
      <w:jc w:val="both"/>
    </w:pPr>
    <w:rPr>
      <w:rFonts w:eastAsia="Times New Roman"/>
      <w:sz w:val="18"/>
      <w:lang w:eastAsia="en-US"/>
    </w:rPr>
  </w:style>
  <w:style w:type="character" w:customStyle="1" w:styleId="BodyText3Char">
    <w:name w:val="Body Text 3 Char"/>
    <w:basedOn w:val="DefaultParagraphFont"/>
    <w:link w:val="BodyText3"/>
    <w:rsid w:val="000F783D"/>
    <w:rPr>
      <w:rFonts w:ascii="Times New Roman" w:eastAsia="Times New Roman" w:hAnsi="Times New Roman" w:cs="Times New Roman"/>
      <w:sz w:val="18"/>
      <w:lang w:val="en-US"/>
    </w:rPr>
  </w:style>
  <w:style w:type="character" w:customStyle="1" w:styleId="Heading1Char1">
    <w:name w:val="Heading 1 Char1"/>
    <w:link w:val="Heading1"/>
    <w:rsid w:val="000F783D"/>
    <w:rPr>
      <w:rFonts w:ascii="Arial" w:eastAsia="Times New Roman" w:hAnsi="Arial" w:cs="Times New Roman"/>
      <w:b/>
      <w:smallCaps/>
      <w:kern w:val="28"/>
      <w:sz w:val="36"/>
      <w:szCs w:val="20"/>
      <w:lang w:val="en-US"/>
    </w:rPr>
  </w:style>
  <w:style w:type="character" w:customStyle="1" w:styleId="Heading2Char">
    <w:name w:val="Heading 2 Char"/>
    <w:basedOn w:val="DefaultParagraphFont"/>
    <w:link w:val="Heading2"/>
    <w:uiPriority w:val="9"/>
    <w:semiHidden/>
    <w:rsid w:val="000F783D"/>
    <w:rPr>
      <w:rFonts w:asciiTheme="majorHAnsi" w:eastAsiaTheme="majorEastAsia" w:hAnsiTheme="majorHAnsi" w:cstheme="majorBidi"/>
      <w:b/>
      <w:bCs/>
      <w:color w:val="4F81BD" w:themeColor="accent1"/>
      <w:sz w:val="26"/>
      <w:szCs w:val="26"/>
      <w:lang w:val="en-US" w:eastAsia="zh-CN"/>
    </w:rPr>
  </w:style>
  <w:style w:type="character" w:customStyle="1" w:styleId="Heading4Char">
    <w:name w:val="Heading 4 Char"/>
    <w:basedOn w:val="DefaultParagraphFont"/>
    <w:link w:val="Heading4"/>
    <w:uiPriority w:val="9"/>
    <w:semiHidden/>
    <w:rsid w:val="000F783D"/>
    <w:rPr>
      <w:rFonts w:asciiTheme="majorHAnsi" w:eastAsiaTheme="majorEastAsia" w:hAnsiTheme="majorHAnsi" w:cstheme="majorBidi"/>
      <w:b/>
      <w:bCs/>
      <w:i/>
      <w:iCs/>
      <w:color w:val="4F81BD" w:themeColor="accent1"/>
      <w:lang w:val="en-US" w:eastAsia="zh-CN"/>
    </w:rPr>
  </w:style>
  <w:style w:type="paragraph" w:styleId="NormalWeb">
    <w:name w:val="Normal (Web)"/>
    <w:basedOn w:val="Normal"/>
    <w:uiPriority w:val="99"/>
    <w:unhideWhenUsed/>
    <w:rsid w:val="008F7B63"/>
    <w:pPr>
      <w:spacing w:before="100" w:beforeAutospacing="1" w:after="100" w:afterAutospacing="1"/>
    </w:pPr>
    <w:rPr>
      <w:rFonts w:ascii="Times" w:eastAsiaTheme="minorEastAsia" w:hAnsi="Times"/>
      <w:sz w:val="20"/>
      <w:szCs w:val="20"/>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83D"/>
    <w:rPr>
      <w:rFonts w:ascii="Times New Roman" w:eastAsia="SimSun" w:hAnsi="Times New Roman" w:cs="Times New Roman"/>
      <w:lang w:val="en-US" w:eastAsia="zh-CN"/>
    </w:rPr>
  </w:style>
  <w:style w:type="paragraph" w:styleId="Heading1">
    <w:name w:val="heading 1"/>
    <w:basedOn w:val="Normal"/>
    <w:next w:val="Heading3"/>
    <w:link w:val="Heading1Char1"/>
    <w:qFormat/>
    <w:rsid w:val="000F783D"/>
    <w:pPr>
      <w:keepNext/>
      <w:jc w:val="center"/>
      <w:outlineLvl w:val="0"/>
    </w:pPr>
    <w:rPr>
      <w:rFonts w:ascii="Arial" w:eastAsia="Times New Roman" w:hAnsi="Arial"/>
      <w:b/>
      <w:smallCaps/>
      <w:kern w:val="28"/>
      <w:sz w:val="36"/>
      <w:szCs w:val="20"/>
      <w:lang w:eastAsia="en-US"/>
    </w:rPr>
  </w:style>
  <w:style w:type="paragraph" w:styleId="Heading2">
    <w:name w:val="heading 2"/>
    <w:basedOn w:val="Normal"/>
    <w:next w:val="Normal"/>
    <w:link w:val="Heading2Char"/>
    <w:uiPriority w:val="9"/>
    <w:semiHidden/>
    <w:unhideWhenUsed/>
    <w:qFormat/>
    <w:rsid w:val="000F78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line,OH,3,heading 3"/>
    <w:basedOn w:val="Heading2"/>
    <w:next w:val="Heading4"/>
    <w:link w:val="Heading3Char"/>
    <w:qFormat/>
    <w:rsid w:val="000F783D"/>
    <w:pPr>
      <w:keepLines w:val="0"/>
      <w:spacing w:before="120" w:after="120"/>
      <w:jc w:val="center"/>
      <w:outlineLvl w:val="2"/>
    </w:pPr>
    <w:rPr>
      <w:rFonts w:ascii="Arial" w:eastAsia="Times New Roman" w:hAnsi="Arial" w:cs="Times New Roman"/>
      <w:bCs w:val="0"/>
      <w:color w:val="auto"/>
      <w:kern w:val="28"/>
      <w:sz w:val="28"/>
      <w:szCs w:val="20"/>
      <w:lang w:eastAsia="en-US"/>
    </w:rPr>
  </w:style>
  <w:style w:type="paragraph" w:styleId="Heading4">
    <w:name w:val="heading 4"/>
    <w:basedOn w:val="Normal"/>
    <w:next w:val="Normal"/>
    <w:link w:val="Heading4Char"/>
    <w:uiPriority w:val="9"/>
    <w:semiHidden/>
    <w:unhideWhenUsed/>
    <w:qFormat/>
    <w:rsid w:val="000F783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391C"/>
    <w:rPr>
      <w:rFonts w:ascii="Lucida Grande" w:eastAsiaTheme="minorEastAsia" w:hAnsi="Lucida Grande" w:cs="Lucida Grande"/>
      <w:sz w:val="18"/>
      <w:szCs w:val="18"/>
      <w:lang w:val="en-GB" w:eastAsia="en-US"/>
    </w:rPr>
  </w:style>
  <w:style w:type="character" w:customStyle="1" w:styleId="BalloonTextChar">
    <w:name w:val="Balloon Text Char"/>
    <w:basedOn w:val="DefaultParagraphFont"/>
    <w:link w:val="BalloonText"/>
    <w:uiPriority w:val="99"/>
    <w:semiHidden/>
    <w:rsid w:val="0081391C"/>
    <w:rPr>
      <w:rFonts w:ascii="Lucida Grande" w:hAnsi="Lucida Grande" w:cs="Lucida Grande"/>
      <w:sz w:val="18"/>
      <w:szCs w:val="18"/>
    </w:rPr>
  </w:style>
  <w:style w:type="table" w:styleId="TableGrid">
    <w:name w:val="Table Grid"/>
    <w:basedOn w:val="TableNormal"/>
    <w:uiPriority w:val="59"/>
    <w:rsid w:val="000F78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uiPriority w:val="9"/>
    <w:rsid w:val="000F783D"/>
    <w:rPr>
      <w:rFonts w:asciiTheme="majorHAnsi" w:eastAsiaTheme="majorEastAsia" w:hAnsiTheme="majorHAnsi" w:cstheme="majorBidi"/>
      <w:b/>
      <w:bCs/>
      <w:color w:val="345A8A" w:themeColor="accent1" w:themeShade="B5"/>
      <w:sz w:val="32"/>
      <w:szCs w:val="32"/>
      <w:lang w:val="en-US" w:eastAsia="zh-CN"/>
    </w:rPr>
  </w:style>
  <w:style w:type="character" w:customStyle="1" w:styleId="Heading3Char">
    <w:name w:val="Heading 3 Char"/>
    <w:aliases w:val="headline Char,OH Char,3 Char,heading 3 Char"/>
    <w:basedOn w:val="DefaultParagraphFont"/>
    <w:link w:val="Heading3"/>
    <w:rsid w:val="000F783D"/>
    <w:rPr>
      <w:rFonts w:ascii="Arial" w:eastAsia="Times New Roman" w:hAnsi="Arial" w:cs="Times New Roman"/>
      <w:b/>
      <w:kern w:val="28"/>
      <w:sz w:val="28"/>
      <w:szCs w:val="20"/>
      <w:lang w:val="en-US"/>
    </w:rPr>
  </w:style>
  <w:style w:type="paragraph" w:customStyle="1" w:styleId="reviewer">
    <w:name w:val="reviewer"/>
    <w:aliases w:val="re"/>
    <w:basedOn w:val="Normal"/>
    <w:rsid w:val="000F783D"/>
    <w:rPr>
      <w:rFonts w:ascii="Courier New" w:eastAsia="Times New Roman" w:hAnsi="Courier New"/>
      <w:sz w:val="20"/>
      <w:szCs w:val="20"/>
      <w:lang w:eastAsia="en-US"/>
    </w:rPr>
  </w:style>
  <w:style w:type="paragraph" w:customStyle="1" w:styleId="author">
    <w:name w:val="author"/>
    <w:aliases w:val="au"/>
    <w:basedOn w:val="Normal"/>
    <w:rsid w:val="000F783D"/>
    <w:rPr>
      <w:rFonts w:ascii="Arial" w:eastAsia="Times New Roman" w:hAnsi="Arial"/>
      <w:szCs w:val="20"/>
      <w:lang w:eastAsia="en-US"/>
    </w:rPr>
  </w:style>
  <w:style w:type="paragraph" w:customStyle="1" w:styleId="new-text">
    <w:name w:val="new-text"/>
    <w:basedOn w:val="Normal"/>
    <w:rsid w:val="000F783D"/>
    <w:rPr>
      <w:rFonts w:eastAsia="Times New Roman"/>
      <w:sz w:val="18"/>
      <w:szCs w:val="20"/>
      <w:lang w:eastAsia="en-US"/>
    </w:rPr>
  </w:style>
  <w:style w:type="paragraph" w:styleId="BodyText3">
    <w:name w:val="Body Text 3"/>
    <w:basedOn w:val="Normal"/>
    <w:link w:val="BodyText3Char"/>
    <w:rsid w:val="000F783D"/>
    <w:pPr>
      <w:jc w:val="both"/>
    </w:pPr>
    <w:rPr>
      <w:rFonts w:eastAsia="Times New Roman"/>
      <w:sz w:val="18"/>
      <w:lang w:eastAsia="en-US"/>
    </w:rPr>
  </w:style>
  <w:style w:type="character" w:customStyle="1" w:styleId="BodyText3Char">
    <w:name w:val="Body Text 3 Char"/>
    <w:basedOn w:val="DefaultParagraphFont"/>
    <w:link w:val="BodyText3"/>
    <w:rsid w:val="000F783D"/>
    <w:rPr>
      <w:rFonts w:ascii="Times New Roman" w:eastAsia="Times New Roman" w:hAnsi="Times New Roman" w:cs="Times New Roman"/>
      <w:sz w:val="18"/>
      <w:lang w:val="en-US"/>
    </w:rPr>
  </w:style>
  <w:style w:type="character" w:customStyle="1" w:styleId="Heading1Char1">
    <w:name w:val="Heading 1 Char1"/>
    <w:link w:val="Heading1"/>
    <w:rsid w:val="000F783D"/>
    <w:rPr>
      <w:rFonts w:ascii="Arial" w:eastAsia="Times New Roman" w:hAnsi="Arial" w:cs="Times New Roman"/>
      <w:b/>
      <w:smallCaps/>
      <w:kern w:val="28"/>
      <w:sz w:val="36"/>
      <w:szCs w:val="20"/>
      <w:lang w:val="en-US"/>
    </w:rPr>
  </w:style>
  <w:style w:type="character" w:customStyle="1" w:styleId="Heading2Char">
    <w:name w:val="Heading 2 Char"/>
    <w:basedOn w:val="DefaultParagraphFont"/>
    <w:link w:val="Heading2"/>
    <w:uiPriority w:val="9"/>
    <w:semiHidden/>
    <w:rsid w:val="000F783D"/>
    <w:rPr>
      <w:rFonts w:asciiTheme="majorHAnsi" w:eastAsiaTheme="majorEastAsia" w:hAnsiTheme="majorHAnsi" w:cstheme="majorBidi"/>
      <w:b/>
      <w:bCs/>
      <w:color w:val="4F81BD" w:themeColor="accent1"/>
      <w:sz w:val="26"/>
      <w:szCs w:val="26"/>
      <w:lang w:val="en-US" w:eastAsia="zh-CN"/>
    </w:rPr>
  </w:style>
  <w:style w:type="character" w:customStyle="1" w:styleId="Heading4Char">
    <w:name w:val="Heading 4 Char"/>
    <w:basedOn w:val="DefaultParagraphFont"/>
    <w:link w:val="Heading4"/>
    <w:uiPriority w:val="9"/>
    <w:semiHidden/>
    <w:rsid w:val="000F783D"/>
    <w:rPr>
      <w:rFonts w:asciiTheme="majorHAnsi" w:eastAsiaTheme="majorEastAsia" w:hAnsiTheme="majorHAnsi" w:cstheme="majorBidi"/>
      <w:b/>
      <w:bCs/>
      <w:i/>
      <w:iCs/>
      <w:color w:val="4F81BD" w:themeColor="accent1"/>
      <w:lang w:val="en-US" w:eastAsia="zh-CN"/>
    </w:rPr>
  </w:style>
  <w:style w:type="paragraph" w:styleId="NormalWeb">
    <w:name w:val="Normal (Web)"/>
    <w:basedOn w:val="Normal"/>
    <w:uiPriority w:val="99"/>
    <w:unhideWhenUsed/>
    <w:rsid w:val="008F7B63"/>
    <w:pPr>
      <w:spacing w:before="100" w:beforeAutospacing="1" w:after="100" w:afterAutospacing="1"/>
    </w:pPr>
    <w:rPr>
      <w:rFonts w:ascii="Times" w:eastAsiaTheme="minorEastAsia" w:hAnsi="Times"/>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00126">
      <w:bodyDiv w:val="1"/>
      <w:marLeft w:val="0"/>
      <w:marRight w:val="0"/>
      <w:marTop w:val="0"/>
      <w:marBottom w:val="0"/>
      <w:divBdr>
        <w:top w:val="none" w:sz="0" w:space="0" w:color="auto"/>
        <w:left w:val="none" w:sz="0" w:space="0" w:color="auto"/>
        <w:bottom w:val="none" w:sz="0" w:space="0" w:color="auto"/>
        <w:right w:val="none" w:sz="0" w:space="0" w:color="auto"/>
      </w:divBdr>
    </w:div>
    <w:div w:id="380058657">
      <w:bodyDiv w:val="1"/>
      <w:marLeft w:val="0"/>
      <w:marRight w:val="0"/>
      <w:marTop w:val="0"/>
      <w:marBottom w:val="0"/>
      <w:divBdr>
        <w:top w:val="none" w:sz="0" w:space="0" w:color="auto"/>
        <w:left w:val="none" w:sz="0" w:space="0" w:color="auto"/>
        <w:bottom w:val="none" w:sz="0" w:space="0" w:color="auto"/>
        <w:right w:val="none" w:sz="0" w:space="0" w:color="auto"/>
      </w:divBdr>
    </w:div>
    <w:div w:id="400565292">
      <w:bodyDiv w:val="1"/>
      <w:marLeft w:val="0"/>
      <w:marRight w:val="0"/>
      <w:marTop w:val="0"/>
      <w:marBottom w:val="0"/>
      <w:divBdr>
        <w:top w:val="none" w:sz="0" w:space="0" w:color="auto"/>
        <w:left w:val="none" w:sz="0" w:space="0" w:color="auto"/>
        <w:bottom w:val="none" w:sz="0" w:space="0" w:color="auto"/>
        <w:right w:val="none" w:sz="0" w:space="0" w:color="auto"/>
      </w:divBdr>
    </w:div>
    <w:div w:id="1152716672">
      <w:bodyDiv w:val="1"/>
      <w:marLeft w:val="0"/>
      <w:marRight w:val="0"/>
      <w:marTop w:val="0"/>
      <w:marBottom w:val="0"/>
      <w:divBdr>
        <w:top w:val="none" w:sz="0" w:space="0" w:color="auto"/>
        <w:left w:val="none" w:sz="0" w:space="0" w:color="auto"/>
        <w:bottom w:val="none" w:sz="0" w:space="0" w:color="auto"/>
        <w:right w:val="none" w:sz="0" w:space="0" w:color="auto"/>
      </w:divBdr>
    </w:div>
    <w:div w:id="1629120081">
      <w:bodyDiv w:val="1"/>
      <w:marLeft w:val="0"/>
      <w:marRight w:val="0"/>
      <w:marTop w:val="0"/>
      <w:marBottom w:val="0"/>
      <w:divBdr>
        <w:top w:val="none" w:sz="0" w:space="0" w:color="auto"/>
        <w:left w:val="none" w:sz="0" w:space="0" w:color="auto"/>
        <w:bottom w:val="none" w:sz="0" w:space="0" w:color="auto"/>
        <w:right w:val="none" w:sz="0" w:space="0" w:color="auto"/>
      </w:divBdr>
    </w:div>
    <w:div w:id="1647276113">
      <w:bodyDiv w:val="1"/>
      <w:marLeft w:val="0"/>
      <w:marRight w:val="0"/>
      <w:marTop w:val="0"/>
      <w:marBottom w:val="0"/>
      <w:divBdr>
        <w:top w:val="none" w:sz="0" w:space="0" w:color="auto"/>
        <w:left w:val="none" w:sz="0" w:space="0" w:color="auto"/>
        <w:bottom w:val="none" w:sz="0" w:space="0" w:color="auto"/>
        <w:right w:val="none" w:sz="0" w:space="0" w:color="auto"/>
      </w:divBdr>
    </w:div>
    <w:div w:id="1678344158">
      <w:bodyDiv w:val="1"/>
      <w:marLeft w:val="0"/>
      <w:marRight w:val="0"/>
      <w:marTop w:val="0"/>
      <w:marBottom w:val="0"/>
      <w:divBdr>
        <w:top w:val="none" w:sz="0" w:space="0" w:color="auto"/>
        <w:left w:val="none" w:sz="0" w:space="0" w:color="auto"/>
        <w:bottom w:val="none" w:sz="0" w:space="0" w:color="auto"/>
        <w:right w:val="none" w:sz="0" w:space="0" w:color="auto"/>
      </w:divBdr>
    </w:div>
    <w:div w:id="2067678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1923</Words>
  <Characters>10967</Characters>
  <Application>Microsoft Macintosh Word</Application>
  <DocSecurity>0</DocSecurity>
  <Lines>91</Lines>
  <Paragraphs>25</Paragraphs>
  <ScaleCrop>false</ScaleCrop>
  <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Sisu</dc:creator>
  <cp:keywords/>
  <dc:description/>
  <cp:lastModifiedBy>Cristina Sisu</cp:lastModifiedBy>
  <cp:revision>2</cp:revision>
  <cp:lastPrinted>2014-06-28T23:40:00Z</cp:lastPrinted>
  <dcterms:created xsi:type="dcterms:W3CDTF">2014-07-01T14:39:00Z</dcterms:created>
  <dcterms:modified xsi:type="dcterms:W3CDTF">2014-07-01T14:39:00Z</dcterms:modified>
</cp:coreProperties>
</file>