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708"/>
        <w:gridCol w:w="1080"/>
        <w:gridCol w:w="990"/>
        <w:gridCol w:w="900"/>
        <w:gridCol w:w="990"/>
        <w:gridCol w:w="990"/>
      </w:tblGrid>
      <w:tr w:rsidR="008F0185">
        <w:tc>
          <w:tcPr>
            <w:tcW w:w="370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8F0185" w:rsidRPr="00162B26" w:rsidRDefault="008F0185">
            <w:pPr>
              <w:rPr>
                <w:rFonts w:ascii="Times New Roman" w:hAnsi="Times New Roman"/>
                <w:b/>
                <w:sz w:val="18"/>
              </w:rPr>
            </w:pPr>
            <w:r w:rsidRPr="00162B26">
              <w:rPr>
                <w:rFonts w:ascii="Times New Roman" w:hAnsi="Times New Roman"/>
                <w:b/>
                <w:sz w:val="18"/>
              </w:rPr>
              <w:t>Regulatory Network Property</w:t>
            </w:r>
          </w:p>
        </w:tc>
        <w:tc>
          <w:tcPr>
            <w:tcW w:w="108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0185" w:rsidRPr="00162B26" w:rsidRDefault="008F0185" w:rsidP="00E0659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162B26">
              <w:rPr>
                <w:rFonts w:ascii="Times New Roman" w:hAnsi="Times New Roman"/>
                <w:b/>
                <w:i/>
                <w:sz w:val="18"/>
              </w:rPr>
              <w:t>E.coli</w:t>
            </w:r>
            <w:r w:rsidRPr="00162B26">
              <w:rPr>
                <w:rFonts w:ascii="Times New Roman" w:hAnsi="Times New Roman"/>
                <w:b/>
                <w:sz w:val="18"/>
                <w:vertAlign w:val="superscript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vAlign w:val="center"/>
          </w:tcPr>
          <w:p w:rsidR="008F0185" w:rsidRPr="00162B26" w:rsidRDefault="008F0185" w:rsidP="00E0659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162B26">
              <w:rPr>
                <w:rFonts w:ascii="Times New Roman" w:hAnsi="Times New Roman"/>
                <w:b/>
                <w:sz w:val="18"/>
              </w:rPr>
              <w:t>Yeast</w:t>
            </w:r>
            <w:r w:rsidRPr="00162B26">
              <w:rPr>
                <w:rFonts w:ascii="Times New Roman" w:hAnsi="Times New Roman"/>
                <w:b/>
                <w:sz w:val="18"/>
                <w:vertAlign w:val="superscript"/>
              </w:rPr>
              <w:t>1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vAlign w:val="center"/>
          </w:tcPr>
          <w:p w:rsidR="008F0185" w:rsidRPr="00162B26" w:rsidRDefault="008F0185" w:rsidP="00E0659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162B26">
              <w:rPr>
                <w:rFonts w:ascii="Times New Roman" w:hAnsi="Times New Roman"/>
                <w:b/>
                <w:sz w:val="18"/>
              </w:rPr>
              <w:t>Worm</w:t>
            </w:r>
            <w:r w:rsidRPr="00162B26">
              <w:rPr>
                <w:rFonts w:ascii="Times New Roman" w:hAnsi="Times New Roman"/>
                <w:b/>
                <w:sz w:val="18"/>
                <w:vertAlign w:val="superscript"/>
              </w:rPr>
              <w:t>2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vAlign w:val="center"/>
          </w:tcPr>
          <w:p w:rsidR="008F0185" w:rsidRPr="00162B26" w:rsidRDefault="008F0185" w:rsidP="00E0659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162B26">
              <w:rPr>
                <w:rFonts w:ascii="Times New Roman" w:hAnsi="Times New Roman"/>
                <w:b/>
                <w:sz w:val="18"/>
              </w:rPr>
              <w:t>Fly</w:t>
            </w:r>
            <w:r w:rsidRPr="00162B26">
              <w:rPr>
                <w:rFonts w:ascii="Times New Roman" w:hAnsi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9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0185" w:rsidRPr="00162B26" w:rsidRDefault="008F0185" w:rsidP="00E0659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162B26">
              <w:rPr>
                <w:rFonts w:ascii="Times New Roman" w:hAnsi="Times New Roman"/>
                <w:b/>
                <w:sz w:val="18"/>
              </w:rPr>
              <w:t>Human</w:t>
            </w:r>
          </w:p>
        </w:tc>
      </w:tr>
      <w:tr w:rsidR="008F0185">
        <w:tc>
          <w:tcPr>
            <w:tcW w:w="3708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8F0185" w:rsidRPr="00162B26" w:rsidRDefault="008F0185">
            <w:pPr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Non-Random hierarchy structure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 w:themeColor="text1"/>
            </w:tcBorders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Yes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 w:themeColor="text1"/>
            </w:tcBorders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Yes</w:t>
            </w:r>
          </w:p>
        </w:tc>
      </w:tr>
      <w:tr w:rsidR="008F0185">
        <w:tc>
          <w:tcPr>
            <w:tcW w:w="3708" w:type="dxa"/>
            <w:tcBorders>
              <w:right w:val="single" w:sz="4" w:space="0" w:color="000000" w:themeColor="text1"/>
            </w:tcBorders>
          </w:tcPr>
          <w:p w:rsidR="008F0185" w:rsidRPr="00162B26" w:rsidRDefault="008F0185">
            <w:pPr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More bottlenecks (highest betweenness</w:t>
            </w:r>
            <w:r w:rsidR="00E0659C">
              <w:rPr>
                <w:rFonts w:ascii="Times New Roman" w:hAnsi="Times New Roman"/>
                <w:sz w:val="18"/>
              </w:rPr>
              <w:t>/degree centrality</w:t>
            </w:r>
            <w:r w:rsidRPr="00162B26">
              <w:rPr>
                <w:rFonts w:ascii="Times New Roman" w:hAnsi="Times New Roman"/>
                <w:sz w:val="18"/>
              </w:rPr>
              <w:t xml:space="preserve">) in middle level </w:t>
            </w:r>
          </w:p>
        </w:tc>
        <w:tc>
          <w:tcPr>
            <w:tcW w:w="1080" w:type="dxa"/>
            <w:tcBorders>
              <w:left w:val="single" w:sz="4" w:space="0" w:color="000000" w:themeColor="text1"/>
            </w:tcBorders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Yes</w:t>
            </w:r>
          </w:p>
        </w:tc>
        <w:tc>
          <w:tcPr>
            <w:tcW w:w="990" w:type="dxa"/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Yes</w:t>
            </w:r>
          </w:p>
        </w:tc>
        <w:tc>
          <w:tcPr>
            <w:tcW w:w="900" w:type="dxa"/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Yes</w:t>
            </w:r>
          </w:p>
        </w:tc>
        <w:tc>
          <w:tcPr>
            <w:tcW w:w="990" w:type="dxa"/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N/A</w:t>
            </w:r>
          </w:p>
        </w:tc>
        <w:tc>
          <w:tcPr>
            <w:tcW w:w="990" w:type="dxa"/>
            <w:tcBorders>
              <w:right w:val="single" w:sz="4" w:space="0" w:color="000000" w:themeColor="text1"/>
            </w:tcBorders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Yes</w:t>
            </w:r>
          </w:p>
        </w:tc>
      </w:tr>
      <w:tr w:rsidR="008F0185">
        <w:tc>
          <w:tcPr>
            <w:tcW w:w="3708" w:type="dxa"/>
            <w:tcBorders>
              <w:right w:val="single" w:sz="4" w:space="0" w:color="000000" w:themeColor="text1"/>
            </w:tcBorders>
          </w:tcPr>
          <w:p w:rsidR="008F0185" w:rsidRPr="00162B26" w:rsidRDefault="008F0185">
            <w:pPr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TFs at top level have more PPI partners</w:t>
            </w:r>
          </w:p>
        </w:tc>
        <w:tc>
          <w:tcPr>
            <w:tcW w:w="1080" w:type="dxa"/>
            <w:tcBorders>
              <w:left w:val="single" w:sz="4" w:space="0" w:color="000000" w:themeColor="text1"/>
            </w:tcBorders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Yes</w:t>
            </w:r>
          </w:p>
        </w:tc>
        <w:tc>
          <w:tcPr>
            <w:tcW w:w="990" w:type="dxa"/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Yes</w:t>
            </w:r>
          </w:p>
        </w:tc>
        <w:tc>
          <w:tcPr>
            <w:tcW w:w="900" w:type="dxa"/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N/A</w:t>
            </w:r>
          </w:p>
        </w:tc>
        <w:tc>
          <w:tcPr>
            <w:tcW w:w="990" w:type="dxa"/>
            <w:tcBorders>
              <w:right w:val="single" w:sz="4" w:space="0" w:color="000000" w:themeColor="text1"/>
            </w:tcBorders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Yes</w:t>
            </w:r>
          </w:p>
        </w:tc>
      </w:tr>
      <w:tr w:rsidR="008F0185">
        <w:tc>
          <w:tcPr>
            <w:tcW w:w="3708" w:type="dxa"/>
            <w:tcBorders>
              <w:right w:val="single" w:sz="4" w:space="0" w:color="000000" w:themeColor="text1"/>
            </w:tcBorders>
          </w:tcPr>
          <w:p w:rsidR="008F0185" w:rsidRPr="00162B26" w:rsidRDefault="008F0185">
            <w:pPr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 xml:space="preserve">Higher levels TFs are more </w:t>
            </w:r>
            <w:r w:rsidR="00F73EEC" w:rsidRPr="00162B26">
              <w:rPr>
                <w:rFonts w:ascii="Times New Roman" w:hAnsi="Times New Roman"/>
                <w:sz w:val="18"/>
              </w:rPr>
              <w:t>influential</w:t>
            </w:r>
          </w:p>
        </w:tc>
        <w:tc>
          <w:tcPr>
            <w:tcW w:w="1080" w:type="dxa"/>
            <w:tcBorders>
              <w:left w:val="single" w:sz="4" w:space="0" w:color="000000" w:themeColor="text1"/>
            </w:tcBorders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Yes</w:t>
            </w:r>
          </w:p>
        </w:tc>
        <w:tc>
          <w:tcPr>
            <w:tcW w:w="990" w:type="dxa"/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Yes</w:t>
            </w:r>
          </w:p>
        </w:tc>
        <w:tc>
          <w:tcPr>
            <w:tcW w:w="900" w:type="dxa"/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Yes</w:t>
            </w:r>
          </w:p>
        </w:tc>
        <w:tc>
          <w:tcPr>
            <w:tcW w:w="990" w:type="dxa"/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N/A</w:t>
            </w:r>
          </w:p>
        </w:tc>
        <w:tc>
          <w:tcPr>
            <w:tcW w:w="990" w:type="dxa"/>
            <w:tcBorders>
              <w:right w:val="single" w:sz="4" w:space="0" w:color="000000" w:themeColor="text1"/>
            </w:tcBorders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Yes</w:t>
            </w:r>
          </w:p>
        </w:tc>
      </w:tr>
      <w:tr w:rsidR="008F0185">
        <w:tc>
          <w:tcPr>
            <w:tcW w:w="3708" w:type="dxa"/>
            <w:tcBorders>
              <w:right w:val="single" w:sz="4" w:space="0" w:color="000000" w:themeColor="text1"/>
            </w:tcBorders>
          </w:tcPr>
          <w:p w:rsidR="008F0185" w:rsidRPr="00162B26" w:rsidRDefault="008F0185">
            <w:pPr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Lower level TFs are more essential</w:t>
            </w:r>
          </w:p>
        </w:tc>
        <w:tc>
          <w:tcPr>
            <w:tcW w:w="1080" w:type="dxa"/>
            <w:tcBorders>
              <w:left w:val="single" w:sz="4" w:space="0" w:color="000000" w:themeColor="text1"/>
            </w:tcBorders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Yes</w:t>
            </w:r>
          </w:p>
        </w:tc>
        <w:tc>
          <w:tcPr>
            <w:tcW w:w="990" w:type="dxa"/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Yes</w:t>
            </w:r>
          </w:p>
        </w:tc>
        <w:tc>
          <w:tcPr>
            <w:tcW w:w="900" w:type="dxa"/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Yes</w:t>
            </w:r>
          </w:p>
        </w:tc>
        <w:tc>
          <w:tcPr>
            <w:tcW w:w="990" w:type="dxa"/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N/A</w:t>
            </w:r>
          </w:p>
        </w:tc>
        <w:tc>
          <w:tcPr>
            <w:tcW w:w="990" w:type="dxa"/>
            <w:tcBorders>
              <w:right w:val="single" w:sz="4" w:space="0" w:color="000000" w:themeColor="text1"/>
            </w:tcBorders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8F0185">
        <w:tc>
          <w:tcPr>
            <w:tcW w:w="3708" w:type="dxa"/>
            <w:tcBorders>
              <w:right w:val="single" w:sz="4" w:space="0" w:color="000000" w:themeColor="text1"/>
            </w:tcBorders>
          </w:tcPr>
          <w:p w:rsidR="008F0185" w:rsidRPr="00162B26" w:rsidRDefault="008F0185">
            <w:pPr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Two classes of miRNAs (those regulating TFs and those regulated by TFs)</w:t>
            </w:r>
          </w:p>
        </w:tc>
        <w:tc>
          <w:tcPr>
            <w:tcW w:w="1080" w:type="dxa"/>
            <w:tcBorders>
              <w:left w:val="single" w:sz="4" w:space="0" w:color="000000" w:themeColor="text1"/>
            </w:tcBorders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0" w:type="dxa"/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00" w:type="dxa"/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Yes</w:t>
            </w:r>
          </w:p>
        </w:tc>
        <w:tc>
          <w:tcPr>
            <w:tcW w:w="990" w:type="dxa"/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N/A</w:t>
            </w:r>
          </w:p>
        </w:tc>
        <w:tc>
          <w:tcPr>
            <w:tcW w:w="990" w:type="dxa"/>
            <w:tcBorders>
              <w:right w:val="single" w:sz="4" w:space="0" w:color="000000" w:themeColor="text1"/>
            </w:tcBorders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Yes</w:t>
            </w:r>
          </w:p>
        </w:tc>
      </w:tr>
      <w:tr w:rsidR="008F0185">
        <w:tc>
          <w:tcPr>
            <w:tcW w:w="3708" w:type="dxa"/>
            <w:tcBorders>
              <w:right w:val="single" w:sz="4" w:space="0" w:color="000000" w:themeColor="text1"/>
            </w:tcBorders>
          </w:tcPr>
          <w:p w:rsidR="008F0185" w:rsidRPr="00162B26" w:rsidRDefault="008F0185" w:rsidP="00935D97">
            <w:pPr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 xml:space="preserve">TFs </w:t>
            </w:r>
            <w:r w:rsidR="00935D97">
              <w:rPr>
                <w:rFonts w:ascii="Times New Roman" w:hAnsi="Times New Roman"/>
                <w:sz w:val="18"/>
              </w:rPr>
              <w:t>on</w:t>
            </w:r>
            <w:r w:rsidRPr="00162B26">
              <w:rPr>
                <w:rFonts w:ascii="Times New Roman" w:hAnsi="Times New Roman"/>
                <w:sz w:val="18"/>
              </w:rPr>
              <w:t xml:space="preserve"> bottom </w:t>
            </w:r>
            <w:r w:rsidR="00935D97">
              <w:rPr>
                <w:rFonts w:ascii="Times New Roman" w:hAnsi="Times New Roman"/>
                <w:sz w:val="18"/>
              </w:rPr>
              <w:t xml:space="preserve">level </w:t>
            </w:r>
            <w:r w:rsidRPr="00162B26">
              <w:rPr>
                <w:rFonts w:ascii="Times New Roman" w:hAnsi="Times New Roman"/>
                <w:sz w:val="18"/>
              </w:rPr>
              <w:t>have fewer miRNA regulators</w:t>
            </w:r>
          </w:p>
        </w:tc>
        <w:tc>
          <w:tcPr>
            <w:tcW w:w="1080" w:type="dxa"/>
            <w:tcBorders>
              <w:left w:val="single" w:sz="4" w:space="0" w:color="000000" w:themeColor="text1"/>
            </w:tcBorders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0" w:type="dxa"/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00" w:type="dxa"/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Yes</w:t>
            </w:r>
          </w:p>
        </w:tc>
        <w:tc>
          <w:tcPr>
            <w:tcW w:w="990" w:type="dxa"/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N/A</w:t>
            </w:r>
          </w:p>
        </w:tc>
        <w:tc>
          <w:tcPr>
            <w:tcW w:w="990" w:type="dxa"/>
            <w:tcBorders>
              <w:right w:val="single" w:sz="4" w:space="0" w:color="000000" w:themeColor="text1"/>
            </w:tcBorders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Yes</w:t>
            </w:r>
          </w:p>
        </w:tc>
      </w:tr>
      <w:tr w:rsidR="008F0185">
        <w:tc>
          <w:tcPr>
            <w:tcW w:w="3708" w:type="dxa"/>
            <w:tcBorders>
              <w:right w:val="single" w:sz="4" w:space="0" w:color="000000" w:themeColor="text1"/>
            </w:tcBorders>
          </w:tcPr>
          <w:p w:rsidR="008F0185" w:rsidRPr="00162B26" w:rsidRDefault="008F0185" w:rsidP="00935D97">
            <w:pPr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 xml:space="preserve">TFs </w:t>
            </w:r>
            <w:r w:rsidR="00935D97">
              <w:rPr>
                <w:rFonts w:ascii="Times New Roman" w:hAnsi="Times New Roman"/>
                <w:sz w:val="18"/>
              </w:rPr>
              <w:t>on bottom level</w:t>
            </w:r>
            <w:r w:rsidRPr="00162B26">
              <w:rPr>
                <w:rFonts w:ascii="Times New Roman" w:hAnsi="Times New Roman"/>
                <w:sz w:val="18"/>
              </w:rPr>
              <w:t xml:space="preserve"> have </w:t>
            </w:r>
            <w:r w:rsidR="00935D97">
              <w:rPr>
                <w:rFonts w:ascii="Times New Roman" w:hAnsi="Times New Roman"/>
                <w:sz w:val="18"/>
              </w:rPr>
              <w:t>fewer</w:t>
            </w:r>
            <w:r w:rsidRPr="00162B26">
              <w:rPr>
                <w:rFonts w:ascii="Times New Roman" w:hAnsi="Times New Roman"/>
                <w:sz w:val="18"/>
              </w:rPr>
              <w:t xml:space="preserve"> miRNA targets</w:t>
            </w:r>
          </w:p>
        </w:tc>
        <w:tc>
          <w:tcPr>
            <w:tcW w:w="1080" w:type="dxa"/>
            <w:tcBorders>
              <w:left w:val="single" w:sz="4" w:space="0" w:color="000000" w:themeColor="text1"/>
            </w:tcBorders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0" w:type="dxa"/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00" w:type="dxa"/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N/A</w:t>
            </w:r>
          </w:p>
        </w:tc>
        <w:tc>
          <w:tcPr>
            <w:tcW w:w="990" w:type="dxa"/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Yes</w:t>
            </w:r>
          </w:p>
        </w:tc>
        <w:tc>
          <w:tcPr>
            <w:tcW w:w="990" w:type="dxa"/>
            <w:tcBorders>
              <w:right w:val="single" w:sz="4" w:space="0" w:color="000000" w:themeColor="text1"/>
            </w:tcBorders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Yes</w:t>
            </w:r>
          </w:p>
        </w:tc>
      </w:tr>
      <w:tr w:rsidR="008F0185">
        <w:tc>
          <w:tcPr>
            <w:tcW w:w="3708" w:type="dxa"/>
            <w:tcBorders>
              <w:right w:val="single" w:sz="4" w:space="0" w:color="000000" w:themeColor="text1"/>
            </w:tcBorders>
          </w:tcPr>
          <w:p w:rsidR="008F0185" w:rsidRPr="00162B26" w:rsidRDefault="008F0185">
            <w:pPr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Fraction of upward edges</w:t>
            </w:r>
          </w:p>
        </w:tc>
        <w:tc>
          <w:tcPr>
            <w:tcW w:w="1080" w:type="dxa"/>
            <w:tcBorders>
              <w:left w:val="single" w:sz="4" w:space="0" w:color="000000" w:themeColor="text1"/>
            </w:tcBorders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N/A</w:t>
            </w:r>
          </w:p>
        </w:tc>
        <w:tc>
          <w:tcPr>
            <w:tcW w:w="990" w:type="dxa"/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N/A</w:t>
            </w:r>
          </w:p>
        </w:tc>
        <w:tc>
          <w:tcPr>
            <w:tcW w:w="900" w:type="dxa"/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N/A</w:t>
            </w:r>
          </w:p>
        </w:tc>
        <w:tc>
          <w:tcPr>
            <w:tcW w:w="990" w:type="dxa"/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8%</w:t>
            </w:r>
          </w:p>
        </w:tc>
        <w:tc>
          <w:tcPr>
            <w:tcW w:w="990" w:type="dxa"/>
            <w:tcBorders>
              <w:right w:val="single" w:sz="4" w:space="0" w:color="000000" w:themeColor="text1"/>
            </w:tcBorders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7%</w:t>
            </w:r>
          </w:p>
        </w:tc>
      </w:tr>
      <w:tr w:rsidR="008F0185">
        <w:tc>
          <w:tcPr>
            <w:tcW w:w="3708" w:type="dxa"/>
            <w:tcBorders>
              <w:right w:val="single" w:sz="4" w:space="0" w:color="000000" w:themeColor="text1"/>
            </w:tcBorders>
          </w:tcPr>
          <w:p w:rsidR="008F0185" w:rsidRPr="00162B26" w:rsidRDefault="008F0185" w:rsidP="008F0185">
            <w:pPr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TFs at top of hierarchy under greater negative selection</w:t>
            </w:r>
          </w:p>
        </w:tc>
        <w:tc>
          <w:tcPr>
            <w:tcW w:w="1080" w:type="dxa"/>
            <w:tcBorders>
              <w:left w:val="single" w:sz="4" w:space="0" w:color="000000" w:themeColor="text1"/>
            </w:tcBorders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Yes</w:t>
            </w:r>
            <w:r w:rsidR="00D41B51">
              <w:rPr>
                <w:rFonts w:ascii="Times New Roman" w:hAnsi="Times New Roman"/>
                <w:sz w:val="18"/>
                <w:vertAlign w:val="superscript"/>
              </w:rPr>
              <w:t>4,5</w:t>
            </w:r>
          </w:p>
        </w:tc>
        <w:tc>
          <w:tcPr>
            <w:tcW w:w="990" w:type="dxa"/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Yes</w:t>
            </w:r>
            <w:r w:rsidRPr="00162B26">
              <w:rPr>
                <w:rFonts w:ascii="Times New Roman" w:hAnsi="Times New Roman"/>
                <w:sz w:val="18"/>
                <w:vertAlign w:val="superscript"/>
              </w:rPr>
              <w:t>4,5</w:t>
            </w:r>
          </w:p>
        </w:tc>
        <w:tc>
          <w:tcPr>
            <w:tcW w:w="900" w:type="dxa"/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N/A</w:t>
            </w:r>
          </w:p>
        </w:tc>
        <w:tc>
          <w:tcPr>
            <w:tcW w:w="990" w:type="dxa"/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N/A</w:t>
            </w:r>
          </w:p>
        </w:tc>
        <w:tc>
          <w:tcPr>
            <w:tcW w:w="990" w:type="dxa"/>
            <w:tcBorders>
              <w:right w:val="single" w:sz="4" w:space="0" w:color="000000" w:themeColor="text1"/>
            </w:tcBorders>
            <w:vAlign w:val="center"/>
          </w:tcPr>
          <w:p w:rsidR="008F0185" w:rsidRPr="00162B26" w:rsidRDefault="008F0185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Yes</w:t>
            </w:r>
            <w:r w:rsidRPr="00162B26">
              <w:rPr>
                <w:rFonts w:ascii="Times New Roman" w:hAnsi="Times New Roman"/>
                <w:sz w:val="18"/>
                <w:vertAlign w:val="superscript"/>
              </w:rPr>
              <w:t>4</w:t>
            </w:r>
          </w:p>
        </w:tc>
      </w:tr>
      <w:tr w:rsidR="00D41B51">
        <w:tc>
          <w:tcPr>
            <w:tcW w:w="3708" w:type="dxa"/>
            <w:tcBorders>
              <w:right w:val="single" w:sz="4" w:space="0" w:color="000000" w:themeColor="text1"/>
            </w:tcBorders>
          </w:tcPr>
          <w:p w:rsidR="00D41B51" w:rsidRPr="00162B26" w:rsidRDefault="00D41B51" w:rsidP="008F0185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TFs with greater out degree (i.e. more targets) under greater negative selection</w:t>
            </w:r>
          </w:p>
        </w:tc>
        <w:tc>
          <w:tcPr>
            <w:tcW w:w="1080" w:type="dxa"/>
            <w:tcBorders>
              <w:left w:val="single" w:sz="4" w:space="0" w:color="000000" w:themeColor="text1"/>
            </w:tcBorders>
            <w:vAlign w:val="center"/>
          </w:tcPr>
          <w:p w:rsidR="00D41B51" w:rsidRPr="00162B26" w:rsidRDefault="00D41B51" w:rsidP="00F73EEC">
            <w:pPr>
              <w:jc w:val="center"/>
              <w:rPr>
                <w:rFonts w:ascii="Times New Roman" w:hAnsi="Times New Roman"/>
                <w:sz w:val="18"/>
              </w:rPr>
            </w:pPr>
            <w:r w:rsidRPr="00162B26">
              <w:rPr>
                <w:rFonts w:ascii="Times New Roman" w:hAnsi="Times New Roman"/>
                <w:sz w:val="18"/>
              </w:rPr>
              <w:t>Yes</w:t>
            </w:r>
            <w:r w:rsidRPr="00162B26">
              <w:rPr>
                <w:rFonts w:ascii="Times New Roman" w:hAnsi="Times New Roman"/>
                <w:sz w:val="18"/>
                <w:vertAlign w:val="superscript"/>
              </w:rPr>
              <w:t>6</w:t>
            </w:r>
          </w:p>
        </w:tc>
        <w:tc>
          <w:tcPr>
            <w:tcW w:w="990" w:type="dxa"/>
            <w:vAlign w:val="center"/>
          </w:tcPr>
          <w:p w:rsidR="00D41B51" w:rsidRPr="00162B26" w:rsidRDefault="00D41B51" w:rsidP="00F73E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N/A</w:t>
            </w:r>
          </w:p>
        </w:tc>
        <w:tc>
          <w:tcPr>
            <w:tcW w:w="900" w:type="dxa"/>
            <w:vAlign w:val="center"/>
          </w:tcPr>
          <w:p w:rsidR="00D41B51" w:rsidRPr="00162B26" w:rsidRDefault="00364736" w:rsidP="00F73E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N/A</w:t>
            </w:r>
          </w:p>
        </w:tc>
        <w:tc>
          <w:tcPr>
            <w:tcW w:w="990" w:type="dxa"/>
            <w:vAlign w:val="center"/>
          </w:tcPr>
          <w:p w:rsidR="00D41B51" w:rsidRPr="00162B26" w:rsidRDefault="00364736" w:rsidP="00F73E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N/A</w:t>
            </w:r>
          </w:p>
        </w:tc>
        <w:tc>
          <w:tcPr>
            <w:tcW w:w="990" w:type="dxa"/>
            <w:tcBorders>
              <w:right w:val="single" w:sz="4" w:space="0" w:color="000000" w:themeColor="text1"/>
            </w:tcBorders>
            <w:vAlign w:val="center"/>
          </w:tcPr>
          <w:p w:rsidR="00D41B51" w:rsidRPr="00162B26" w:rsidRDefault="00364736" w:rsidP="00F73E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Yes</w:t>
            </w:r>
          </w:p>
        </w:tc>
      </w:tr>
      <w:tr w:rsidR="008F0185">
        <w:tc>
          <w:tcPr>
            <w:tcW w:w="3708" w:type="dxa"/>
            <w:tcBorders>
              <w:right w:val="single" w:sz="4" w:space="0" w:color="000000" w:themeColor="text1"/>
            </w:tcBorders>
          </w:tcPr>
          <w:p w:rsidR="008F0185" w:rsidRPr="00162B26" w:rsidRDefault="00162B2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Allelicty </w:t>
            </w:r>
            <w:r w:rsidR="00BD05E1">
              <w:rPr>
                <w:rFonts w:ascii="Times New Roman" w:hAnsi="Times New Roman"/>
                <w:sz w:val="18"/>
              </w:rPr>
              <w:t xml:space="preserve">of TFs </w:t>
            </w:r>
            <w:r>
              <w:rPr>
                <w:rFonts w:ascii="Times New Roman" w:hAnsi="Times New Roman"/>
                <w:sz w:val="18"/>
              </w:rPr>
              <w:t>positively correlated with degree centrality</w:t>
            </w:r>
          </w:p>
        </w:tc>
        <w:tc>
          <w:tcPr>
            <w:tcW w:w="1080" w:type="dxa"/>
            <w:tcBorders>
              <w:left w:val="single" w:sz="4" w:space="0" w:color="000000" w:themeColor="text1"/>
            </w:tcBorders>
            <w:vAlign w:val="center"/>
          </w:tcPr>
          <w:p w:rsidR="008F0185" w:rsidRPr="00162B26" w:rsidRDefault="00162B26" w:rsidP="00F73E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N/A</w:t>
            </w:r>
          </w:p>
        </w:tc>
        <w:tc>
          <w:tcPr>
            <w:tcW w:w="990" w:type="dxa"/>
            <w:vAlign w:val="center"/>
          </w:tcPr>
          <w:p w:rsidR="008F0185" w:rsidRPr="00162B26" w:rsidRDefault="00162B26" w:rsidP="00F73E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N/A</w:t>
            </w:r>
          </w:p>
        </w:tc>
        <w:tc>
          <w:tcPr>
            <w:tcW w:w="900" w:type="dxa"/>
            <w:vAlign w:val="center"/>
          </w:tcPr>
          <w:p w:rsidR="008F0185" w:rsidRPr="00162B26" w:rsidRDefault="00162B26" w:rsidP="00F73E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N/A</w:t>
            </w:r>
          </w:p>
        </w:tc>
        <w:tc>
          <w:tcPr>
            <w:tcW w:w="990" w:type="dxa"/>
            <w:vAlign w:val="center"/>
          </w:tcPr>
          <w:p w:rsidR="008F0185" w:rsidRPr="00162B26" w:rsidRDefault="00162B26" w:rsidP="00F73E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N/A</w:t>
            </w:r>
          </w:p>
        </w:tc>
        <w:tc>
          <w:tcPr>
            <w:tcW w:w="990" w:type="dxa"/>
            <w:tcBorders>
              <w:right w:val="single" w:sz="4" w:space="0" w:color="000000" w:themeColor="text1"/>
            </w:tcBorders>
            <w:vAlign w:val="center"/>
          </w:tcPr>
          <w:p w:rsidR="008F0185" w:rsidRPr="00162B26" w:rsidRDefault="00162B26" w:rsidP="00F73E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Yes</w:t>
            </w:r>
          </w:p>
        </w:tc>
      </w:tr>
    </w:tbl>
    <w:p w:rsidR="008F0185" w:rsidRDefault="00FA2FD6" w:rsidP="00DB6E10">
      <w:pPr>
        <w:rPr>
          <w:rFonts w:ascii="Times New Roman" w:hAnsi="Times New Roman"/>
          <w:sz w:val="20"/>
        </w:rPr>
      </w:pPr>
      <w:r w:rsidRPr="00DB6E10">
        <w:rPr>
          <w:rFonts w:ascii="Times New Roman" w:hAnsi="Times New Roman"/>
          <w:sz w:val="20"/>
          <w:vertAlign w:val="superscript"/>
        </w:rPr>
        <w:t xml:space="preserve">1 </w:t>
      </w:r>
      <w:r w:rsidRPr="00DB6E10">
        <w:rPr>
          <w:rFonts w:ascii="Times New Roman" w:hAnsi="Times New Roman"/>
          <w:sz w:val="20"/>
        </w:rPr>
        <w:t xml:space="preserve">H Yu, M Gerstein (2006). Proc Natl Acad Sci U S A 103: 14724-31. </w:t>
      </w:r>
      <w:r w:rsidRPr="00DB6E10">
        <w:rPr>
          <w:rFonts w:ascii="Times New Roman" w:hAnsi="Times New Roman"/>
          <w:sz w:val="20"/>
          <w:vertAlign w:val="superscript"/>
        </w:rPr>
        <w:t>2</w:t>
      </w:r>
      <w:r w:rsidRPr="00DB6E10">
        <w:rPr>
          <w:rFonts w:ascii="Times New Roman" w:hAnsi="Times New Roman"/>
          <w:sz w:val="20"/>
        </w:rPr>
        <w:t xml:space="preserve"> Gerstein et al. (2011). Science 330: 1775-87. </w:t>
      </w:r>
      <w:r w:rsidR="00DB6E10" w:rsidRPr="00DB6E10">
        <w:rPr>
          <w:rFonts w:ascii="Times New Roman" w:hAnsi="Times New Roman"/>
          <w:sz w:val="20"/>
          <w:vertAlign w:val="superscript"/>
        </w:rPr>
        <w:t xml:space="preserve">3 </w:t>
      </w:r>
      <w:r w:rsidR="00DB6E10" w:rsidRPr="00DB6E10">
        <w:rPr>
          <w:rFonts w:ascii="Times New Roman" w:hAnsi="Times New Roman"/>
          <w:sz w:val="20"/>
        </w:rPr>
        <w:t xml:space="preserve">modENCODE Consortium et al. (2011). Science. 2010 Dec 24;330(6012):1787-97. </w:t>
      </w:r>
      <w:r w:rsidR="008F0185">
        <w:rPr>
          <w:rFonts w:ascii="Times New Roman" w:hAnsi="Times New Roman"/>
          <w:sz w:val="20"/>
          <w:vertAlign w:val="superscript"/>
        </w:rPr>
        <w:t xml:space="preserve">4 </w:t>
      </w:r>
      <w:r w:rsidR="008F0185" w:rsidRPr="008F0185">
        <w:rPr>
          <w:rFonts w:ascii="Times New Roman" w:hAnsi="Times New Roman"/>
          <w:sz w:val="20"/>
        </w:rPr>
        <w:t>N Bhardwaj, KK Yan, MB Gerstein (2010). Proc Natl Acad Sci U S A 107: 6841-6.</w:t>
      </w:r>
      <w:r w:rsidR="008F0185">
        <w:rPr>
          <w:rFonts w:ascii="Times New Roman" w:hAnsi="Times New Roman"/>
          <w:sz w:val="20"/>
        </w:rPr>
        <w:t xml:space="preserve"> </w:t>
      </w:r>
      <w:r w:rsidR="008F0185">
        <w:rPr>
          <w:rFonts w:ascii="Times New Roman" w:hAnsi="Times New Roman"/>
          <w:sz w:val="20"/>
          <w:vertAlign w:val="superscript"/>
        </w:rPr>
        <w:t xml:space="preserve">5 </w:t>
      </w:r>
      <w:r w:rsidR="008F0185" w:rsidRPr="008F0185">
        <w:rPr>
          <w:rFonts w:ascii="Times New Roman" w:hAnsi="Times New Roman"/>
          <w:sz w:val="20"/>
        </w:rPr>
        <w:t>N Bhardwaj, PM Kim, MB Gerstein (2010). Sci Signal 3: ra79.</w:t>
      </w:r>
      <w:r w:rsidR="008F0185">
        <w:rPr>
          <w:rFonts w:ascii="Times New Roman" w:hAnsi="Times New Roman"/>
          <w:sz w:val="20"/>
        </w:rPr>
        <w:t xml:space="preserve"> </w:t>
      </w:r>
      <w:r w:rsidR="008F0185">
        <w:rPr>
          <w:rFonts w:ascii="Times New Roman" w:hAnsi="Times New Roman"/>
          <w:sz w:val="20"/>
          <w:vertAlign w:val="superscript"/>
        </w:rPr>
        <w:t xml:space="preserve">6 </w:t>
      </w:r>
      <w:r w:rsidR="008F0185" w:rsidRPr="008F0185">
        <w:rPr>
          <w:rFonts w:ascii="Times New Roman" w:hAnsi="Times New Roman"/>
          <w:sz w:val="20"/>
        </w:rPr>
        <w:t>Y Xia, EA Franzosa, MB Gerstein (2009). PLoS Comput Biol 5: e1000413.</w:t>
      </w:r>
    </w:p>
    <w:p w:rsidR="00E0659C" w:rsidRDefault="008F0185" w:rsidP="00DB6E10">
      <w:pPr>
        <w:rPr>
          <w:rFonts w:ascii="Times New Roman" w:hAnsi="Times New Roman"/>
        </w:rPr>
      </w:pPr>
      <w:r w:rsidRPr="008F0185">
        <w:rPr>
          <w:rFonts w:ascii="Times New Roman" w:hAnsi="Times New Roman"/>
        </w:rPr>
        <w:t>Supp</w:t>
      </w:r>
      <w:r>
        <w:rPr>
          <w:rFonts w:ascii="Times New Roman" w:hAnsi="Times New Roman"/>
        </w:rPr>
        <w:t xml:space="preserve">lementary Table XXX. We compare the properties of human regulatory network with corresponding results for regulatory networks for </w:t>
      </w:r>
      <w:r>
        <w:rPr>
          <w:rFonts w:ascii="Times New Roman" w:hAnsi="Times New Roman"/>
          <w:i/>
        </w:rPr>
        <w:t>E.c</w:t>
      </w:r>
      <w:r w:rsidRPr="008F0185">
        <w:rPr>
          <w:rFonts w:ascii="Times New Roman" w:hAnsi="Times New Roman"/>
          <w:i/>
        </w:rPr>
        <w:t>oli</w:t>
      </w:r>
      <w:r>
        <w:rPr>
          <w:rFonts w:ascii="Times New Roman" w:hAnsi="Times New Roman"/>
        </w:rPr>
        <w:t>, yeast (</w:t>
      </w:r>
      <w:r w:rsidRPr="008F0185">
        <w:rPr>
          <w:rFonts w:ascii="Times New Roman" w:hAnsi="Times New Roman"/>
          <w:i/>
        </w:rPr>
        <w:t>S.cerevisiae</w:t>
      </w:r>
      <w:r>
        <w:rPr>
          <w:rFonts w:ascii="Times New Roman" w:hAnsi="Times New Roman"/>
        </w:rPr>
        <w:t>), worm (</w:t>
      </w:r>
      <w:r w:rsidRPr="008F0185">
        <w:rPr>
          <w:rFonts w:ascii="Times New Roman" w:hAnsi="Times New Roman"/>
          <w:i/>
        </w:rPr>
        <w:t>C.elegans</w:t>
      </w:r>
      <w:r>
        <w:rPr>
          <w:rFonts w:ascii="Times New Roman" w:hAnsi="Times New Roman"/>
        </w:rPr>
        <w:t>), fly (</w:t>
      </w:r>
      <w:r w:rsidRPr="008F0185">
        <w:rPr>
          <w:rFonts w:ascii="Times New Roman" w:hAnsi="Times New Roman"/>
          <w:i/>
        </w:rPr>
        <w:t>D.melanogaster</w:t>
      </w:r>
      <w:r>
        <w:rPr>
          <w:rFonts w:ascii="Times New Roman" w:hAnsi="Times New Roman"/>
        </w:rPr>
        <w:t>) and human. For the most part the results from this paper are consistent with the comparable results from other species.</w:t>
      </w:r>
      <w:r w:rsidR="006A7B8F">
        <w:rPr>
          <w:rFonts w:ascii="Times New Roman" w:hAnsi="Times New Roman"/>
        </w:rPr>
        <w:t xml:space="preserve"> </w:t>
      </w:r>
      <w:r w:rsidR="00935D97">
        <w:rPr>
          <w:rFonts w:ascii="Times New Roman" w:hAnsi="Times New Roman"/>
        </w:rPr>
        <w:t>Dashes indicate results that are non relevant, while N/A indicates results that are not available.</w:t>
      </w:r>
    </w:p>
    <w:p w:rsidR="00645E39" w:rsidRDefault="00645E39" w:rsidP="00DB6E10">
      <w:pPr>
        <w:rPr>
          <w:rFonts w:ascii="Times New Roman" w:hAnsi="Times New Roman"/>
        </w:rPr>
      </w:pPr>
    </w:p>
    <w:p w:rsidR="00E0659C" w:rsidRDefault="00E0659C" w:rsidP="00DB6E10">
      <w:pPr>
        <w:rPr>
          <w:rFonts w:ascii="Times New Roman" w:hAnsi="Times New Roman"/>
        </w:rPr>
      </w:pPr>
    </w:p>
    <w:p w:rsidR="001E5C25" w:rsidRDefault="00E0659C" w:rsidP="00DB6E10">
      <w:pPr>
        <w:rPr>
          <w:rFonts w:ascii="Times New Roman" w:hAnsi="Times New Roman"/>
        </w:rPr>
      </w:pPr>
      <w:r>
        <w:rPr>
          <w:rFonts w:ascii="Times New Roman" w:hAnsi="Times New Roman"/>
        </w:rPr>
        <w:t>Sample text for discussion in paper:</w:t>
      </w:r>
    </w:p>
    <w:p w:rsidR="006762B8" w:rsidRPr="00743CBA" w:rsidRDefault="001E5C25" w:rsidP="00DB6E1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compared the properties of the human regulatory network with </w:t>
      </w:r>
      <w:r w:rsidR="00784662">
        <w:rPr>
          <w:rFonts w:ascii="Times New Roman" w:hAnsi="Times New Roman"/>
        </w:rPr>
        <w:t>similar</w:t>
      </w:r>
      <w:r>
        <w:rPr>
          <w:rFonts w:ascii="Times New Roman" w:hAnsi="Times New Roman"/>
        </w:rPr>
        <w:t xml:space="preserve"> results from </w:t>
      </w:r>
      <w:r w:rsidR="00784662">
        <w:rPr>
          <w:rFonts w:ascii="Times New Roman" w:hAnsi="Times New Roman"/>
        </w:rPr>
        <w:t>other</w:t>
      </w:r>
      <w:r>
        <w:rPr>
          <w:rFonts w:ascii="Times New Roman" w:hAnsi="Times New Roman"/>
        </w:rPr>
        <w:t xml:space="preserve"> model organisms (see Supplementary Table XXX). Most of the properties that can be compared agree such the non-random structure of the hierarchy, TFs at the top layer being under the most constraint, properties of miRNA-TFs interactions. </w:t>
      </w:r>
      <w:r w:rsidR="00743CBA">
        <w:rPr>
          <w:rFonts w:ascii="Times New Roman" w:hAnsi="Times New Roman"/>
        </w:rPr>
        <w:t>We find that TFs at the top of hierarchy have the most interaction partners (protein-protein-</w:t>
      </w:r>
      <w:r w:rsidR="00743CBA" w:rsidRPr="00743CBA">
        <w:rPr>
          <w:rFonts w:ascii="Times New Roman" w:hAnsi="Times New Roman"/>
        </w:rPr>
        <w:t xml:space="preserve">interactions, </w:t>
      </w:r>
      <w:r w:rsidR="00743CBA" w:rsidRPr="00743CBA">
        <w:rPr>
          <w:rFonts w:ascii="Times New Roman" w:hAnsi="Times New Roman"/>
          <w:color w:val="000000"/>
          <w:szCs w:val="18"/>
        </w:rPr>
        <w:t>phosphorylation</w:t>
      </w:r>
      <w:r w:rsidR="00743CBA">
        <w:rPr>
          <w:rFonts w:ascii="Times New Roman" w:hAnsi="Times New Roman"/>
          <w:color w:val="000000"/>
          <w:szCs w:val="18"/>
        </w:rPr>
        <w:t xml:space="preserve"> partners) consistent with</w:t>
      </w:r>
      <w:r w:rsidR="00743CBA">
        <w:rPr>
          <w:rFonts w:ascii="Times New Roman" w:hAnsi="Times New Roman"/>
          <w:i/>
          <w:color w:val="000000"/>
          <w:szCs w:val="18"/>
        </w:rPr>
        <w:t xml:space="preserve"> E.coli</w:t>
      </w:r>
      <w:r w:rsidR="00743CBA">
        <w:rPr>
          <w:rFonts w:ascii="Times New Roman" w:hAnsi="Times New Roman"/>
          <w:color w:val="000000"/>
          <w:szCs w:val="18"/>
        </w:rPr>
        <w:t xml:space="preserve"> and </w:t>
      </w:r>
      <w:r w:rsidR="00743CBA">
        <w:rPr>
          <w:rFonts w:ascii="Times New Roman" w:hAnsi="Times New Roman"/>
          <w:i/>
          <w:color w:val="000000"/>
          <w:szCs w:val="18"/>
        </w:rPr>
        <w:t>S.</w:t>
      </w:r>
      <w:r w:rsidR="00743CBA" w:rsidRPr="008F0185">
        <w:rPr>
          <w:rFonts w:ascii="Times New Roman" w:hAnsi="Times New Roman"/>
          <w:i/>
        </w:rPr>
        <w:t>cerevisiae</w:t>
      </w:r>
      <w:r w:rsidR="00743CBA">
        <w:rPr>
          <w:rFonts w:ascii="Times New Roman" w:hAnsi="Times New Roman"/>
        </w:rPr>
        <w:t xml:space="preserve"> but not with </w:t>
      </w:r>
      <w:r w:rsidR="00743CBA">
        <w:rPr>
          <w:rFonts w:ascii="Times New Roman" w:hAnsi="Times New Roman"/>
          <w:i/>
        </w:rPr>
        <w:t>C.elegans</w:t>
      </w:r>
      <w:r w:rsidR="00743CBA">
        <w:rPr>
          <w:rFonts w:ascii="Times New Roman" w:hAnsi="Times New Roman"/>
        </w:rPr>
        <w:t>.</w:t>
      </w:r>
    </w:p>
    <w:sectPr w:rsidR="006762B8" w:rsidRPr="00743CBA" w:rsidSect="006762B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3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762B8"/>
    <w:rsid w:val="00162B26"/>
    <w:rsid w:val="001E5C25"/>
    <w:rsid w:val="00364736"/>
    <w:rsid w:val="005A46B5"/>
    <w:rsid w:val="0063794B"/>
    <w:rsid w:val="00645E39"/>
    <w:rsid w:val="006762B8"/>
    <w:rsid w:val="006A7B8F"/>
    <w:rsid w:val="00743CBA"/>
    <w:rsid w:val="00784662"/>
    <w:rsid w:val="00784CBB"/>
    <w:rsid w:val="008F0185"/>
    <w:rsid w:val="00935D97"/>
    <w:rsid w:val="00BD05E1"/>
    <w:rsid w:val="00D06A5E"/>
    <w:rsid w:val="00D41B51"/>
    <w:rsid w:val="00DB6E10"/>
    <w:rsid w:val="00E0659C"/>
    <w:rsid w:val="00F73EEC"/>
    <w:rsid w:val="00FA2FD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9091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6762B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334</Words>
  <Characters>1904</Characters>
  <Application>Microsoft Macintosh Word</Application>
  <DocSecurity>0</DocSecurity>
  <Lines>15</Lines>
  <Paragraphs>3</Paragraphs>
  <ScaleCrop>false</ScaleCrop>
  <Company>Yale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Joel Rozowsky User</cp:lastModifiedBy>
  <cp:revision>13</cp:revision>
  <dcterms:created xsi:type="dcterms:W3CDTF">2012-03-06T00:43:00Z</dcterms:created>
  <dcterms:modified xsi:type="dcterms:W3CDTF">2012-03-06T23:28:00Z</dcterms:modified>
</cp:coreProperties>
</file>