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DD952" w14:textId="77777777" w:rsidR="005527C6" w:rsidRDefault="005527C6" w:rsidP="009213D5">
      <w:pPr>
        <w:spacing w:after="120" w:line="360" w:lineRule="auto"/>
        <w:rPr>
          <w:rFonts w:cs="Helvetica"/>
          <w:b/>
          <w:lang w:val="en-US"/>
        </w:rPr>
      </w:pPr>
      <w:bookmarkStart w:id="0" w:name="_GoBack"/>
      <w:bookmarkEnd w:id="0"/>
      <w:r>
        <w:rPr>
          <w:rFonts w:cs="Helvetica"/>
          <w:b/>
          <w:lang w:val="en-US"/>
        </w:rPr>
        <w:t>Figures</w:t>
      </w:r>
    </w:p>
    <w:p w14:paraId="5453B4CA" w14:textId="77777777" w:rsidR="009D162F" w:rsidRDefault="009D162F" w:rsidP="009D162F">
      <w:pPr>
        <w:spacing w:after="120" w:line="360" w:lineRule="auto"/>
        <w:rPr>
          <w:rFonts w:cs="Helvetica"/>
          <w:i/>
          <w:lang w:val="en-US"/>
        </w:rPr>
      </w:pPr>
    </w:p>
    <w:p w14:paraId="748BBD38" w14:textId="3B83E253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i/>
          <w:lang w:val="en-US"/>
        </w:rPr>
        <w:t>Figure 1:</w:t>
      </w:r>
      <w:r w:rsidRPr="009D162F">
        <w:rPr>
          <w:rFonts w:cs="Helvetica"/>
          <w:lang w:val="en-US"/>
        </w:rPr>
        <w:t xml:space="preserve"> (</w:t>
      </w:r>
      <w:proofErr w:type="spellStart"/>
      <w:r w:rsidRPr="009D162F">
        <w:rPr>
          <w:rFonts w:cs="Helvetica"/>
          <w:lang w:val="en-US"/>
        </w:rPr>
        <w:t>numberstats</w:t>
      </w:r>
      <w:proofErr w:type="spellEnd"/>
      <w:r w:rsidRPr="009D162F">
        <w:rPr>
          <w:rFonts w:cs="Helvetica"/>
          <w:lang w:val="en-US"/>
        </w:rPr>
        <w:t xml:space="preserve">) Stats "flower" of bases by experiment - </w:t>
      </w:r>
      <w:r w:rsidRPr="008D6A9B">
        <w:rPr>
          <w:rFonts w:cs="Helvetica"/>
          <w:color w:val="FF0000"/>
          <w:lang w:val="en-US"/>
        </w:rPr>
        <w:t>Ian and Steve</w:t>
      </w:r>
      <w:r w:rsidR="00651B2A">
        <w:rPr>
          <w:rFonts w:cs="Helvetica"/>
          <w:lang w:val="en-US"/>
        </w:rPr>
        <w:t xml:space="preserve">.  We could also include here panels that illustrate the integration points – signal </w:t>
      </w:r>
      <w:proofErr w:type="spellStart"/>
      <w:r w:rsidR="00651B2A">
        <w:rPr>
          <w:rFonts w:cs="Helvetica"/>
          <w:lang w:val="en-US"/>
        </w:rPr>
        <w:t>vs</w:t>
      </w:r>
      <w:proofErr w:type="spellEnd"/>
      <w:r w:rsidR="00651B2A">
        <w:rPr>
          <w:rFonts w:cs="Helvetica"/>
          <w:lang w:val="en-US"/>
        </w:rPr>
        <w:t xml:space="preserve"> element representations, IDR?</w:t>
      </w:r>
    </w:p>
    <w:p w14:paraId="2FE6FA97" w14:textId="77777777" w:rsid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03EE4BC6" w14:textId="3E20D5C9" w:rsidR="008D6A9B" w:rsidRDefault="008D6A9B" w:rsidP="009D162F">
      <w:pPr>
        <w:spacing w:after="120" w:line="360" w:lineRule="auto"/>
        <w:rPr>
          <w:rFonts w:cs="Helvetica"/>
          <w:lang w:val="en-US"/>
        </w:rPr>
      </w:pPr>
      <w:r>
        <w:rPr>
          <w:rFonts w:cs="Helvetica"/>
          <w:lang w:val="en-US"/>
        </w:rPr>
        <w:t>We may need more in here on the just the facts summaries, or in supplementary.</w:t>
      </w:r>
    </w:p>
    <w:p w14:paraId="67DDAC1D" w14:textId="77777777" w:rsidR="008D6A9B" w:rsidRPr="009D162F" w:rsidRDefault="008D6A9B" w:rsidP="009D162F">
      <w:pPr>
        <w:spacing w:after="120" w:line="360" w:lineRule="auto"/>
        <w:rPr>
          <w:rFonts w:cs="Helvetica"/>
          <w:lang w:val="en-US"/>
        </w:rPr>
      </w:pPr>
    </w:p>
    <w:p w14:paraId="6321A533" w14:textId="2357F661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8D6A9B">
        <w:rPr>
          <w:rFonts w:cs="Helvetica"/>
          <w:i/>
          <w:lang w:val="en-US"/>
        </w:rPr>
        <w:t>Figure 2</w:t>
      </w:r>
      <w:r w:rsidRPr="009D162F">
        <w:rPr>
          <w:rFonts w:cs="Helvetica"/>
          <w:lang w:val="en-US"/>
        </w:rPr>
        <w:t xml:space="preserve">: (selection) Multi-panel selection figure: </w:t>
      </w:r>
      <w:r w:rsidR="008D6A9B">
        <w:rPr>
          <w:rFonts w:cs="Helvetica"/>
          <w:color w:val="FF0000"/>
          <w:lang w:val="en-US"/>
        </w:rPr>
        <w:t>Luke ward, Javier H</w:t>
      </w:r>
      <w:r w:rsidRPr="008D6A9B">
        <w:rPr>
          <w:rFonts w:cs="Helvetica"/>
          <w:color w:val="FF0000"/>
          <w:lang w:val="en-US"/>
        </w:rPr>
        <w:t>errero</w:t>
      </w:r>
    </w:p>
    <w:p w14:paraId="1CCB6FD2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A: Mammalian constraint </w:t>
      </w:r>
      <w:proofErr w:type="spellStart"/>
      <w:r w:rsidRPr="009D162F">
        <w:rPr>
          <w:rFonts w:cs="Helvetica"/>
          <w:lang w:val="en-US"/>
        </w:rPr>
        <w:t>vs</w:t>
      </w:r>
      <w:proofErr w:type="spellEnd"/>
      <w:r w:rsidRPr="009D162F">
        <w:rPr>
          <w:rFonts w:cs="Helvetica"/>
          <w:lang w:val="en-US"/>
        </w:rPr>
        <w:t xml:space="preserve"> </w:t>
      </w:r>
      <w:proofErr w:type="spellStart"/>
      <w:r w:rsidRPr="009D162F">
        <w:rPr>
          <w:rFonts w:cs="Helvetica"/>
          <w:lang w:val="en-US"/>
        </w:rPr>
        <w:t>Hetreozygosity</w:t>
      </w:r>
      <w:proofErr w:type="spellEnd"/>
    </w:p>
    <w:p w14:paraId="258FDF06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B: Something about Primate specific elements</w:t>
      </w:r>
    </w:p>
    <w:p w14:paraId="0EBE18A8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C: Motif IC content </w:t>
      </w:r>
      <w:proofErr w:type="spellStart"/>
      <w:r w:rsidRPr="009D162F">
        <w:rPr>
          <w:rFonts w:cs="Helvetica"/>
          <w:lang w:val="en-US"/>
        </w:rPr>
        <w:t>vs</w:t>
      </w:r>
      <w:proofErr w:type="spellEnd"/>
      <w:r w:rsidRPr="009D162F">
        <w:rPr>
          <w:rFonts w:cs="Helvetica"/>
          <w:lang w:val="en-US"/>
        </w:rPr>
        <w:t xml:space="preserve"> conservation</w:t>
      </w:r>
    </w:p>
    <w:p w14:paraId="6C7FC959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D: Scatter plot of Motif correlation to conservation</w:t>
      </w:r>
    </w:p>
    <w:p w14:paraId="7D5C5FA7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5BCE817A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605DFC14" w14:textId="4EB1BD2B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8D6A9B">
        <w:rPr>
          <w:rFonts w:cs="Helvetica"/>
          <w:i/>
          <w:lang w:val="en-US"/>
        </w:rPr>
        <w:t>Figure 3</w:t>
      </w:r>
      <w:r w:rsidRPr="009D162F">
        <w:rPr>
          <w:rFonts w:cs="Helvetica"/>
          <w:lang w:val="en-US"/>
        </w:rPr>
        <w:t xml:space="preserve">: </w:t>
      </w:r>
      <w:r w:rsidR="008D6A9B">
        <w:rPr>
          <w:rFonts w:cs="Helvetica"/>
          <w:lang w:val="en-US"/>
        </w:rPr>
        <w:t xml:space="preserve">The information content of ENCODE assays </w:t>
      </w:r>
      <w:r w:rsidRPr="008D6A9B">
        <w:rPr>
          <w:rFonts w:cs="Helvetica"/>
          <w:color w:val="FF0000"/>
          <w:lang w:val="en-US"/>
        </w:rPr>
        <w:t>Ben Brown</w:t>
      </w:r>
    </w:p>
    <w:p w14:paraId="5DB9ADA1" w14:textId="1549C260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A: distribution of information content across bases (CDF?)</w:t>
      </w:r>
    </w:p>
    <w:p w14:paraId="3730E0A2" w14:textId="1247B3C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B: comparison of information content over all bases </w:t>
      </w:r>
      <w:proofErr w:type="spellStart"/>
      <w:r w:rsidRPr="009D162F">
        <w:rPr>
          <w:rFonts w:cs="Helvetica"/>
          <w:lang w:val="en-US"/>
        </w:rPr>
        <w:t>vs</w:t>
      </w:r>
      <w:proofErr w:type="spellEnd"/>
      <w:r w:rsidRPr="009D162F">
        <w:rPr>
          <w:rFonts w:cs="Helvetica"/>
          <w:lang w:val="en-US"/>
        </w:rPr>
        <w:t xml:space="preserve"> conserve</w:t>
      </w:r>
      <w:r w:rsidR="008D6A9B">
        <w:rPr>
          <w:rFonts w:cs="Helvetica"/>
          <w:lang w:val="en-US"/>
        </w:rPr>
        <w:t xml:space="preserve">d, </w:t>
      </w:r>
      <w:proofErr w:type="gramStart"/>
      <w:r w:rsidR="008D6A9B">
        <w:rPr>
          <w:rFonts w:cs="Helvetica"/>
          <w:lang w:val="en-US"/>
        </w:rPr>
        <w:t>non coding</w:t>
      </w:r>
      <w:proofErr w:type="gramEnd"/>
      <w:r w:rsidR="008D6A9B">
        <w:rPr>
          <w:rFonts w:cs="Helvetica"/>
          <w:lang w:val="en-US"/>
        </w:rPr>
        <w:t xml:space="preserve"> bases (bar chart?)</w:t>
      </w:r>
    </w:p>
    <w:p w14:paraId="69266677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06DC7F1E" w14:textId="13B2F54A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8D2F99">
        <w:rPr>
          <w:rFonts w:cs="Helvetica"/>
          <w:i/>
          <w:lang w:val="en-US"/>
        </w:rPr>
        <w:t>Figure 4</w:t>
      </w:r>
      <w:r w:rsidRPr="009D162F">
        <w:rPr>
          <w:rFonts w:cs="Helvetica"/>
          <w:lang w:val="en-US"/>
        </w:rPr>
        <w:t xml:space="preserve">: (promoter) </w:t>
      </w:r>
      <w:proofErr w:type="spellStart"/>
      <w:r w:rsidRPr="008D2F99">
        <w:rPr>
          <w:rFonts w:cs="Helvetica"/>
          <w:color w:val="FF0000"/>
          <w:lang w:val="en-US"/>
        </w:rPr>
        <w:t>Xianjun</w:t>
      </w:r>
      <w:proofErr w:type="spellEnd"/>
      <w:r w:rsidRPr="008D2F99">
        <w:rPr>
          <w:rFonts w:cs="Helvetica"/>
          <w:color w:val="FF0000"/>
          <w:lang w:val="en-US"/>
        </w:rPr>
        <w:t xml:space="preserve"> Dong, Chao Cheng</w:t>
      </w:r>
    </w:p>
    <w:p w14:paraId="6D442E8D" w14:textId="5378C31E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A: Distribution of histone modifications over promoters, in LCP and HCP</w:t>
      </w:r>
    </w:p>
    <w:p w14:paraId="79F5A19F" w14:textId="5AE22851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B: Distribution of TF density over promoters, in LCP HCP, TATA and something else pulled out?</w:t>
      </w:r>
    </w:p>
    <w:p w14:paraId="247809B1" w14:textId="3131A423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C: Quantitative model fit for LCP and HCP; histones</w:t>
      </w:r>
    </w:p>
    <w:p w14:paraId="4431798A" w14:textId="7E5A644D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D: Quantitative model fit for TFs?</w:t>
      </w:r>
      <w:r w:rsidR="008D2F99">
        <w:rPr>
          <w:rFonts w:cs="Helvetica"/>
          <w:lang w:val="en-US"/>
        </w:rPr>
        <w:t xml:space="preserve"> Currently not referred to in the text.</w:t>
      </w:r>
    </w:p>
    <w:p w14:paraId="39108A3C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4A93F73D" w14:textId="5A0EF0DE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8D2F99">
        <w:rPr>
          <w:rFonts w:cs="Helvetica"/>
          <w:i/>
          <w:lang w:val="en-US"/>
        </w:rPr>
        <w:lastRenderedPageBreak/>
        <w:t>Figure 5</w:t>
      </w:r>
      <w:r w:rsidRPr="009D162F">
        <w:rPr>
          <w:rFonts w:cs="Helvetica"/>
          <w:lang w:val="en-US"/>
        </w:rPr>
        <w:t xml:space="preserve">: </w:t>
      </w:r>
      <w:r w:rsidR="00600B02">
        <w:rPr>
          <w:rFonts w:cs="Helvetica"/>
          <w:lang w:val="en-US"/>
        </w:rPr>
        <w:t>P</w:t>
      </w:r>
      <w:r w:rsidR="008D2F99">
        <w:rPr>
          <w:rFonts w:cs="Helvetica"/>
          <w:lang w:val="en-US"/>
        </w:rPr>
        <w:t xml:space="preserve">atterns of chromatin </w:t>
      </w:r>
      <w:proofErr w:type="spellStart"/>
      <w:r w:rsidR="008D2F99">
        <w:rPr>
          <w:rFonts w:cs="Helvetica"/>
          <w:lang w:val="en-US"/>
        </w:rPr>
        <w:t>modificiations</w:t>
      </w:r>
      <w:proofErr w:type="spellEnd"/>
      <w:r w:rsidR="008D2F99">
        <w:rPr>
          <w:rFonts w:cs="Helvetica"/>
          <w:lang w:val="en-US"/>
        </w:rPr>
        <w:t xml:space="preserve"> at transcription factor binding sites. </w:t>
      </w:r>
      <w:r w:rsidRPr="009D162F">
        <w:rPr>
          <w:rFonts w:cs="Helvetica"/>
          <w:lang w:val="en-US"/>
        </w:rPr>
        <w:t>(</w:t>
      </w:r>
      <w:proofErr w:type="spellStart"/>
      <w:proofErr w:type="gramStart"/>
      <w:r w:rsidRPr="009D162F">
        <w:rPr>
          <w:rFonts w:cs="Helvetica"/>
          <w:lang w:val="en-US"/>
        </w:rPr>
        <w:t>tf</w:t>
      </w:r>
      <w:proofErr w:type="gramEnd"/>
      <w:r w:rsidRPr="009D162F">
        <w:rPr>
          <w:rFonts w:cs="Helvetica"/>
          <w:lang w:val="en-US"/>
        </w:rPr>
        <w:t>_anchored</w:t>
      </w:r>
      <w:proofErr w:type="spellEnd"/>
      <w:r w:rsidRPr="009D162F">
        <w:rPr>
          <w:rFonts w:cs="Helvetica"/>
          <w:lang w:val="en-US"/>
        </w:rPr>
        <w:t xml:space="preserve">) </w:t>
      </w:r>
      <w:proofErr w:type="spellStart"/>
      <w:r w:rsidRPr="008D2F99">
        <w:rPr>
          <w:rFonts w:cs="Helvetica"/>
          <w:color w:val="FF0000"/>
          <w:lang w:val="en-US"/>
        </w:rPr>
        <w:t>Xianjun</w:t>
      </w:r>
      <w:proofErr w:type="spellEnd"/>
      <w:r w:rsidRPr="008D2F99">
        <w:rPr>
          <w:rFonts w:cs="Helvetica"/>
          <w:color w:val="FF0000"/>
          <w:lang w:val="en-US"/>
        </w:rPr>
        <w:t xml:space="preserve"> Dong, Ewan Birney</w:t>
      </w:r>
    </w:p>
    <w:p w14:paraId="68637211" w14:textId="77777777" w:rsidR="008D2F99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Examples of TF/Chromatin association:</w:t>
      </w:r>
    </w:p>
    <w:p w14:paraId="0658C5F8" w14:textId="4A1BF81A" w:rsidR="009D162F" w:rsidRPr="009D162F" w:rsidRDefault="009D162F" w:rsidP="008D2F99">
      <w:pPr>
        <w:spacing w:after="120" w:line="360" w:lineRule="auto"/>
        <w:ind w:firstLine="720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CTCF Proximal </w:t>
      </w:r>
      <w:proofErr w:type="spellStart"/>
      <w:r w:rsidRPr="009D162F">
        <w:rPr>
          <w:rFonts w:cs="Helvetica"/>
          <w:lang w:val="en-US"/>
        </w:rPr>
        <w:t>vs</w:t>
      </w:r>
      <w:proofErr w:type="spellEnd"/>
      <w:r w:rsidRPr="009D162F">
        <w:rPr>
          <w:rFonts w:cs="Helvetica"/>
          <w:lang w:val="en-US"/>
        </w:rPr>
        <w:t xml:space="preserve"> Distal</w:t>
      </w:r>
    </w:p>
    <w:p w14:paraId="6231D438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     TAF</w:t>
      </w:r>
    </w:p>
    <w:p w14:paraId="2ACA9268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     KAP</w:t>
      </w:r>
    </w:p>
    <w:p w14:paraId="40A7477F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     ? One more?</w:t>
      </w:r>
    </w:p>
    <w:p w14:paraId="6C002F39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8D2F99">
        <w:rPr>
          <w:rFonts w:cs="Helvetica"/>
          <w:i/>
          <w:lang w:val="en-US"/>
        </w:rPr>
        <w:t>Figure 6</w:t>
      </w:r>
      <w:r w:rsidRPr="009D162F">
        <w:rPr>
          <w:rFonts w:cs="Helvetica"/>
          <w:lang w:val="en-US"/>
        </w:rPr>
        <w:t>: (</w:t>
      </w:r>
      <w:proofErr w:type="spellStart"/>
      <w:r w:rsidRPr="009D162F">
        <w:rPr>
          <w:rFonts w:cs="Helvetica"/>
          <w:lang w:val="en-US"/>
        </w:rPr>
        <w:t>tf_assoc</w:t>
      </w:r>
      <w:proofErr w:type="spellEnd"/>
      <w:r w:rsidRPr="009D162F">
        <w:rPr>
          <w:rFonts w:cs="Helvetica"/>
          <w:lang w:val="en-US"/>
        </w:rPr>
        <w:t xml:space="preserve">) TF Associations: </w:t>
      </w:r>
      <w:r w:rsidRPr="00600B02">
        <w:rPr>
          <w:rFonts w:cs="Helvetica"/>
          <w:color w:val="FF0000"/>
          <w:lang w:val="en-US"/>
        </w:rPr>
        <w:t>Anshul</w:t>
      </w:r>
    </w:p>
    <w:p w14:paraId="5E209A50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02AB92F0" w14:textId="6B57FAB6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  Co-association matrix of TFs by GSC statistics</w:t>
      </w:r>
    </w:p>
    <w:p w14:paraId="0B30B950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  Example association</w:t>
      </w:r>
    </w:p>
    <w:p w14:paraId="6657A490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4B511BC7" w14:textId="738EB0B6" w:rsidR="009D162F" w:rsidRPr="00600B02" w:rsidRDefault="009D162F" w:rsidP="009D162F">
      <w:pPr>
        <w:spacing w:after="120" w:line="360" w:lineRule="auto"/>
        <w:rPr>
          <w:rFonts w:cs="Helvetica"/>
          <w:color w:val="FF0000"/>
          <w:lang w:val="en-US"/>
        </w:rPr>
      </w:pPr>
      <w:r w:rsidRPr="00600B02">
        <w:rPr>
          <w:rFonts w:cs="Helvetica"/>
          <w:i/>
          <w:lang w:val="en-US"/>
        </w:rPr>
        <w:t>Figure 7</w:t>
      </w:r>
      <w:r w:rsidRPr="009D162F">
        <w:rPr>
          <w:rFonts w:cs="Helvetica"/>
          <w:lang w:val="en-US"/>
        </w:rPr>
        <w:t xml:space="preserve">: </w:t>
      </w:r>
      <w:r w:rsidR="00600B02">
        <w:rPr>
          <w:rFonts w:cs="Helvetica"/>
          <w:lang w:val="en-US"/>
        </w:rPr>
        <w:t xml:space="preserve">Patterns of chromatin </w:t>
      </w:r>
      <w:proofErr w:type="spellStart"/>
      <w:r w:rsidR="00600B02">
        <w:rPr>
          <w:rFonts w:cs="Helvetica"/>
          <w:lang w:val="en-US"/>
        </w:rPr>
        <w:t>modificiations</w:t>
      </w:r>
      <w:proofErr w:type="spellEnd"/>
      <w:r w:rsidR="00600B02">
        <w:rPr>
          <w:rFonts w:cs="Helvetica"/>
          <w:lang w:val="en-US"/>
        </w:rPr>
        <w:t xml:space="preserve"> at genomic repeat sequences </w:t>
      </w:r>
      <w:r w:rsidRPr="009D162F">
        <w:rPr>
          <w:rFonts w:cs="Helvetica"/>
          <w:lang w:val="en-US"/>
        </w:rPr>
        <w:t>(</w:t>
      </w:r>
      <w:proofErr w:type="spellStart"/>
      <w:r w:rsidRPr="009D162F">
        <w:rPr>
          <w:rFonts w:cs="Helvetica"/>
          <w:lang w:val="en-US"/>
        </w:rPr>
        <w:t>repeat_anchored</w:t>
      </w:r>
      <w:proofErr w:type="spellEnd"/>
      <w:r w:rsidRPr="009D162F">
        <w:rPr>
          <w:rFonts w:cs="Helvetica"/>
          <w:lang w:val="en-US"/>
        </w:rPr>
        <w:t xml:space="preserve">) </w:t>
      </w:r>
      <w:r w:rsidRPr="00600B02">
        <w:rPr>
          <w:rFonts w:cs="Helvetica"/>
          <w:color w:val="FF0000"/>
          <w:lang w:val="en-US"/>
        </w:rPr>
        <w:t>Ian Dunham/Ewan Birney</w:t>
      </w:r>
    </w:p>
    <w:p w14:paraId="01A3779D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77307F19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 </w:t>
      </w:r>
      <w:proofErr w:type="gramStart"/>
      <w:r w:rsidRPr="009D162F">
        <w:rPr>
          <w:rFonts w:cs="Helvetica"/>
          <w:lang w:val="en-US"/>
        </w:rPr>
        <w:t>Likely to be similar to TF line above.</w:t>
      </w:r>
      <w:proofErr w:type="gramEnd"/>
    </w:p>
    <w:p w14:paraId="10948547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2CC9A533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600B02">
        <w:rPr>
          <w:rFonts w:cs="Helvetica"/>
          <w:i/>
          <w:lang w:val="en-US"/>
        </w:rPr>
        <w:t>Figure 8</w:t>
      </w:r>
      <w:r w:rsidRPr="009D162F">
        <w:rPr>
          <w:rFonts w:cs="Helvetica"/>
          <w:lang w:val="en-US"/>
        </w:rPr>
        <w:t xml:space="preserve">: (segmentation) </w:t>
      </w:r>
      <w:r w:rsidRPr="00600B02">
        <w:rPr>
          <w:rFonts w:cs="Helvetica"/>
          <w:color w:val="FF0000"/>
          <w:lang w:val="en-US"/>
        </w:rPr>
        <w:t>Steve Wilder/Michael Hoffman/Jason Ernst</w:t>
      </w:r>
    </w:p>
    <w:p w14:paraId="4ED3560A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273994A3" w14:textId="2A295833" w:rsidR="009D162F" w:rsidRPr="009D162F" w:rsidRDefault="00600B02" w:rsidP="00600B02">
      <w:pPr>
        <w:spacing w:after="120" w:line="360" w:lineRule="auto"/>
        <w:ind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A. </w:t>
      </w:r>
      <w:r w:rsidR="009D162F" w:rsidRPr="009D162F">
        <w:rPr>
          <w:rFonts w:cs="Helvetica"/>
          <w:lang w:val="en-US"/>
        </w:rPr>
        <w:t>Illustrative region with both segmentations and joint call</w:t>
      </w:r>
    </w:p>
    <w:p w14:paraId="4CBB5FB9" w14:textId="0F295999" w:rsidR="00600B02" w:rsidRDefault="00600B02" w:rsidP="00600B02">
      <w:pPr>
        <w:spacing w:after="120" w:line="360" w:lineRule="auto"/>
        <w:ind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B. </w:t>
      </w:r>
      <w:r w:rsidR="009D162F" w:rsidRPr="009D162F">
        <w:rPr>
          <w:rFonts w:cs="Helvetica"/>
          <w:lang w:val="en-US"/>
        </w:rPr>
        <w:t xml:space="preserve">Association </w:t>
      </w:r>
      <w:proofErr w:type="spellStart"/>
      <w:r w:rsidR="009D162F" w:rsidRPr="009D162F">
        <w:rPr>
          <w:rFonts w:cs="Helvetica"/>
          <w:lang w:val="en-US"/>
        </w:rPr>
        <w:t>vs</w:t>
      </w:r>
      <w:proofErr w:type="spellEnd"/>
      <w:r w:rsidR="009D162F" w:rsidRPr="009D162F">
        <w:rPr>
          <w:rFonts w:cs="Helvetica"/>
          <w:lang w:val="en-US"/>
        </w:rPr>
        <w:t xml:space="preserve"> different types of elements</w:t>
      </w:r>
    </w:p>
    <w:p w14:paraId="15C2C0A7" w14:textId="405EF77B" w:rsidR="009D162F" w:rsidRDefault="00600B02" w:rsidP="00600B02">
      <w:pPr>
        <w:spacing w:after="120" w:line="360" w:lineRule="auto"/>
        <w:ind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C. </w:t>
      </w:r>
      <w:r w:rsidR="009D162F" w:rsidRPr="009D162F">
        <w:rPr>
          <w:rFonts w:cs="Helvetica"/>
          <w:lang w:val="en-US"/>
        </w:rPr>
        <w:t xml:space="preserve">RNA segmentation; confusion plot of RNA </w:t>
      </w:r>
      <w:proofErr w:type="spellStart"/>
      <w:r w:rsidR="009D162F" w:rsidRPr="009D162F">
        <w:rPr>
          <w:rFonts w:cs="Helvetica"/>
          <w:lang w:val="en-US"/>
        </w:rPr>
        <w:t>vs</w:t>
      </w:r>
      <w:proofErr w:type="spellEnd"/>
      <w:r w:rsidR="009D162F" w:rsidRPr="009D162F">
        <w:rPr>
          <w:rFonts w:cs="Helvetica"/>
          <w:lang w:val="en-US"/>
        </w:rPr>
        <w:t xml:space="preserve"> Chromatin if it makes sense</w:t>
      </w:r>
    </w:p>
    <w:p w14:paraId="13C7B10A" w14:textId="16490CAB" w:rsidR="00600B02" w:rsidRPr="009D162F" w:rsidRDefault="00600B02" w:rsidP="009D162F">
      <w:pPr>
        <w:spacing w:after="120" w:line="360" w:lineRule="auto"/>
        <w:rPr>
          <w:rFonts w:cs="Helvetica"/>
          <w:lang w:val="en-US"/>
        </w:rPr>
      </w:pPr>
      <w:r>
        <w:rPr>
          <w:rFonts w:cs="Helvetica"/>
          <w:lang w:val="en-US"/>
        </w:rPr>
        <w:tab/>
        <w:t>D. Methylation is referred to in the text.</w:t>
      </w:r>
    </w:p>
    <w:p w14:paraId="6B659437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32F4021C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5601B706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600B02">
        <w:rPr>
          <w:rFonts w:cs="Helvetica"/>
          <w:i/>
          <w:lang w:val="en-US"/>
        </w:rPr>
        <w:lastRenderedPageBreak/>
        <w:t>Figure 9</w:t>
      </w:r>
      <w:r w:rsidRPr="009D162F">
        <w:rPr>
          <w:rFonts w:cs="Helvetica"/>
          <w:lang w:val="en-US"/>
        </w:rPr>
        <w:t>: (</w:t>
      </w:r>
      <w:proofErr w:type="spellStart"/>
      <w:r w:rsidRPr="009D162F">
        <w:rPr>
          <w:rFonts w:cs="Helvetica"/>
          <w:lang w:val="en-US"/>
        </w:rPr>
        <w:t>Self_organised_maps</w:t>
      </w:r>
      <w:proofErr w:type="spellEnd"/>
      <w:r w:rsidRPr="009D162F">
        <w:rPr>
          <w:rFonts w:cs="Helvetica"/>
          <w:lang w:val="en-US"/>
        </w:rPr>
        <w:t>) Ali</w:t>
      </w:r>
    </w:p>
    <w:p w14:paraId="1AD74CA1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</w:t>
      </w:r>
    </w:p>
    <w:p w14:paraId="2BC2C91B" w14:textId="3925E281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Example SOM map with 2 or 3 assays</w:t>
      </w:r>
    </w:p>
    <w:p w14:paraId="1390347F" w14:textId="7D6F450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One GO term enrichment map</w:t>
      </w:r>
    </w:p>
    <w:p w14:paraId="1E3AAFA6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All GO terms enrichment</w:t>
      </w:r>
    </w:p>
    <w:p w14:paraId="4C714008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68FCD1D6" w14:textId="17D91B94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600B02">
        <w:rPr>
          <w:rFonts w:cs="Helvetica"/>
          <w:i/>
          <w:lang w:val="en-US"/>
        </w:rPr>
        <w:t>Figure 10</w:t>
      </w:r>
      <w:r w:rsidRPr="009D162F">
        <w:rPr>
          <w:rFonts w:cs="Helvetica"/>
          <w:lang w:val="en-US"/>
        </w:rPr>
        <w:t>: (</w:t>
      </w:r>
      <w:proofErr w:type="spellStart"/>
      <w:r w:rsidRPr="009D162F">
        <w:rPr>
          <w:rFonts w:cs="Helvetica"/>
          <w:lang w:val="en-US"/>
        </w:rPr>
        <w:t>Experimental_validation</w:t>
      </w:r>
      <w:proofErr w:type="spellEnd"/>
      <w:proofErr w:type="gramStart"/>
      <w:r w:rsidRPr="009D162F">
        <w:rPr>
          <w:rFonts w:cs="Helvetica"/>
          <w:lang w:val="en-US"/>
        </w:rPr>
        <w:t>) :</w:t>
      </w:r>
      <w:proofErr w:type="gramEnd"/>
      <w:r w:rsidRPr="009D162F">
        <w:rPr>
          <w:rFonts w:cs="Helvetica"/>
          <w:lang w:val="en-US"/>
        </w:rPr>
        <w:t xml:space="preserve"> </w:t>
      </w:r>
      <w:r w:rsidRPr="00600B02">
        <w:rPr>
          <w:rFonts w:cs="Helvetica"/>
          <w:color w:val="FF0000"/>
          <w:lang w:val="en-US"/>
        </w:rPr>
        <w:t>Chris/Ewan</w:t>
      </w:r>
    </w:p>
    <w:p w14:paraId="460AF355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Experimental design figure</w:t>
      </w:r>
    </w:p>
    <w:p w14:paraId="1E9B45D5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Examples of in vitro plate, mouse, fish</w:t>
      </w:r>
    </w:p>
    <w:p w14:paraId="3FBF6A13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9D162F">
        <w:rPr>
          <w:rFonts w:cs="Helvetica"/>
          <w:lang w:val="en-US"/>
        </w:rPr>
        <w:t xml:space="preserve">         Enrichment over background of different methods </w:t>
      </w:r>
      <w:proofErr w:type="spellStart"/>
      <w:r w:rsidRPr="009D162F">
        <w:rPr>
          <w:rFonts w:cs="Helvetica"/>
          <w:lang w:val="en-US"/>
        </w:rPr>
        <w:t>vs</w:t>
      </w:r>
      <w:proofErr w:type="spellEnd"/>
      <w:r w:rsidRPr="009D162F">
        <w:rPr>
          <w:rFonts w:cs="Helvetica"/>
          <w:lang w:val="en-US"/>
        </w:rPr>
        <w:t xml:space="preserve"> different assays</w:t>
      </w:r>
    </w:p>
    <w:p w14:paraId="2D55308C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4606122D" w14:textId="1E9F64D2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600B02">
        <w:rPr>
          <w:rFonts w:cs="Helvetica"/>
          <w:i/>
          <w:lang w:val="en-US"/>
        </w:rPr>
        <w:t>Figure 11</w:t>
      </w:r>
      <w:r w:rsidRPr="009D162F">
        <w:rPr>
          <w:rFonts w:cs="Helvetica"/>
          <w:lang w:val="en-US"/>
        </w:rPr>
        <w:t>: (</w:t>
      </w:r>
      <w:proofErr w:type="spellStart"/>
      <w:r w:rsidRPr="009D162F">
        <w:rPr>
          <w:rFonts w:cs="Helvetica"/>
          <w:lang w:val="en-US"/>
        </w:rPr>
        <w:t>allele_sp</w:t>
      </w:r>
      <w:proofErr w:type="spellEnd"/>
      <w:r w:rsidRPr="009D162F">
        <w:rPr>
          <w:rFonts w:cs="Helvetica"/>
          <w:lang w:val="en-US"/>
        </w:rPr>
        <w:t xml:space="preserve">) Allele specific information: </w:t>
      </w:r>
      <w:r w:rsidRPr="00600B02">
        <w:rPr>
          <w:rFonts w:cs="Helvetica"/>
          <w:color w:val="FF0000"/>
          <w:lang w:val="en-US"/>
        </w:rPr>
        <w:t xml:space="preserve">Tim Reddy and Bob </w:t>
      </w:r>
      <w:proofErr w:type="spellStart"/>
      <w:r w:rsidRPr="00600B02">
        <w:rPr>
          <w:rFonts w:cs="Helvetica"/>
          <w:color w:val="FF0000"/>
          <w:lang w:val="en-US"/>
        </w:rPr>
        <w:t>Altschuler</w:t>
      </w:r>
      <w:proofErr w:type="spellEnd"/>
    </w:p>
    <w:p w14:paraId="71F427F4" w14:textId="42C2E308" w:rsidR="009D162F" w:rsidRPr="009D162F" w:rsidRDefault="00E90209" w:rsidP="00E90209">
      <w:pPr>
        <w:spacing w:after="120" w:line="360" w:lineRule="auto"/>
        <w:ind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A. </w:t>
      </w:r>
      <w:r w:rsidR="009D162F" w:rsidRPr="009D162F">
        <w:rPr>
          <w:rFonts w:cs="Helvetica"/>
          <w:lang w:val="en-US"/>
        </w:rPr>
        <w:t>Example locus</w:t>
      </w:r>
    </w:p>
    <w:p w14:paraId="28BEAE38" w14:textId="2E08EF2C" w:rsidR="009D162F" w:rsidRPr="009D162F" w:rsidRDefault="00E90209" w:rsidP="00E90209">
      <w:pPr>
        <w:spacing w:after="120" w:line="360" w:lineRule="auto"/>
        <w:ind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B. </w:t>
      </w:r>
      <w:r w:rsidR="009D162F" w:rsidRPr="009D162F">
        <w:rPr>
          <w:rFonts w:cs="Helvetica"/>
          <w:lang w:val="en-US"/>
        </w:rPr>
        <w:t>Example assay combination</w:t>
      </w:r>
    </w:p>
    <w:p w14:paraId="3A5CCD67" w14:textId="77777777" w:rsidR="00E90209" w:rsidRDefault="00E90209" w:rsidP="00E90209">
      <w:pPr>
        <w:spacing w:after="120" w:line="360" w:lineRule="auto"/>
        <w:ind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C. </w:t>
      </w:r>
      <w:r w:rsidR="009D162F" w:rsidRPr="009D162F">
        <w:rPr>
          <w:rFonts w:cs="Helvetica"/>
          <w:lang w:val="en-US"/>
        </w:rPr>
        <w:t>Pairwise assay correlation</w:t>
      </w:r>
    </w:p>
    <w:p w14:paraId="37400232" w14:textId="710468AA" w:rsidR="009D162F" w:rsidRPr="009D162F" w:rsidRDefault="00E90209" w:rsidP="00E90209">
      <w:pPr>
        <w:spacing w:after="120" w:line="360" w:lineRule="auto"/>
        <w:ind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D. </w:t>
      </w:r>
      <w:r w:rsidR="009D162F" w:rsidRPr="009D162F">
        <w:rPr>
          <w:rFonts w:cs="Helvetica"/>
          <w:lang w:val="en-US"/>
        </w:rPr>
        <w:t>Pol2--&gt;Cytoplasmic RNA progression</w:t>
      </w:r>
    </w:p>
    <w:p w14:paraId="2DA11155" w14:textId="77777777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</w:p>
    <w:p w14:paraId="26DBB3A5" w14:textId="513022CA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E90209">
        <w:rPr>
          <w:rFonts w:cs="Helvetica"/>
          <w:i/>
          <w:lang w:val="en-US"/>
        </w:rPr>
        <w:t>Figure 12</w:t>
      </w:r>
      <w:r w:rsidRPr="009D162F">
        <w:rPr>
          <w:rFonts w:cs="Helvetica"/>
          <w:lang w:val="en-US"/>
        </w:rPr>
        <w:t>: (</w:t>
      </w:r>
      <w:proofErr w:type="spellStart"/>
      <w:r w:rsidRPr="009D162F">
        <w:rPr>
          <w:rFonts w:cs="Helvetica"/>
          <w:lang w:val="en-US"/>
        </w:rPr>
        <w:t>gwas_cancer</w:t>
      </w:r>
      <w:proofErr w:type="spellEnd"/>
      <w:r w:rsidRPr="009D162F">
        <w:rPr>
          <w:rFonts w:cs="Helvetica"/>
          <w:lang w:val="en-US"/>
        </w:rPr>
        <w:t xml:space="preserve">) Variation association (GWAS) and Cancer. </w:t>
      </w:r>
      <w:r w:rsidRPr="00E90209">
        <w:rPr>
          <w:rFonts w:cs="Helvetica"/>
          <w:color w:val="FF0000"/>
          <w:lang w:val="en-US"/>
        </w:rPr>
        <w:t>Ross/Belinda</w:t>
      </w:r>
    </w:p>
    <w:p w14:paraId="55878BCB" w14:textId="078BC261" w:rsidR="009D162F" w:rsidRPr="009D162F" w:rsidRDefault="00E90209" w:rsidP="00E90209">
      <w:pPr>
        <w:spacing w:after="120" w:line="360" w:lineRule="auto"/>
        <w:ind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A. </w:t>
      </w:r>
      <w:r w:rsidR="009D162F" w:rsidRPr="009D162F">
        <w:rPr>
          <w:rFonts w:cs="Helvetica"/>
          <w:lang w:val="en-US"/>
        </w:rPr>
        <w:t>Association of GWAS SNPs to Segmentation/</w:t>
      </w:r>
      <w:proofErr w:type="spellStart"/>
      <w:r w:rsidR="009D162F" w:rsidRPr="009D162F">
        <w:rPr>
          <w:rFonts w:cs="Helvetica"/>
          <w:lang w:val="en-US"/>
        </w:rPr>
        <w:t>DNaseI</w:t>
      </w:r>
      <w:proofErr w:type="spellEnd"/>
      <w:r w:rsidR="009D162F" w:rsidRPr="009D162F">
        <w:rPr>
          <w:rFonts w:cs="Helvetica"/>
          <w:lang w:val="en-US"/>
        </w:rPr>
        <w:t>/TFs</w:t>
      </w:r>
    </w:p>
    <w:p w14:paraId="56C801C5" w14:textId="3DDEDC78" w:rsidR="009D162F" w:rsidRPr="009D162F" w:rsidRDefault="00E90209" w:rsidP="00E90209">
      <w:pPr>
        <w:spacing w:after="120" w:line="360" w:lineRule="auto"/>
        <w:ind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B. </w:t>
      </w:r>
      <w:r w:rsidR="009D162F" w:rsidRPr="009D162F">
        <w:rPr>
          <w:rFonts w:cs="Helvetica"/>
          <w:lang w:val="en-US"/>
        </w:rPr>
        <w:t>Example locus</w:t>
      </w:r>
    </w:p>
    <w:p w14:paraId="52A7E22E" w14:textId="7C851B17" w:rsidR="009D162F" w:rsidRPr="009D162F" w:rsidRDefault="00E90209" w:rsidP="00E90209">
      <w:pPr>
        <w:spacing w:after="120" w:line="360" w:lineRule="auto"/>
        <w:ind w:firstLine="720"/>
        <w:rPr>
          <w:rFonts w:cs="Helvetica"/>
          <w:lang w:val="en-US"/>
        </w:rPr>
      </w:pPr>
      <w:r>
        <w:rPr>
          <w:rFonts w:cs="Helvetica"/>
          <w:lang w:val="en-US"/>
        </w:rPr>
        <w:t>C. E</w:t>
      </w:r>
      <w:r w:rsidR="009D162F" w:rsidRPr="009D162F">
        <w:rPr>
          <w:rFonts w:cs="Helvetica"/>
          <w:lang w:val="en-US"/>
        </w:rPr>
        <w:t>xclusion of Somatic variants in Cancer</w:t>
      </w:r>
    </w:p>
    <w:p w14:paraId="196D40D0" w14:textId="77777777" w:rsidR="00E90209" w:rsidRDefault="00E90209" w:rsidP="009D162F">
      <w:pPr>
        <w:spacing w:after="120" w:line="360" w:lineRule="auto"/>
        <w:rPr>
          <w:rFonts w:cs="Helvetica"/>
          <w:lang w:val="en-US"/>
        </w:rPr>
      </w:pPr>
    </w:p>
    <w:p w14:paraId="21E054A4" w14:textId="69B25998" w:rsidR="009D162F" w:rsidRPr="009D162F" w:rsidRDefault="009D162F" w:rsidP="009D162F">
      <w:pPr>
        <w:spacing w:after="120" w:line="360" w:lineRule="auto"/>
        <w:rPr>
          <w:rFonts w:cs="Helvetica"/>
          <w:lang w:val="en-US"/>
        </w:rPr>
      </w:pPr>
      <w:r w:rsidRPr="00E90209">
        <w:rPr>
          <w:rFonts w:cs="Helvetica"/>
          <w:i/>
          <w:lang w:val="en-US"/>
        </w:rPr>
        <w:t>Figure 13</w:t>
      </w:r>
      <w:r w:rsidRPr="009D162F">
        <w:rPr>
          <w:rFonts w:cs="Helvetica"/>
          <w:lang w:val="en-US"/>
        </w:rPr>
        <w:t>: (</w:t>
      </w:r>
      <w:proofErr w:type="spellStart"/>
      <w:r w:rsidRPr="009D162F">
        <w:rPr>
          <w:rFonts w:cs="Helvetica"/>
          <w:lang w:val="en-US"/>
        </w:rPr>
        <w:t>personal_genome</w:t>
      </w:r>
      <w:proofErr w:type="spellEnd"/>
      <w:r w:rsidRPr="009D162F">
        <w:rPr>
          <w:rFonts w:cs="Helvetica"/>
          <w:lang w:val="en-US"/>
        </w:rPr>
        <w:t>) Personal genomes/rare disease. Joel/Mark</w:t>
      </w:r>
    </w:p>
    <w:p w14:paraId="361BE953" w14:textId="52D9B5A5" w:rsidR="009D162F" w:rsidRPr="009D162F" w:rsidRDefault="00E90209" w:rsidP="00E90209">
      <w:pPr>
        <w:spacing w:after="120" w:line="360" w:lineRule="auto"/>
        <w:ind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A. </w:t>
      </w:r>
      <w:r w:rsidR="009D162F" w:rsidRPr="009D162F">
        <w:rPr>
          <w:rFonts w:cs="Helvetica"/>
          <w:lang w:val="en-US"/>
        </w:rPr>
        <w:t>Example region with assay recalled on personal haplotypes</w:t>
      </w:r>
    </w:p>
    <w:p w14:paraId="23216CB2" w14:textId="2BA09A63" w:rsidR="009D162F" w:rsidRPr="009D162F" w:rsidRDefault="00E90209" w:rsidP="00E90209">
      <w:pPr>
        <w:spacing w:after="120" w:line="360" w:lineRule="auto"/>
        <w:ind w:firstLine="720"/>
        <w:rPr>
          <w:rFonts w:cs="Helvetica"/>
          <w:lang w:val="en-US"/>
        </w:rPr>
      </w:pPr>
      <w:r>
        <w:rPr>
          <w:rFonts w:cs="Helvetica"/>
          <w:lang w:val="en-US"/>
        </w:rPr>
        <w:t xml:space="preserve">B. </w:t>
      </w:r>
      <w:r w:rsidR="009D162F" w:rsidRPr="009D162F">
        <w:rPr>
          <w:rFonts w:cs="Helvetica"/>
          <w:lang w:val="en-US"/>
        </w:rPr>
        <w:t xml:space="preserve">Diagram indicating the new set of variants </w:t>
      </w:r>
      <w:proofErr w:type="spellStart"/>
      <w:r w:rsidR="009D162F" w:rsidRPr="009D162F">
        <w:rPr>
          <w:rFonts w:cs="Helvetica"/>
          <w:lang w:val="en-US"/>
        </w:rPr>
        <w:t>prioritised</w:t>
      </w:r>
      <w:proofErr w:type="spellEnd"/>
      <w:r w:rsidR="009D162F" w:rsidRPr="009D162F">
        <w:rPr>
          <w:rFonts w:cs="Helvetica"/>
          <w:lang w:val="en-US"/>
        </w:rPr>
        <w:t xml:space="preserve"> by ENCODE</w:t>
      </w:r>
    </w:p>
    <w:p w14:paraId="20771268" w14:textId="77777777" w:rsidR="005527C6" w:rsidRDefault="005527C6" w:rsidP="009213D5">
      <w:pPr>
        <w:spacing w:after="120" w:line="360" w:lineRule="auto"/>
        <w:rPr>
          <w:rFonts w:cs="Helvetica"/>
          <w:b/>
          <w:lang w:val="en-US"/>
        </w:rPr>
      </w:pPr>
    </w:p>
    <w:p w14:paraId="1309DDAD" w14:textId="77777777" w:rsidR="005527C6" w:rsidRPr="005527C6" w:rsidRDefault="005527C6" w:rsidP="009213D5">
      <w:pPr>
        <w:spacing w:after="120" w:line="360" w:lineRule="auto"/>
        <w:rPr>
          <w:rFonts w:cs="Helvetica"/>
          <w:b/>
          <w:lang w:val="en-US"/>
        </w:rPr>
      </w:pPr>
      <w:r>
        <w:rPr>
          <w:rFonts w:cs="Helvetica"/>
          <w:b/>
          <w:lang w:val="en-US"/>
        </w:rPr>
        <w:t>T</w:t>
      </w:r>
      <w:r w:rsidRPr="005527C6">
        <w:rPr>
          <w:rFonts w:cs="Helvetica"/>
          <w:b/>
          <w:lang w:val="en-US"/>
        </w:rPr>
        <w:t>ables</w:t>
      </w:r>
    </w:p>
    <w:p w14:paraId="7C89EAAB" w14:textId="77777777" w:rsidR="005527C6" w:rsidRDefault="005527C6" w:rsidP="009213D5">
      <w:pPr>
        <w:spacing w:after="120" w:line="360" w:lineRule="auto"/>
        <w:rPr>
          <w:rFonts w:cs="Helvetica"/>
          <w:b/>
          <w:lang w:val="en-US"/>
        </w:rPr>
      </w:pPr>
      <w:r>
        <w:rPr>
          <w:rFonts w:cs="Helvetica"/>
          <w:b/>
          <w:lang w:val="en-US"/>
        </w:rPr>
        <w:t>Supplementary Figures</w:t>
      </w:r>
    </w:p>
    <w:p w14:paraId="51FCA47F" w14:textId="77777777" w:rsidR="005527C6" w:rsidRDefault="005527C6" w:rsidP="009213D5">
      <w:pPr>
        <w:spacing w:after="120" w:line="360" w:lineRule="auto"/>
        <w:rPr>
          <w:rFonts w:cs="Helvetica"/>
          <w:b/>
          <w:lang w:val="en-US"/>
        </w:rPr>
      </w:pPr>
    </w:p>
    <w:p w14:paraId="643F7812" w14:textId="77777777" w:rsidR="005527C6" w:rsidRPr="005527C6" w:rsidRDefault="005527C6" w:rsidP="009213D5">
      <w:pPr>
        <w:spacing w:after="120" w:line="360" w:lineRule="auto"/>
        <w:rPr>
          <w:rFonts w:cs="Helvetica"/>
          <w:lang w:val="en-US"/>
        </w:rPr>
      </w:pPr>
      <w:r>
        <w:rPr>
          <w:rFonts w:cs="Helvetica"/>
          <w:lang w:val="en-US"/>
        </w:rPr>
        <w:t xml:space="preserve">Figure S1. Inter-laboratory variation is less than inter-sample variation.  PCA analysis of U133plus 2 </w:t>
      </w:r>
      <w:proofErr w:type="gramStart"/>
      <w:r>
        <w:rPr>
          <w:rFonts w:cs="Helvetica"/>
          <w:lang w:val="en-US"/>
        </w:rPr>
        <w:t>expression .</w:t>
      </w:r>
      <w:proofErr w:type="gramEnd"/>
    </w:p>
    <w:sectPr w:rsidR="005527C6" w:rsidRPr="005527C6" w:rsidSect="007B5A40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D43A3" w14:textId="77777777" w:rsidR="00600B02" w:rsidRDefault="00600B02" w:rsidP="00A12429">
      <w:pPr>
        <w:spacing w:after="0"/>
      </w:pPr>
      <w:r>
        <w:separator/>
      </w:r>
    </w:p>
  </w:endnote>
  <w:endnote w:type="continuationSeparator" w:id="0">
    <w:p w14:paraId="2D334773" w14:textId="77777777" w:rsidR="00600B02" w:rsidRDefault="00600B02" w:rsidP="00A124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F6357" w14:textId="77777777" w:rsidR="00600B02" w:rsidRDefault="00600B02" w:rsidP="001757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72CF5B" w14:textId="77777777" w:rsidR="00600B02" w:rsidRDefault="00600B0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10291" w14:textId="77777777" w:rsidR="00600B02" w:rsidRDefault="00600B02" w:rsidP="001757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0CB">
      <w:rPr>
        <w:rStyle w:val="PageNumber"/>
        <w:noProof/>
      </w:rPr>
      <w:t>4</w:t>
    </w:r>
    <w:r>
      <w:rPr>
        <w:rStyle w:val="PageNumber"/>
      </w:rPr>
      <w:fldChar w:fldCharType="end"/>
    </w:r>
  </w:p>
  <w:p w14:paraId="2DEC31E5" w14:textId="77777777" w:rsidR="00600B02" w:rsidRDefault="00600B0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8FC32" w14:textId="77777777" w:rsidR="00600B02" w:rsidRDefault="00600B02" w:rsidP="00A12429">
      <w:pPr>
        <w:spacing w:after="0"/>
      </w:pPr>
      <w:r>
        <w:separator/>
      </w:r>
    </w:p>
  </w:footnote>
  <w:footnote w:type="continuationSeparator" w:id="0">
    <w:p w14:paraId="2EBE9603" w14:textId="77777777" w:rsidR="00600B02" w:rsidRDefault="00600B02" w:rsidP="00A124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00000002">
      <w:start w:val="1"/>
      <w:numFmt w:val="bullet"/>
      <w:lvlText w:val="▪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F4E20"/>
    <w:multiLevelType w:val="hybridMultilevel"/>
    <w:tmpl w:val="B71C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62A52"/>
    <w:multiLevelType w:val="hybridMultilevel"/>
    <w:tmpl w:val="A4D6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14EDA"/>
    <w:multiLevelType w:val="hybridMultilevel"/>
    <w:tmpl w:val="CFB2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C04C0"/>
    <w:multiLevelType w:val="hybridMultilevel"/>
    <w:tmpl w:val="9A2E3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76D88"/>
    <w:multiLevelType w:val="hybridMultilevel"/>
    <w:tmpl w:val="B324E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4E65BC"/>
    <w:multiLevelType w:val="hybridMultilevel"/>
    <w:tmpl w:val="6B52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F416E"/>
    <w:multiLevelType w:val="hybridMultilevel"/>
    <w:tmpl w:val="EB4C6BC2"/>
    <w:lvl w:ilvl="0" w:tplc="3D8444C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2E3D22"/>
    <w:multiLevelType w:val="hybridMultilevel"/>
    <w:tmpl w:val="F6C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476F5"/>
    <w:multiLevelType w:val="hybridMultilevel"/>
    <w:tmpl w:val="E0666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5F02D0"/>
    <w:multiLevelType w:val="hybridMultilevel"/>
    <w:tmpl w:val="1A68889E"/>
    <w:lvl w:ilvl="0" w:tplc="88D49EA8">
      <w:numFmt w:val="bullet"/>
      <w:lvlText w:val="-"/>
      <w:lvlJc w:val="left"/>
      <w:pPr>
        <w:ind w:left="720" w:hanging="360"/>
      </w:pPr>
      <w:rPr>
        <w:rFonts w:ascii="Courier" w:eastAsiaTheme="minorEastAsia" w:hAnsi="Courier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71292"/>
    <w:multiLevelType w:val="hybridMultilevel"/>
    <w:tmpl w:val="521C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A5405"/>
    <w:multiLevelType w:val="hybridMultilevel"/>
    <w:tmpl w:val="1196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961EA"/>
    <w:multiLevelType w:val="hybridMultilevel"/>
    <w:tmpl w:val="12E4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1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29"/>
    <w:rsid w:val="000074D6"/>
    <w:rsid w:val="00016590"/>
    <w:rsid w:val="00026CA2"/>
    <w:rsid w:val="00026DB2"/>
    <w:rsid w:val="00026EA4"/>
    <w:rsid w:val="00042891"/>
    <w:rsid w:val="00077791"/>
    <w:rsid w:val="000838C8"/>
    <w:rsid w:val="000A0B19"/>
    <w:rsid w:val="000F1A73"/>
    <w:rsid w:val="000F7658"/>
    <w:rsid w:val="001148A9"/>
    <w:rsid w:val="00115040"/>
    <w:rsid w:val="00123860"/>
    <w:rsid w:val="00135F80"/>
    <w:rsid w:val="001457ED"/>
    <w:rsid w:val="0015056E"/>
    <w:rsid w:val="001507E6"/>
    <w:rsid w:val="00161D7B"/>
    <w:rsid w:val="00170CB8"/>
    <w:rsid w:val="00173EBE"/>
    <w:rsid w:val="001757EE"/>
    <w:rsid w:val="00175A51"/>
    <w:rsid w:val="00177864"/>
    <w:rsid w:val="0018004C"/>
    <w:rsid w:val="001820A4"/>
    <w:rsid w:val="001A4485"/>
    <w:rsid w:val="001D0417"/>
    <w:rsid w:val="001F0962"/>
    <w:rsid w:val="0023032E"/>
    <w:rsid w:val="00236AEE"/>
    <w:rsid w:val="00253D80"/>
    <w:rsid w:val="00257469"/>
    <w:rsid w:val="00282BE7"/>
    <w:rsid w:val="002948E5"/>
    <w:rsid w:val="002A748E"/>
    <w:rsid w:val="002B048A"/>
    <w:rsid w:val="002C51F2"/>
    <w:rsid w:val="002D543C"/>
    <w:rsid w:val="002E11F4"/>
    <w:rsid w:val="002E2945"/>
    <w:rsid w:val="002E7231"/>
    <w:rsid w:val="002F3403"/>
    <w:rsid w:val="00307CE2"/>
    <w:rsid w:val="00321A0F"/>
    <w:rsid w:val="00324762"/>
    <w:rsid w:val="00325683"/>
    <w:rsid w:val="003418CF"/>
    <w:rsid w:val="00350A44"/>
    <w:rsid w:val="003537CB"/>
    <w:rsid w:val="00365C96"/>
    <w:rsid w:val="00365F14"/>
    <w:rsid w:val="0037675B"/>
    <w:rsid w:val="003A53F2"/>
    <w:rsid w:val="003B2BC2"/>
    <w:rsid w:val="003C541A"/>
    <w:rsid w:val="004005B1"/>
    <w:rsid w:val="00407A18"/>
    <w:rsid w:val="00422399"/>
    <w:rsid w:val="0042546F"/>
    <w:rsid w:val="00426072"/>
    <w:rsid w:val="00433D26"/>
    <w:rsid w:val="00434176"/>
    <w:rsid w:val="00462B6D"/>
    <w:rsid w:val="004744A4"/>
    <w:rsid w:val="00476134"/>
    <w:rsid w:val="0048407E"/>
    <w:rsid w:val="004B09C7"/>
    <w:rsid w:val="004C16BC"/>
    <w:rsid w:val="004C3553"/>
    <w:rsid w:val="004D065A"/>
    <w:rsid w:val="004E0FD6"/>
    <w:rsid w:val="004F62A4"/>
    <w:rsid w:val="005527C6"/>
    <w:rsid w:val="005728D3"/>
    <w:rsid w:val="00575F37"/>
    <w:rsid w:val="005762CB"/>
    <w:rsid w:val="00580302"/>
    <w:rsid w:val="0059392D"/>
    <w:rsid w:val="005A5AB2"/>
    <w:rsid w:val="005A62C4"/>
    <w:rsid w:val="005A7310"/>
    <w:rsid w:val="005C184E"/>
    <w:rsid w:val="005D2A9A"/>
    <w:rsid w:val="005E4151"/>
    <w:rsid w:val="005E438E"/>
    <w:rsid w:val="005E6F0B"/>
    <w:rsid w:val="005F2B6D"/>
    <w:rsid w:val="005F379D"/>
    <w:rsid w:val="00600B02"/>
    <w:rsid w:val="00605628"/>
    <w:rsid w:val="00624320"/>
    <w:rsid w:val="00651B2A"/>
    <w:rsid w:val="00652D75"/>
    <w:rsid w:val="00671D13"/>
    <w:rsid w:val="0068017D"/>
    <w:rsid w:val="00680295"/>
    <w:rsid w:val="006808F5"/>
    <w:rsid w:val="00681932"/>
    <w:rsid w:val="00695AF3"/>
    <w:rsid w:val="006A205B"/>
    <w:rsid w:val="006B3906"/>
    <w:rsid w:val="006B4378"/>
    <w:rsid w:val="006C3561"/>
    <w:rsid w:val="00713894"/>
    <w:rsid w:val="00717736"/>
    <w:rsid w:val="00724F13"/>
    <w:rsid w:val="00740D92"/>
    <w:rsid w:val="00747BB6"/>
    <w:rsid w:val="00754752"/>
    <w:rsid w:val="0076564E"/>
    <w:rsid w:val="0077386D"/>
    <w:rsid w:val="00781D1F"/>
    <w:rsid w:val="00784F7D"/>
    <w:rsid w:val="00790426"/>
    <w:rsid w:val="00792818"/>
    <w:rsid w:val="007978DB"/>
    <w:rsid w:val="007A18B0"/>
    <w:rsid w:val="007A563A"/>
    <w:rsid w:val="007B150E"/>
    <w:rsid w:val="007B5A40"/>
    <w:rsid w:val="007C06DC"/>
    <w:rsid w:val="007D04D2"/>
    <w:rsid w:val="007D40CB"/>
    <w:rsid w:val="007E666B"/>
    <w:rsid w:val="007E7D46"/>
    <w:rsid w:val="007F0BEB"/>
    <w:rsid w:val="007F1F1F"/>
    <w:rsid w:val="007F66FA"/>
    <w:rsid w:val="00800909"/>
    <w:rsid w:val="0080568A"/>
    <w:rsid w:val="008259F2"/>
    <w:rsid w:val="00826D68"/>
    <w:rsid w:val="0083299F"/>
    <w:rsid w:val="008565FF"/>
    <w:rsid w:val="00856F3A"/>
    <w:rsid w:val="00882A66"/>
    <w:rsid w:val="00897957"/>
    <w:rsid w:val="008A65CC"/>
    <w:rsid w:val="008B0946"/>
    <w:rsid w:val="008B1B7F"/>
    <w:rsid w:val="008C3A29"/>
    <w:rsid w:val="008D2F99"/>
    <w:rsid w:val="008D6A9B"/>
    <w:rsid w:val="008E6A11"/>
    <w:rsid w:val="008E6AD1"/>
    <w:rsid w:val="008E6C09"/>
    <w:rsid w:val="00916F60"/>
    <w:rsid w:val="00917ADF"/>
    <w:rsid w:val="009213D5"/>
    <w:rsid w:val="00930C82"/>
    <w:rsid w:val="00933F05"/>
    <w:rsid w:val="009B0905"/>
    <w:rsid w:val="009B26E7"/>
    <w:rsid w:val="009C2A64"/>
    <w:rsid w:val="009C61A0"/>
    <w:rsid w:val="009D162F"/>
    <w:rsid w:val="009D77B0"/>
    <w:rsid w:val="00A028CE"/>
    <w:rsid w:val="00A12429"/>
    <w:rsid w:val="00A138E5"/>
    <w:rsid w:val="00A15736"/>
    <w:rsid w:val="00A4490D"/>
    <w:rsid w:val="00A673A5"/>
    <w:rsid w:val="00A744E3"/>
    <w:rsid w:val="00A751CE"/>
    <w:rsid w:val="00A815BF"/>
    <w:rsid w:val="00A8255D"/>
    <w:rsid w:val="00A87FBF"/>
    <w:rsid w:val="00A95EC9"/>
    <w:rsid w:val="00AE5E2E"/>
    <w:rsid w:val="00B13798"/>
    <w:rsid w:val="00B204D2"/>
    <w:rsid w:val="00B42E85"/>
    <w:rsid w:val="00B838F3"/>
    <w:rsid w:val="00B87E35"/>
    <w:rsid w:val="00B9024E"/>
    <w:rsid w:val="00BA271E"/>
    <w:rsid w:val="00BD053F"/>
    <w:rsid w:val="00BD1D9F"/>
    <w:rsid w:val="00BD6D46"/>
    <w:rsid w:val="00BE0772"/>
    <w:rsid w:val="00BE3324"/>
    <w:rsid w:val="00BF08D9"/>
    <w:rsid w:val="00BF48AA"/>
    <w:rsid w:val="00C00C84"/>
    <w:rsid w:val="00C02B61"/>
    <w:rsid w:val="00C0317C"/>
    <w:rsid w:val="00C03F59"/>
    <w:rsid w:val="00C076CE"/>
    <w:rsid w:val="00C107AD"/>
    <w:rsid w:val="00C12C6D"/>
    <w:rsid w:val="00C17B36"/>
    <w:rsid w:val="00C26D15"/>
    <w:rsid w:val="00C33D48"/>
    <w:rsid w:val="00C3517F"/>
    <w:rsid w:val="00C44CE7"/>
    <w:rsid w:val="00C530D5"/>
    <w:rsid w:val="00C557C6"/>
    <w:rsid w:val="00C60927"/>
    <w:rsid w:val="00C65492"/>
    <w:rsid w:val="00C75E90"/>
    <w:rsid w:val="00C810D5"/>
    <w:rsid w:val="00C82EE9"/>
    <w:rsid w:val="00C85C3F"/>
    <w:rsid w:val="00CA2F45"/>
    <w:rsid w:val="00CC12A6"/>
    <w:rsid w:val="00CD7247"/>
    <w:rsid w:val="00D2442E"/>
    <w:rsid w:val="00D259A8"/>
    <w:rsid w:val="00D63846"/>
    <w:rsid w:val="00D70D4A"/>
    <w:rsid w:val="00D83477"/>
    <w:rsid w:val="00DA266E"/>
    <w:rsid w:val="00DC78E2"/>
    <w:rsid w:val="00DD7B78"/>
    <w:rsid w:val="00DF1251"/>
    <w:rsid w:val="00E015C2"/>
    <w:rsid w:val="00E138EF"/>
    <w:rsid w:val="00E33D2B"/>
    <w:rsid w:val="00E351DF"/>
    <w:rsid w:val="00E36312"/>
    <w:rsid w:val="00E47F4F"/>
    <w:rsid w:val="00E60C03"/>
    <w:rsid w:val="00E741BA"/>
    <w:rsid w:val="00E90209"/>
    <w:rsid w:val="00E90FFD"/>
    <w:rsid w:val="00EA1D70"/>
    <w:rsid w:val="00EA4F47"/>
    <w:rsid w:val="00F35CCB"/>
    <w:rsid w:val="00F52A29"/>
    <w:rsid w:val="00F62185"/>
    <w:rsid w:val="00F7513F"/>
    <w:rsid w:val="00F80E57"/>
    <w:rsid w:val="00F8789B"/>
    <w:rsid w:val="00FA1371"/>
    <w:rsid w:val="00FC15B8"/>
    <w:rsid w:val="00FC6DB1"/>
    <w:rsid w:val="00FC74B9"/>
    <w:rsid w:val="00FC7B04"/>
    <w:rsid w:val="00FE5BB0"/>
    <w:rsid w:val="00FF67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0562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B8"/>
  </w:style>
  <w:style w:type="paragraph" w:styleId="Heading1">
    <w:name w:val="heading 1"/>
    <w:basedOn w:val="Normal"/>
    <w:link w:val="Heading1Char"/>
    <w:uiPriority w:val="9"/>
    <w:qFormat/>
    <w:rsid w:val="00882A6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242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429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12429"/>
  </w:style>
  <w:style w:type="character" w:styleId="Hyperlink">
    <w:name w:val="Hyperlink"/>
    <w:basedOn w:val="DefaultParagraphFont"/>
    <w:uiPriority w:val="99"/>
    <w:unhideWhenUsed/>
    <w:rsid w:val="001757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73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3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3A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3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3A5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3A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A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DB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2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271E"/>
    <w:rPr>
      <w:rFonts w:ascii="Courier" w:hAnsi="Courier" w:cs="Courier"/>
      <w:lang w:eastAsia="en-US"/>
    </w:rPr>
  </w:style>
  <w:style w:type="paragraph" w:customStyle="1" w:styleId="Body">
    <w:name w:val="Body"/>
    <w:rsid w:val="00016590"/>
    <w:pPr>
      <w:spacing w:after="0"/>
    </w:pPr>
    <w:rPr>
      <w:rFonts w:ascii="Helvetica" w:eastAsia="ヒラギノ角ゴ Pro W3" w:hAnsi="Helvetica" w:cs="Times New Roman"/>
      <w:color w:val="00000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82A66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B8"/>
  </w:style>
  <w:style w:type="paragraph" w:styleId="Heading1">
    <w:name w:val="heading 1"/>
    <w:basedOn w:val="Normal"/>
    <w:link w:val="Heading1Char"/>
    <w:uiPriority w:val="9"/>
    <w:qFormat/>
    <w:rsid w:val="00882A6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242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429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12429"/>
  </w:style>
  <w:style w:type="character" w:styleId="Hyperlink">
    <w:name w:val="Hyperlink"/>
    <w:basedOn w:val="DefaultParagraphFont"/>
    <w:uiPriority w:val="99"/>
    <w:unhideWhenUsed/>
    <w:rsid w:val="001757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73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3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3A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3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3A5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3A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A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DB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2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271E"/>
    <w:rPr>
      <w:rFonts w:ascii="Courier" w:hAnsi="Courier" w:cs="Courier"/>
      <w:lang w:eastAsia="en-US"/>
    </w:rPr>
  </w:style>
  <w:style w:type="paragraph" w:customStyle="1" w:styleId="Body">
    <w:name w:val="Body"/>
    <w:rsid w:val="00016590"/>
    <w:pPr>
      <w:spacing w:after="0"/>
    </w:pPr>
    <w:rPr>
      <w:rFonts w:ascii="Helvetica" w:eastAsia="ヒラギノ角ゴ Pro W3" w:hAnsi="Helvetica" w:cs="Times New Roman"/>
      <w:color w:val="00000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82A66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8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116D-D15C-474E-AF01-EAF4181C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</Words>
  <Characters>2677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Bioinformatics Institute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Dunham</dc:creator>
  <cp:lastModifiedBy>Ian Dunham</cp:lastModifiedBy>
  <cp:revision>2</cp:revision>
  <dcterms:created xsi:type="dcterms:W3CDTF">2011-08-03T14:15:00Z</dcterms:created>
  <dcterms:modified xsi:type="dcterms:W3CDTF">2011-08-03T14:15:00Z</dcterms:modified>
</cp:coreProperties>
</file>