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00C58" w14:textId="77777777" w:rsidR="00FC38C2" w:rsidRPr="00FC38C2" w:rsidRDefault="00FC38C2" w:rsidP="00FC38C2">
      <w:pPr>
        <w:jc w:val="center"/>
        <w:outlineLvl w:val="0"/>
        <w:rPr>
          <w:rFonts w:ascii="Times" w:hAnsi="Times" w:cs="Arial"/>
          <w:b/>
          <w:i/>
          <w:color w:val="000000" w:themeColor="text1"/>
        </w:rPr>
      </w:pPr>
      <w:r w:rsidRPr="00FC38C2">
        <w:rPr>
          <w:rFonts w:ascii="Times" w:hAnsi="Times" w:cs="Arial"/>
          <w:b/>
          <w:i/>
          <w:color w:val="000000" w:themeColor="text1"/>
        </w:rPr>
        <w:t>Gerstein Lab Experience in Noncoding Genome Annotation and Variant Prioritization</w:t>
      </w:r>
    </w:p>
    <w:p w14:paraId="4446351B" w14:textId="77777777" w:rsidR="00FC38C2" w:rsidRPr="00FC38C2" w:rsidRDefault="00FC38C2" w:rsidP="00FC38C2">
      <w:pPr>
        <w:jc w:val="both"/>
        <w:rPr>
          <w:rFonts w:ascii="Times" w:hAnsi="Times" w:cs="Arial"/>
          <w:b/>
          <w:i/>
          <w:sz w:val="22"/>
          <w:szCs w:val="22"/>
        </w:rPr>
      </w:pPr>
    </w:p>
    <w:p w14:paraId="54701BEF" w14:textId="77777777" w:rsidR="00FC38C2" w:rsidRPr="00FC38C2" w:rsidRDefault="00FC38C2" w:rsidP="00FC38C2">
      <w:pPr>
        <w:jc w:val="both"/>
        <w:rPr>
          <w:rFonts w:ascii="Times" w:hAnsi="Times" w:cs="Arial"/>
          <w:b/>
          <w:i/>
          <w:sz w:val="22"/>
          <w:szCs w:val="22"/>
        </w:rPr>
      </w:pPr>
    </w:p>
    <w:p w14:paraId="6BEC7278" w14:textId="77777777" w:rsidR="00FC38C2" w:rsidRPr="00FC38C2" w:rsidRDefault="00FC38C2" w:rsidP="00FC38C2">
      <w:pPr>
        <w:jc w:val="both"/>
        <w:outlineLvl w:val="0"/>
        <w:rPr>
          <w:rFonts w:ascii="Times" w:hAnsi="Times" w:cs="Arial"/>
          <w:b/>
          <w:sz w:val="22"/>
          <w:szCs w:val="22"/>
        </w:rPr>
      </w:pPr>
      <w:r w:rsidRPr="00FC38C2">
        <w:rPr>
          <w:rFonts w:ascii="Times" w:hAnsi="Times" w:cs="Arial"/>
          <w:b/>
          <w:i/>
          <w:sz w:val="22"/>
          <w:szCs w:val="22"/>
        </w:rPr>
        <w:t>Non-coding genome annotation</w:t>
      </w:r>
    </w:p>
    <w:p w14:paraId="68F04CD8" w14:textId="77777777" w:rsidR="00FC38C2" w:rsidRPr="00FC38C2" w:rsidRDefault="00FC38C2" w:rsidP="00FC38C2">
      <w:pPr>
        <w:jc w:val="both"/>
        <w:rPr>
          <w:rFonts w:ascii="Times" w:hAnsi="Times" w:cs="Arial"/>
          <w:sz w:val="22"/>
          <w:szCs w:val="22"/>
        </w:rPr>
      </w:pPr>
      <w:r w:rsidRPr="00FC38C2">
        <w:rPr>
          <w:rFonts w:ascii="Times" w:hAnsi="Times" w:cs="Arial"/>
          <w:sz w:val="22"/>
          <w:szCs w:val="22"/>
        </w:rPr>
        <w:t xml:space="preserve">We have developed widely used tools to identify </w:t>
      </w:r>
      <w:proofErr w:type="spellStart"/>
      <w:r w:rsidRPr="00FC38C2">
        <w:rPr>
          <w:rFonts w:ascii="Times" w:hAnsi="Times" w:cs="Arial"/>
          <w:sz w:val="22"/>
          <w:szCs w:val="22"/>
        </w:rPr>
        <w:t>ChIP-Seq</w:t>
      </w:r>
      <w:proofErr w:type="spellEnd"/>
      <w:r w:rsidRPr="00FC38C2">
        <w:rPr>
          <w:rFonts w:ascii="Times" w:hAnsi="Times" w:cs="Arial"/>
          <w:sz w:val="22"/>
          <w:szCs w:val="22"/>
        </w:rPr>
        <w:t xml:space="preserve"> peaks \</w:t>
      </w:r>
      <w:proofErr w:type="gramStart"/>
      <w:r w:rsidRPr="00FC38C2">
        <w:rPr>
          <w:rFonts w:ascii="Times" w:hAnsi="Times" w:cs="Arial"/>
          <w:sz w:val="22"/>
          <w:szCs w:val="22"/>
        </w:rPr>
        <w:t>cite{</w:t>
      </w:r>
      <w:proofErr w:type="gramEnd"/>
      <w:r w:rsidRPr="00FC38C2">
        <w:rPr>
          <w:rFonts w:ascii="Times" w:hAnsi="Times" w:cs="Arial"/>
          <w:sz w:val="22"/>
          <w:szCs w:val="22"/>
        </w:rPr>
        <w:t>19122651,25292436}, perform RNA-</w:t>
      </w:r>
      <w:proofErr w:type="spellStart"/>
      <w:r w:rsidRPr="00FC38C2">
        <w:rPr>
          <w:rFonts w:ascii="Times" w:hAnsi="Times" w:cs="Arial"/>
          <w:sz w:val="22"/>
          <w:szCs w:val="22"/>
        </w:rPr>
        <w:t>Seq</w:t>
      </w:r>
      <w:proofErr w:type="spellEnd"/>
      <w:r w:rsidRPr="00FC38C2">
        <w:rPr>
          <w:rFonts w:ascii="Times" w:hAnsi="Times" w:cs="Arial"/>
          <w:sz w:val="22"/>
          <w:szCs w:val="22"/>
        </w:rPr>
        <w:t xml:space="preserve"> quantification \cite{21134889,22238592}, and identify new non-coding transcripts and categorize them according to function \cite{21177971,25164757}. Our tool to predict enhancer regions has undergone functional validation of its predictions \</w:t>
      </w:r>
      <w:proofErr w:type="gramStart"/>
      <w:r w:rsidRPr="00FC38C2">
        <w:rPr>
          <w:rFonts w:ascii="Times" w:hAnsi="Times" w:cs="Arial"/>
          <w:sz w:val="22"/>
          <w:szCs w:val="22"/>
        </w:rPr>
        <w:t>cite{</w:t>
      </w:r>
      <w:proofErr w:type="gramEnd"/>
      <w:r w:rsidRPr="00FC38C2">
        <w:rPr>
          <w:rFonts w:ascii="Times" w:hAnsi="Times" w:cs="Arial"/>
          <w:sz w:val="22"/>
          <w:szCs w:val="22"/>
        </w:rPr>
        <w:t>22950945}. We have further linked enhancers to target genes \</w:t>
      </w:r>
      <w:proofErr w:type="gramStart"/>
      <w:r w:rsidRPr="00FC38C2">
        <w:rPr>
          <w:rFonts w:ascii="Times" w:hAnsi="Times" w:cs="Arial"/>
          <w:sz w:val="22"/>
          <w:szCs w:val="22"/>
        </w:rPr>
        <w:t>cite{</w:t>
      </w:r>
      <w:proofErr w:type="gramEnd"/>
      <w:r w:rsidRPr="00FC38C2">
        <w:rPr>
          <w:rFonts w:ascii="Times" w:hAnsi="Times" w:cs="Arial"/>
          <w:sz w:val="22"/>
          <w:szCs w:val="22"/>
        </w:rPr>
        <w:t xml:space="preserve">25273974} and developed tools to process </w:t>
      </w:r>
      <w:proofErr w:type="spellStart"/>
      <w:r w:rsidRPr="00FC38C2">
        <w:rPr>
          <w:rFonts w:ascii="Times" w:hAnsi="Times" w:cs="Arial"/>
          <w:sz w:val="22"/>
          <w:szCs w:val="22"/>
        </w:rPr>
        <w:t>HiC</w:t>
      </w:r>
      <w:proofErr w:type="spellEnd"/>
      <w:r w:rsidRPr="00FC38C2">
        <w:rPr>
          <w:rFonts w:ascii="Times" w:hAnsi="Times" w:cs="Arial"/>
          <w:sz w:val="22"/>
          <w:szCs w:val="22"/>
        </w:rPr>
        <w:t xml:space="preserve"> data \cite{28369339,yan2017mrtadfinder}. We have also built linear and nonlinear models that use epigenetic signals to predict gene expression \</w:t>
      </w:r>
      <w:proofErr w:type="gramStart"/>
      <w:r w:rsidRPr="00FC38C2">
        <w:rPr>
          <w:rFonts w:ascii="Times" w:hAnsi="Times" w:cs="Arial"/>
          <w:sz w:val="22"/>
          <w:szCs w:val="22"/>
        </w:rPr>
        <w:t>cite{</w:t>
      </w:r>
      <w:proofErr w:type="gramEnd"/>
      <w:r w:rsidRPr="00FC38C2">
        <w:rPr>
          <w:rFonts w:ascii="Times" w:hAnsi="Times" w:cs="Arial"/>
          <w:sz w:val="22"/>
          <w:szCs w:val="22"/>
        </w:rPr>
        <w:t>22955978,21926158,21324173}. Moreover, we have extensive experience incorporating genomic data into networks to help explaining gene regulation and to identify key regulators \</w:t>
      </w:r>
      <w:proofErr w:type="gramStart"/>
      <w:r w:rsidRPr="00FC38C2">
        <w:rPr>
          <w:rFonts w:ascii="Times" w:hAnsi="Times" w:cs="Arial"/>
          <w:sz w:val="22"/>
          <w:szCs w:val="22"/>
        </w:rPr>
        <w:t>cite{</w:t>
      </w:r>
      <w:proofErr w:type="gramEnd"/>
      <w:r w:rsidRPr="00FC38C2">
        <w:rPr>
          <w:rFonts w:ascii="Times" w:hAnsi="Times" w:cs="Arial"/>
          <w:sz w:val="22"/>
          <w:szCs w:val="22"/>
        </w:rPr>
        <w:t>22955619,25249401,27760135,25884877}.</w:t>
      </w:r>
    </w:p>
    <w:p w14:paraId="65C0DFFF" w14:textId="77777777" w:rsidR="00FC38C2" w:rsidRPr="00FC38C2" w:rsidRDefault="00FC38C2" w:rsidP="00FC38C2">
      <w:pPr>
        <w:jc w:val="both"/>
        <w:rPr>
          <w:rFonts w:ascii="Times" w:hAnsi="Times" w:cs="Arial"/>
          <w:sz w:val="22"/>
          <w:szCs w:val="22"/>
        </w:rPr>
      </w:pPr>
    </w:p>
    <w:p w14:paraId="335E1833" w14:textId="77777777" w:rsidR="00FC38C2" w:rsidRPr="00FC38C2" w:rsidRDefault="00FC38C2" w:rsidP="00FC38C2">
      <w:pPr>
        <w:jc w:val="both"/>
        <w:outlineLvl w:val="0"/>
        <w:rPr>
          <w:rFonts w:ascii="Times" w:hAnsi="Times" w:cs="Arial"/>
          <w:b/>
          <w:i/>
          <w:color w:val="000000" w:themeColor="text1"/>
          <w:sz w:val="22"/>
          <w:szCs w:val="22"/>
        </w:rPr>
      </w:pPr>
      <w:r w:rsidRPr="00FC38C2">
        <w:rPr>
          <w:rFonts w:ascii="Times" w:hAnsi="Times" w:cs="Arial"/>
          <w:b/>
          <w:i/>
          <w:color w:val="000000" w:themeColor="text1"/>
          <w:sz w:val="22"/>
          <w:szCs w:val="22"/>
        </w:rPr>
        <w:t>Experience in genomics consortia</w:t>
      </w:r>
    </w:p>
    <w:p w14:paraId="3BD318D8" w14:textId="77777777" w:rsidR="00FC38C2" w:rsidRPr="00FC38C2" w:rsidRDefault="00FC38C2" w:rsidP="00FC38C2">
      <w:pPr>
        <w:jc w:val="both"/>
        <w:rPr>
          <w:rFonts w:ascii="Times" w:hAnsi="Times" w:cs="Arial"/>
          <w:color w:val="000000" w:themeColor="text1"/>
          <w:sz w:val="22"/>
          <w:szCs w:val="22"/>
        </w:rPr>
      </w:pPr>
      <w:r w:rsidRPr="00FC38C2">
        <w:rPr>
          <w:rFonts w:ascii="Times" w:hAnsi="Times" w:cs="Arial"/>
          <w:color w:val="000000" w:themeColor="text1"/>
          <w:sz w:val="22"/>
          <w:szCs w:val="22"/>
        </w:rPr>
        <w:t>We have extensive experience in the ENCODE \</w:t>
      </w:r>
      <w:proofErr w:type="gramStart"/>
      <w:r w:rsidRPr="00FC38C2">
        <w:rPr>
          <w:rFonts w:ascii="Times" w:hAnsi="Times" w:cs="Arial"/>
          <w:color w:val="000000" w:themeColor="text1"/>
          <w:sz w:val="22"/>
          <w:szCs w:val="22"/>
        </w:rPr>
        <w:t>cite{</w:t>
      </w:r>
      <w:proofErr w:type="gramEnd"/>
      <w:r w:rsidRPr="00FC38C2">
        <w:rPr>
          <w:rFonts w:ascii="Times" w:hAnsi="Times" w:cs="Arial"/>
          <w:color w:val="000000" w:themeColor="text1"/>
          <w:sz w:val="22"/>
          <w:szCs w:val="22"/>
        </w:rPr>
        <w:t xml:space="preserve">22955616,22955619,22955620}, </w:t>
      </w:r>
      <w:proofErr w:type="spellStart"/>
      <w:r w:rsidRPr="00FC38C2">
        <w:rPr>
          <w:rFonts w:ascii="Times" w:hAnsi="Times" w:cs="Arial"/>
          <w:color w:val="000000" w:themeColor="text1"/>
          <w:sz w:val="22"/>
          <w:szCs w:val="22"/>
        </w:rPr>
        <w:t>modENCODE</w:t>
      </w:r>
      <w:proofErr w:type="spellEnd"/>
      <w:r w:rsidRPr="00FC38C2">
        <w:rPr>
          <w:rFonts w:ascii="Times" w:hAnsi="Times" w:cs="Arial"/>
          <w:color w:val="000000" w:themeColor="text1"/>
          <w:sz w:val="22"/>
          <w:szCs w:val="22"/>
        </w:rPr>
        <w:t xml:space="preserve"> \cite{25164755,21177976}, 1000 Genomes \cite{20981092,26432246,24092746} and </w:t>
      </w:r>
      <w:proofErr w:type="spellStart"/>
      <w:r w:rsidRPr="00FC38C2">
        <w:rPr>
          <w:rFonts w:ascii="Times" w:hAnsi="Times" w:cs="Arial"/>
          <w:color w:val="000000" w:themeColor="text1"/>
          <w:sz w:val="22"/>
          <w:szCs w:val="22"/>
        </w:rPr>
        <w:t>PsychENCODE</w:t>
      </w:r>
      <w:proofErr w:type="spellEnd"/>
      <w:r w:rsidRPr="00FC38C2">
        <w:rPr>
          <w:rFonts w:ascii="Times" w:hAnsi="Times" w:cs="Arial"/>
          <w:color w:val="000000" w:themeColor="text1"/>
          <w:sz w:val="22"/>
          <w:szCs w:val="22"/>
        </w:rPr>
        <w:t xml:space="preserve"> \cite{26605881} consortia, where we served in a variety of leadership roles (e.g., co-lead of the AWG for </w:t>
      </w:r>
      <w:proofErr w:type="spellStart"/>
      <w:r w:rsidRPr="00FC38C2">
        <w:rPr>
          <w:rFonts w:ascii="Times" w:hAnsi="Times" w:cs="Arial"/>
          <w:color w:val="000000" w:themeColor="text1"/>
          <w:sz w:val="22"/>
          <w:szCs w:val="22"/>
        </w:rPr>
        <w:t>modENCODE</w:t>
      </w:r>
      <w:proofErr w:type="spellEnd"/>
      <w:r w:rsidRPr="00FC38C2">
        <w:rPr>
          <w:rFonts w:ascii="Times" w:hAnsi="Times" w:cs="Arial"/>
          <w:color w:val="000000" w:themeColor="text1"/>
          <w:sz w:val="22"/>
          <w:szCs w:val="22"/>
        </w:rPr>
        <w:t xml:space="preserve"> and leadership of the ENCODE &amp; cancer workgroup)\cite{22955616,25164757,22955619,21177976}.  We also have extensive experience analyzing cancer genomes through our participation in The Cancer Genome Atlas (TCGA) and Pan-cancer Analysis of Whole Genomes (PCAWG) consortium. We participated in the TCGA consortium studies of prostate \</w:t>
      </w:r>
      <w:proofErr w:type="gramStart"/>
      <w:r w:rsidRPr="00FC38C2">
        <w:rPr>
          <w:rFonts w:ascii="Times" w:hAnsi="Times" w:cs="Arial"/>
          <w:color w:val="000000" w:themeColor="text1"/>
          <w:sz w:val="22"/>
          <w:szCs w:val="22"/>
        </w:rPr>
        <w:t>cite{</w:t>
      </w:r>
      <w:proofErr w:type="gramEnd"/>
      <w:r w:rsidRPr="00FC38C2">
        <w:rPr>
          <w:rFonts w:ascii="Times" w:hAnsi="Times" w:cs="Arial"/>
          <w:color w:val="000000" w:themeColor="text1"/>
          <w:sz w:val="22"/>
          <w:szCs w:val="22"/>
        </w:rPr>
        <w:t>26544944} and kidney \cite{26536169} cancers and recently conducted a detailed investigation of the non-coding variants in TCGA kidney papillary cancer samples \cite{28358873}. We have also developed tools for somatic variant calling \</w:t>
      </w:r>
      <w:proofErr w:type="gramStart"/>
      <w:r w:rsidRPr="00FC38C2">
        <w:rPr>
          <w:rFonts w:ascii="Times" w:hAnsi="Times" w:cs="Arial"/>
          <w:color w:val="000000" w:themeColor="text1"/>
          <w:sz w:val="22"/>
          <w:szCs w:val="22"/>
        </w:rPr>
        <w:t>cite{</w:t>
      </w:r>
      <w:proofErr w:type="gramEnd"/>
      <w:r w:rsidRPr="00FC38C2">
        <w:rPr>
          <w:rFonts w:ascii="Times" w:hAnsi="Times" w:cs="Arial"/>
          <w:color w:val="000000" w:themeColor="text1"/>
          <w:sz w:val="22"/>
          <w:szCs w:val="22"/>
        </w:rPr>
        <w:t>26381235}. Currently, we are co-leading the PCAWG group investigating the impact of non-coding mutations.</w:t>
      </w:r>
    </w:p>
    <w:p w14:paraId="2C6CF8C7" w14:textId="77777777" w:rsidR="00FC38C2" w:rsidRPr="00FC38C2" w:rsidRDefault="00FC38C2" w:rsidP="00FC38C2">
      <w:pPr>
        <w:keepNext/>
        <w:jc w:val="both"/>
        <w:rPr>
          <w:rFonts w:ascii="Times" w:hAnsi="Times" w:cs="Arial"/>
          <w:sz w:val="22"/>
          <w:szCs w:val="22"/>
        </w:rPr>
      </w:pPr>
    </w:p>
    <w:p w14:paraId="6B90A9C1" w14:textId="77777777" w:rsidR="00FC38C2" w:rsidRPr="00FC38C2" w:rsidRDefault="00FC38C2" w:rsidP="00FC38C2">
      <w:pPr>
        <w:jc w:val="both"/>
        <w:outlineLvl w:val="0"/>
        <w:rPr>
          <w:rFonts w:ascii="Times" w:hAnsi="Times" w:cs="Arial"/>
          <w:b/>
          <w:i/>
          <w:sz w:val="22"/>
          <w:szCs w:val="22"/>
        </w:rPr>
      </w:pPr>
      <w:r w:rsidRPr="00FC38C2">
        <w:rPr>
          <w:rFonts w:ascii="Times" w:hAnsi="Times" w:cs="Arial"/>
          <w:b/>
          <w:i/>
          <w:sz w:val="22"/>
          <w:szCs w:val="22"/>
        </w:rPr>
        <w:t>Non-coding variant prioritization</w:t>
      </w:r>
    </w:p>
    <w:p w14:paraId="27CD4B8C" w14:textId="77777777" w:rsidR="00FC38C2" w:rsidRPr="00FC38C2" w:rsidRDefault="00FC38C2" w:rsidP="00FC38C2">
      <w:pPr>
        <w:jc w:val="both"/>
        <w:rPr>
          <w:rFonts w:ascii="Times" w:hAnsi="Times" w:cs="Arial"/>
          <w:sz w:val="22"/>
          <w:szCs w:val="22"/>
        </w:rPr>
      </w:pPr>
      <w:r w:rsidRPr="00FC38C2">
        <w:rPr>
          <w:rFonts w:ascii="Times" w:hAnsi="Times" w:cs="Arial"/>
          <w:sz w:val="22"/>
          <w:szCs w:val="22"/>
        </w:rPr>
        <w:t>We have extensively analyzed patterns of variation in non-coding regions and their coding targets \</w:t>
      </w:r>
      <w:proofErr w:type="gramStart"/>
      <w:r w:rsidRPr="00FC38C2">
        <w:rPr>
          <w:rFonts w:ascii="Times" w:hAnsi="Times" w:cs="Arial"/>
          <w:sz w:val="22"/>
          <w:szCs w:val="22"/>
        </w:rPr>
        <w:t>cite{</w:t>
      </w:r>
      <w:proofErr w:type="gramEnd"/>
      <w:r w:rsidRPr="00FC38C2">
        <w:rPr>
          <w:rFonts w:ascii="Times" w:hAnsi="Times" w:cs="Arial"/>
          <w:sz w:val="22"/>
          <w:szCs w:val="22"/>
        </w:rPr>
        <w:t>21596777,22955619,22950945}, integrating these variants with biological networks and other features for prioritization \cite{23505346}. In recent projects \</w:t>
      </w:r>
      <w:proofErr w:type="gramStart"/>
      <w:r w:rsidRPr="00FC38C2">
        <w:rPr>
          <w:rFonts w:ascii="Times" w:hAnsi="Times" w:cs="Arial"/>
          <w:sz w:val="22"/>
          <w:szCs w:val="22"/>
        </w:rPr>
        <w:t>cite{</w:t>
      </w:r>
      <w:proofErr w:type="gramEnd"/>
      <w:r w:rsidRPr="00FC38C2">
        <w:rPr>
          <w:rFonts w:ascii="Times" w:hAnsi="Times" w:cs="Arial"/>
          <w:sz w:val="22"/>
          <w:szCs w:val="22"/>
        </w:rPr>
        <w:t xml:space="preserve">24092746,25273974}, we integrated multiple methods into a comprehensive prioritization pipeline called </w:t>
      </w:r>
      <w:proofErr w:type="spellStart"/>
      <w:r w:rsidRPr="00FC38C2">
        <w:rPr>
          <w:rFonts w:ascii="Times" w:hAnsi="Times" w:cs="Arial"/>
          <w:sz w:val="22"/>
          <w:szCs w:val="22"/>
        </w:rPr>
        <w:t>FunSeq</w:t>
      </w:r>
      <w:proofErr w:type="spellEnd"/>
      <w:r w:rsidRPr="00FC38C2">
        <w:rPr>
          <w:rFonts w:ascii="Times" w:hAnsi="Times" w:cs="Arial"/>
          <w:sz w:val="22"/>
          <w:szCs w:val="22"/>
        </w:rPr>
        <w:t xml:space="preserve"> (</w:t>
      </w:r>
      <w:r w:rsidRPr="00FC38C2">
        <w:rPr>
          <w:rFonts w:ascii="Times" w:hAnsi="Times" w:cs="Arial"/>
          <w:b/>
          <w:sz w:val="22"/>
          <w:szCs w:val="22"/>
        </w:rPr>
        <w:t>Fig. 1</w:t>
      </w:r>
      <w:r w:rsidRPr="00FC38C2">
        <w:rPr>
          <w:rFonts w:ascii="Times" w:hAnsi="Times" w:cs="Arial"/>
          <w:sz w:val="22"/>
          <w:szCs w:val="22"/>
        </w:rPr>
        <w:t xml:space="preserve">). The pipeline identifies sensitive regions with annotations under high selective pressure, links non-coding mutations to their target genes, and prioritizes variants based on network connectivity. It also identifies deleterious variants in non-coding elements including TF binding sites, enhancers, and regions corresponding to DNase I hypersensitive sites. Using integrated data from large-scale resources (including ENCODE and 1000 Genomes Project) with cancer genomics data, </w:t>
      </w:r>
      <w:proofErr w:type="spellStart"/>
      <w:r w:rsidRPr="00FC38C2">
        <w:rPr>
          <w:rFonts w:ascii="Times" w:hAnsi="Times" w:cs="Arial"/>
          <w:sz w:val="22"/>
          <w:szCs w:val="22"/>
        </w:rPr>
        <w:t>FunSeq</w:t>
      </w:r>
      <w:proofErr w:type="spellEnd"/>
      <w:r w:rsidRPr="00FC38C2">
        <w:rPr>
          <w:rFonts w:ascii="Times" w:hAnsi="Times" w:cs="Arial"/>
          <w:sz w:val="22"/>
          <w:szCs w:val="22"/>
        </w:rPr>
        <w:t xml:space="preserve"> can prioritize known TERT promoter driver mutations. </w:t>
      </w:r>
    </w:p>
    <w:p w14:paraId="09D80C36" w14:textId="77777777" w:rsidR="00FC38C2" w:rsidRPr="00FC38C2" w:rsidRDefault="00FC38C2" w:rsidP="00FC38C2">
      <w:pPr>
        <w:jc w:val="both"/>
        <w:rPr>
          <w:rFonts w:ascii="Times" w:hAnsi="Times" w:cs="Arial"/>
          <w:sz w:val="22"/>
          <w:szCs w:val="22"/>
        </w:rPr>
      </w:pPr>
    </w:p>
    <w:p w14:paraId="405918A2" w14:textId="77777777" w:rsidR="00FC38C2" w:rsidRPr="00FC38C2" w:rsidRDefault="00FC38C2" w:rsidP="00FC38C2">
      <w:pPr>
        <w:jc w:val="both"/>
        <w:rPr>
          <w:rFonts w:ascii="Times" w:eastAsia="Georgia" w:hAnsi="Times" w:cs="Arial"/>
          <w:sz w:val="22"/>
          <w:szCs w:val="22"/>
        </w:rPr>
      </w:pPr>
      <w:r w:rsidRPr="00FC38C2">
        <w:rPr>
          <w:rFonts w:ascii="Times" w:hAnsi="Times" w:cs="Arial"/>
          <w:sz w:val="22"/>
          <w:szCs w:val="22"/>
        </w:rPr>
        <w:t xml:space="preserve">We have further expanded our </w:t>
      </w:r>
      <w:proofErr w:type="spellStart"/>
      <w:r w:rsidRPr="00FC38C2">
        <w:rPr>
          <w:rFonts w:ascii="Times" w:hAnsi="Times" w:cs="Arial"/>
          <w:sz w:val="22"/>
          <w:szCs w:val="22"/>
        </w:rPr>
        <w:t>FunSeq</w:t>
      </w:r>
      <w:proofErr w:type="spellEnd"/>
      <w:r w:rsidRPr="00FC38C2">
        <w:rPr>
          <w:rFonts w:ascii="Times" w:hAnsi="Times" w:cs="Arial"/>
          <w:sz w:val="22"/>
          <w:szCs w:val="22"/>
        </w:rPr>
        <w:t xml:space="preserve"> tool into a second version called FunSeq2 that </w:t>
      </w:r>
      <w:r w:rsidRPr="00FC38C2">
        <w:rPr>
          <w:rFonts w:ascii="Times" w:eastAsia="Georgia" w:hAnsi="Times" w:cs="Arial"/>
          <w:sz w:val="22"/>
          <w:szCs w:val="22"/>
        </w:rPr>
        <w:t>comprehensively defines associations between many noncoding regulatory elements and their target protein-coding genes. To integrate the various features mentioned above, FunSeq2 employs an entropy based scoring scheme \</w:t>
      </w:r>
      <w:proofErr w:type="gramStart"/>
      <w:r w:rsidRPr="00FC38C2">
        <w:rPr>
          <w:rFonts w:ascii="Times" w:eastAsia="Georgia" w:hAnsi="Times" w:cs="Arial"/>
          <w:sz w:val="22"/>
          <w:szCs w:val="22"/>
        </w:rPr>
        <w:t>cite{</w:t>
      </w:r>
      <w:proofErr w:type="gramEnd"/>
      <w:r w:rsidRPr="00FC38C2">
        <w:rPr>
          <w:rFonts w:ascii="Times" w:hAnsi="Times" w:cs="Arial"/>
          <w:sz w:val="22"/>
          <w:szCs w:val="22"/>
        </w:rPr>
        <w:t>24092746</w:t>
      </w:r>
      <w:r w:rsidRPr="00FC38C2">
        <w:rPr>
          <w:rFonts w:ascii="Times" w:eastAsia="Georgia" w:hAnsi="Times" w:cs="Arial"/>
          <w:sz w:val="22"/>
          <w:szCs w:val="22"/>
        </w:rPr>
        <w:t>}. In general, features can be classified into two classes: discrete (e.g., within or outside of a given functional annotation) and continuous (e.g., the PWM change in ‘motif-breaking’). We weigh these two sets of features with different strategies.</w:t>
      </w:r>
    </w:p>
    <w:p w14:paraId="3512CE5A" w14:textId="77777777" w:rsidR="00FC38C2" w:rsidRPr="00FC38C2" w:rsidRDefault="00FC38C2" w:rsidP="00FC38C2">
      <w:pPr>
        <w:ind w:firstLine="720"/>
        <w:jc w:val="both"/>
        <w:rPr>
          <w:rFonts w:ascii="Times" w:eastAsia="Georgia" w:hAnsi="Times" w:cs="Arial"/>
          <w:sz w:val="22"/>
          <w:szCs w:val="22"/>
        </w:rPr>
      </w:pPr>
      <w:r w:rsidRPr="00FC38C2">
        <w:rPr>
          <w:rFonts w:ascii="Times" w:eastAsia="Georgia" w:hAnsi="Times" w:cs="Arial"/>
          <w:sz w:val="22"/>
          <w:szCs w:val="22"/>
        </w:rPr>
        <w:t xml:space="preserve">For each discrete feature </w:t>
      </w:r>
      <m:oMath>
        <m:r>
          <w:rPr>
            <w:rFonts w:ascii="Cambria Math" w:eastAsia="Georgia" w:hAnsi="Cambria Math" w:cs="Arial"/>
            <w:sz w:val="22"/>
            <w:szCs w:val="22"/>
          </w:rPr>
          <m:t>d</m:t>
        </m:r>
      </m:oMath>
      <w:r w:rsidRPr="00FC38C2">
        <w:rPr>
          <w:rFonts w:ascii="Times" w:eastAsia="Georgia" w:hAnsi="Times" w:cs="Arial"/>
          <w:sz w:val="22"/>
          <w:szCs w:val="22"/>
        </w:rPr>
        <w:t xml:space="preserve">, we calculate the probability </w:t>
      </w:r>
      <m:oMath>
        <m:sSub>
          <m:sSubPr>
            <m:ctrlPr>
              <w:rPr>
                <w:rFonts w:ascii="Cambria Math" w:eastAsia="Georgia" w:hAnsi="Cambria Math" w:cs="Arial"/>
                <w:sz w:val="22"/>
                <w:szCs w:val="22"/>
              </w:rPr>
            </m:ctrlPr>
          </m:sSubPr>
          <m:e>
            <m:r>
              <w:rPr>
                <w:rFonts w:ascii="Cambria Math" w:eastAsia="Georgia" w:hAnsi="Cambria Math" w:cs="Arial"/>
                <w:sz w:val="22"/>
                <w:szCs w:val="22"/>
              </w:rPr>
              <m:t>p</m:t>
            </m:r>
          </m:e>
          <m:sub>
            <m:r>
              <w:rPr>
                <w:rFonts w:ascii="Cambria Math" w:eastAsia="Georgia" w:hAnsi="Cambria Math" w:cs="Arial"/>
                <w:sz w:val="22"/>
                <w:szCs w:val="22"/>
              </w:rPr>
              <m:t>d</m:t>
            </m:r>
          </m:sub>
        </m:sSub>
      </m:oMath>
      <w:r w:rsidRPr="00FC38C2">
        <w:rPr>
          <w:rFonts w:ascii="Times" w:eastAsia="Georgia" w:hAnsi="Times" w:cs="Arial"/>
          <w:sz w:val="22"/>
          <w:szCs w:val="22"/>
        </w:rPr>
        <w:t xml:space="preserve"> that it overlaps with common polymorphisms. We then calculate the information content to denote the value of discrete features </w:t>
      </w:r>
      <m:oMath>
        <m:sSub>
          <m:sSubPr>
            <m:ctrlPr>
              <w:rPr>
                <w:rFonts w:ascii="Cambria Math" w:eastAsia="Georgia" w:hAnsi="Cambria Math" w:cs="Arial"/>
                <w:i/>
                <w:sz w:val="22"/>
                <w:szCs w:val="22"/>
              </w:rPr>
            </m:ctrlPr>
          </m:sSubPr>
          <m:e>
            <m:r>
              <w:rPr>
                <w:rFonts w:ascii="Cambria Math" w:eastAsia="Georgia" w:hAnsi="Cambria Math" w:cs="Arial"/>
                <w:sz w:val="22"/>
                <w:szCs w:val="22"/>
              </w:rPr>
              <m:t>s</m:t>
            </m:r>
          </m:e>
          <m:sub>
            <m:r>
              <w:rPr>
                <w:rFonts w:ascii="Cambria Math" w:eastAsia="Georgia" w:hAnsi="Cambria Math" w:cs="Arial"/>
                <w:sz w:val="22"/>
                <w:szCs w:val="22"/>
              </w:rPr>
              <m:t>d</m:t>
            </m:r>
          </m:sub>
        </m:sSub>
        <m:r>
          <w:rPr>
            <w:rFonts w:ascii="Cambria Math" w:eastAsia="Georgia" w:hAnsi="Cambria Math" w:cs="Arial"/>
            <w:sz w:val="22"/>
            <w:szCs w:val="22"/>
          </w:rPr>
          <m:t>=1+</m:t>
        </m:r>
        <m:sSub>
          <m:sSubPr>
            <m:ctrlPr>
              <w:rPr>
                <w:rFonts w:ascii="Cambria Math" w:eastAsia="Georgia" w:hAnsi="Cambria Math" w:cs="Arial"/>
                <w:i/>
                <w:sz w:val="22"/>
                <w:szCs w:val="22"/>
              </w:rPr>
            </m:ctrlPr>
          </m:sSubPr>
          <m:e>
            <m:r>
              <w:rPr>
                <w:rFonts w:ascii="Cambria Math" w:eastAsia="Georgia" w:hAnsi="Cambria Math" w:cs="Arial"/>
                <w:sz w:val="22"/>
                <w:szCs w:val="22"/>
              </w:rPr>
              <m:t>p</m:t>
            </m:r>
          </m:e>
          <m:sub>
            <m:r>
              <w:rPr>
                <w:rFonts w:ascii="Cambria Math" w:eastAsia="Georgia" w:hAnsi="Cambria Math" w:cs="Arial"/>
                <w:sz w:val="22"/>
                <w:szCs w:val="22"/>
              </w:rPr>
              <m:t>d</m:t>
            </m:r>
          </m:sub>
        </m:sSub>
        <m:r>
          <w:rPr>
            <w:rFonts w:ascii="Cambria Math" w:eastAsia="Georgia" w:hAnsi="Cambria Math" w:cs="Arial"/>
            <w:sz w:val="22"/>
            <w:szCs w:val="22"/>
          </w:rPr>
          <m:t>*</m:t>
        </m:r>
        <m:sSub>
          <m:sSubPr>
            <m:ctrlPr>
              <w:rPr>
                <w:rFonts w:ascii="Cambria Math" w:eastAsia="Georgia" w:hAnsi="Cambria Math" w:cs="Arial"/>
                <w:i/>
                <w:sz w:val="22"/>
                <w:szCs w:val="22"/>
              </w:rPr>
            </m:ctrlPr>
          </m:sSubPr>
          <m:e>
            <m:r>
              <w:rPr>
                <w:rFonts w:ascii="Cambria Math" w:eastAsia="Georgia" w:hAnsi="Cambria Math" w:cs="Arial"/>
                <w:sz w:val="22"/>
                <w:szCs w:val="22"/>
              </w:rPr>
              <m:t>log</m:t>
            </m:r>
          </m:e>
          <m:sub>
            <m:r>
              <w:rPr>
                <w:rFonts w:ascii="Cambria Math" w:eastAsia="Georgia" w:hAnsi="Cambria Math" w:cs="Arial"/>
                <w:sz w:val="22"/>
                <w:szCs w:val="22"/>
              </w:rPr>
              <m:t>2</m:t>
            </m:r>
          </m:sub>
        </m:sSub>
        <m:sSub>
          <m:sSubPr>
            <m:ctrlPr>
              <w:rPr>
                <w:rFonts w:ascii="Cambria Math" w:eastAsia="Georgia" w:hAnsi="Cambria Math" w:cs="Arial"/>
                <w:i/>
                <w:sz w:val="22"/>
                <w:szCs w:val="22"/>
              </w:rPr>
            </m:ctrlPr>
          </m:sSubPr>
          <m:e>
            <m:r>
              <w:rPr>
                <w:rFonts w:ascii="Cambria Math" w:eastAsia="Georgia" w:hAnsi="Cambria Math" w:cs="Arial"/>
                <w:sz w:val="22"/>
                <w:szCs w:val="22"/>
              </w:rPr>
              <m:t>p</m:t>
            </m:r>
          </m:e>
          <m:sub>
            <m:r>
              <w:rPr>
                <w:rFonts w:ascii="Cambria Math" w:eastAsia="Georgia" w:hAnsi="Cambria Math" w:cs="Arial"/>
                <w:sz w:val="22"/>
                <w:szCs w:val="22"/>
              </w:rPr>
              <m:t>d</m:t>
            </m:r>
          </m:sub>
        </m:sSub>
        <m:r>
          <w:rPr>
            <w:rFonts w:ascii="Cambria Math" w:eastAsia="Georgia" w:hAnsi="Cambria Math" w:cs="Arial"/>
            <w:sz w:val="22"/>
            <w:szCs w:val="22"/>
          </w:rPr>
          <m:t>+(1-</m:t>
        </m:r>
        <m:sSub>
          <m:sSubPr>
            <m:ctrlPr>
              <w:rPr>
                <w:rFonts w:ascii="Cambria Math" w:eastAsia="Georgia" w:hAnsi="Cambria Math" w:cs="Arial"/>
                <w:i/>
                <w:sz w:val="22"/>
                <w:szCs w:val="22"/>
              </w:rPr>
            </m:ctrlPr>
          </m:sSubPr>
          <m:e>
            <m:r>
              <w:rPr>
                <w:rFonts w:ascii="Cambria Math" w:eastAsia="Georgia" w:hAnsi="Cambria Math" w:cs="Arial"/>
                <w:sz w:val="22"/>
                <w:szCs w:val="22"/>
              </w:rPr>
              <m:t>p</m:t>
            </m:r>
          </m:e>
          <m:sub>
            <m:r>
              <w:rPr>
                <w:rFonts w:ascii="Cambria Math" w:eastAsia="Georgia" w:hAnsi="Cambria Math" w:cs="Arial"/>
                <w:sz w:val="22"/>
                <w:szCs w:val="22"/>
              </w:rPr>
              <m:t>d</m:t>
            </m:r>
          </m:sub>
        </m:sSub>
        <m:r>
          <w:rPr>
            <w:rFonts w:ascii="Cambria Math" w:eastAsia="Georgia" w:hAnsi="Cambria Math" w:cs="Arial"/>
            <w:sz w:val="22"/>
            <w:szCs w:val="22"/>
          </w:rPr>
          <m:t>) *</m:t>
        </m:r>
        <m:sSub>
          <m:sSubPr>
            <m:ctrlPr>
              <w:rPr>
                <w:rFonts w:ascii="Cambria Math" w:eastAsia="Georgia" w:hAnsi="Cambria Math" w:cs="Arial"/>
                <w:i/>
                <w:sz w:val="22"/>
                <w:szCs w:val="22"/>
              </w:rPr>
            </m:ctrlPr>
          </m:sSubPr>
          <m:e>
            <m:r>
              <w:rPr>
                <w:rFonts w:ascii="Cambria Math" w:eastAsia="Georgia" w:hAnsi="Cambria Math" w:cs="Arial"/>
                <w:sz w:val="22"/>
                <w:szCs w:val="22"/>
              </w:rPr>
              <m:t>log</m:t>
            </m:r>
          </m:e>
          <m:sub>
            <m:r>
              <w:rPr>
                <w:rFonts w:ascii="Cambria Math" w:eastAsia="Georgia" w:hAnsi="Cambria Math" w:cs="Arial"/>
                <w:sz w:val="22"/>
                <w:szCs w:val="22"/>
              </w:rPr>
              <m:t>2</m:t>
            </m:r>
          </m:sub>
        </m:sSub>
        <m:r>
          <w:rPr>
            <w:rFonts w:ascii="Cambria Math" w:eastAsia="Georgia" w:hAnsi="Cambria Math" w:cs="Arial"/>
            <w:sz w:val="22"/>
            <w:szCs w:val="22"/>
          </w:rPr>
          <m:t>(1-</m:t>
        </m:r>
        <m:sSub>
          <m:sSubPr>
            <m:ctrlPr>
              <w:rPr>
                <w:rFonts w:ascii="Cambria Math" w:eastAsia="Georgia" w:hAnsi="Cambria Math" w:cs="Arial"/>
                <w:i/>
                <w:sz w:val="22"/>
                <w:szCs w:val="22"/>
              </w:rPr>
            </m:ctrlPr>
          </m:sSubPr>
          <m:e>
            <m:r>
              <w:rPr>
                <w:rFonts w:ascii="Cambria Math" w:eastAsia="Georgia" w:hAnsi="Cambria Math" w:cs="Arial"/>
                <w:sz w:val="22"/>
                <w:szCs w:val="22"/>
              </w:rPr>
              <m:t>p</m:t>
            </m:r>
          </m:e>
          <m:sub>
            <m:r>
              <w:rPr>
                <w:rFonts w:ascii="Cambria Math" w:eastAsia="Georgia" w:hAnsi="Cambria Math" w:cs="Arial"/>
                <w:sz w:val="22"/>
                <w:szCs w:val="22"/>
              </w:rPr>
              <m:t>d</m:t>
            </m:r>
          </m:sub>
        </m:sSub>
        <m:r>
          <w:rPr>
            <w:rFonts w:ascii="Cambria Math" w:eastAsia="Georgia" w:hAnsi="Cambria Math" w:cs="Arial"/>
            <w:sz w:val="22"/>
            <w:szCs w:val="22"/>
          </w:rPr>
          <m:t>)</m:t>
        </m:r>
      </m:oMath>
      <w:r w:rsidRPr="00FC38C2">
        <w:rPr>
          <w:rFonts w:ascii="Times" w:eastAsia="Georgia" w:hAnsi="Times" w:cs="Arial"/>
          <w:sz w:val="22"/>
          <w:szCs w:val="22"/>
        </w:rPr>
        <w:t>.</w:t>
      </w:r>
    </w:p>
    <w:p w14:paraId="2D8321D2" w14:textId="77777777" w:rsidR="00FC38C2" w:rsidRPr="00FC38C2" w:rsidRDefault="00FC38C2" w:rsidP="00FC38C2">
      <w:pPr>
        <w:ind w:firstLine="720"/>
        <w:jc w:val="both"/>
        <w:rPr>
          <w:rFonts w:ascii="Times" w:hAnsi="Times" w:cs="Arial"/>
          <w:b/>
          <w:i/>
          <w:sz w:val="22"/>
          <w:szCs w:val="22"/>
        </w:rPr>
      </w:pPr>
      <w:r w:rsidRPr="00FC38C2">
        <w:rPr>
          <w:rFonts w:ascii="Times" w:eastAsia="Georgia" w:hAnsi="Times" w:cs="Arial"/>
          <w:sz w:val="22"/>
          <w:szCs w:val="22"/>
        </w:rPr>
        <w:t xml:space="preserve">The situation is more complex for continuous features, as different feature values have different probabilities of being observed in natural polymorphisms. Thus, one weight cannot suffice for varied feature values. For a continuous feature </w:t>
      </w:r>
      <m:oMath>
        <m:r>
          <w:rPr>
            <w:rFonts w:ascii="Cambria Math" w:eastAsia="Georgia" w:hAnsi="Cambria Math" w:cs="Arial"/>
            <w:sz w:val="22"/>
            <w:szCs w:val="22"/>
          </w:rPr>
          <m:t>c</m:t>
        </m:r>
      </m:oMath>
      <w:r w:rsidRPr="00FC38C2">
        <w:rPr>
          <w:rFonts w:ascii="Times" w:eastAsia="Georgia" w:hAnsi="Times" w:cs="Arial"/>
          <w:sz w:val="22"/>
          <w:szCs w:val="22"/>
        </w:rPr>
        <w:t>, w</w:t>
      </w:r>
      <w:proofErr w:type="spellStart"/>
      <w:r w:rsidRPr="00FC38C2">
        <w:rPr>
          <w:rFonts w:ascii="Times" w:eastAsia="Georgia" w:hAnsi="Times" w:cs="Arial"/>
          <w:sz w:val="22"/>
          <w:szCs w:val="22"/>
        </w:rPr>
        <w:t>hich</w:t>
      </w:r>
      <w:proofErr w:type="spellEnd"/>
      <w:r w:rsidRPr="00FC38C2">
        <w:rPr>
          <w:rFonts w:ascii="Times" w:eastAsia="Georgia" w:hAnsi="Times" w:cs="Arial"/>
          <w:sz w:val="22"/>
          <w:szCs w:val="22"/>
        </w:rPr>
        <w:t xml:space="preserve"> is associated with a value </w:t>
      </w:r>
      <m:oMath>
        <m:sSub>
          <m:sSubPr>
            <m:ctrlPr>
              <w:rPr>
                <w:rFonts w:ascii="Cambria Math" w:eastAsia="Georgia" w:hAnsi="Cambria Math" w:cs="Arial"/>
                <w:i/>
                <w:sz w:val="22"/>
                <w:szCs w:val="22"/>
              </w:rPr>
            </m:ctrlPr>
          </m:sSubPr>
          <m:e>
            <m:r>
              <w:rPr>
                <w:rFonts w:ascii="Cambria Math" w:eastAsia="Georgia" w:hAnsi="Cambria Math" w:cs="Arial"/>
                <w:sz w:val="22"/>
                <w:szCs w:val="22"/>
              </w:rPr>
              <m:t>v</m:t>
            </m:r>
          </m:e>
          <m:sub>
            <m:r>
              <w:rPr>
                <w:rFonts w:ascii="Cambria Math" w:eastAsia="Georgia" w:hAnsi="Cambria Math" w:cs="Arial"/>
                <w:sz w:val="22"/>
                <w:szCs w:val="22"/>
              </w:rPr>
              <m:t>c</m:t>
            </m:r>
          </m:sub>
        </m:sSub>
      </m:oMath>
      <w:r w:rsidRPr="00FC38C2">
        <w:rPr>
          <w:rFonts w:ascii="Times" w:eastAsia="Georgia" w:hAnsi="Times" w:cs="Arial"/>
          <w:sz w:val="22"/>
          <w:szCs w:val="22"/>
        </w:rPr>
        <w:t xml:space="preserve">, the probability </w:t>
      </w:r>
      <m:oMath>
        <m:sSubSup>
          <m:sSubSupPr>
            <m:ctrlPr>
              <w:rPr>
                <w:rFonts w:ascii="Cambria Math" w:eastAsia="Georgia" w:hAnsi="Cambria Math" w:cs="Arial"/>
                <w:i/>
                <w:sz w:val="22"/>
                <w:szCs w:val="22"/>
              </w:rPr>
            </m:ctrlPr>
          </m:sSubSupPr>
          <m:e>
            <m:r>
              <w:rPr>
                <w:rFonts w:ascii="Cambria Math" w:eastAsia="Georgia" w:hAnsi="Cambria Math" w:cs="Arial"/>
                <w:sz w:val="22"/>
                <w:szCs w:val="22"/>
              </w:rPr>
              <m:t>p</m:t>
            </m:r>
          </m:e>
          <m:sub>
            <m:r>
              <w:rPr>
                <w:rFonts w:ascii="Cambria Math" w:eastAsia="Georgia" w:hAnsi="Cambria Math" w:cs="Arial"/>
                <w:sz w:val="22"/>
                <w:szCs w:val="22"/>
              </w:rPr>
              <m:t>c</m:t>
            </m:r>
          </m:sub>
          <m:sup>
            <m:sSub>
              <m:sSubPr>
                <m:ctrlPr>
                  <w:rPr>
                    <w:rFonts w:ascii="Cambria Math" w:eastAsia="Georgia" w:hAnsi="Cambria Math" w:cs="Arial"/>
                    <w:i/>
                    <w:sz w:val="22"/>
                    <w:szCs w:val="22"/>
                  </w:rPr>
                </m:ctrlPr>
              </m:sSubPr>
              <m:e>
                <m:r>
                  <w:rPr>
                    <w:rFonts w:ascii="Cambria Math" w:eastAsia="Georgia" w:hAnsi="Cambria Math" w:cs="Arial"/>
                    <w:sz w:val="22"/>
                    <w:szCs w:val="22"/>
                  </w:rPr>
                  <m:t>v</m:t>
                </m:r>
              </m:e>
              <m:sub>
                <m:r>
                  <w:rPr>
                    <w:rFonts w:ascii="Cambria Math" w:eastAsia="Georgia" w:hAnsi="Cambria Math" w:cs="Arial"/>
                    <w:sz w:val="22"/>
                    <w:szCs w:val="22"/>
                  </w:rPr>
                  <m:t>c</m:t>
                </m:r>
              </m:sub>
            </m:sSub>
          </m:sup>
        </m:sSubSup>
      </m:oMath>
      <w:r w:rsidRPr="00FC38C2">
        <w:rPr>
          <w:rFonts w:ascii="Times" w:eastAsia="Georgia" w:hAnsi="Times" w:cs="Arial"/>
          <w:sz w:val="22"/>
          <w:szCs w:val="22"/>
        </w:rPr>
        <w:t xml:space="preserve"> is first estimated using common variants: </w:t>
      </w:r>
      <m:oMath>
        <m:sSubSup>
          <m:sSubSupPr>
            <m:ctrlPr>
              <w:rPr>
                <w:rFonts w:ascii="Cambria Math" w:eastAsia="Georgia" w:hAnsi="Cambria Math" w:cs="Arial"/>
                <w:i/>
                <w:sz w:val="22"/>
                <w:szCs w:val="22"/>
              </w:rPr>
            </m:ctrlPr>
          </m:sSubSupPr>
          <m:e>
            <m:r>
              <w:rPr>
                <w:rFonts w:ascii="Cambria Math" w:eastAsia="Georgia" w:hAnsi="Cambria Math" w:cs="Arial"/>
                <w:sz w:val="22"/>
                <w:szCs w:val="22"/>
              </w:rPr>
              <m:t>p</m:t>
            </m:r>
          </m:e>
          <m:sub>
            <m:r>
              <w:rPr>
                <w:rFonts w:ascii="Cambria Math" w:eastAsia="Georgia" w:hAnsi="Cambria Math" w:cs="Arial"/>
                <w:sz w:val="22"/>
                <w:szCs w:val="22"/>
              </w:rPr>
              <m:t>c</m:t>
            </m:r>
          </m:sub>
          <m:sup>
            <m:sSub>
              <m:sSubPr>
                <m:ctrlPr>
                  <w:rPr>
                    <w:rFonts w:ascii="Cambria Math" w:eastAsia="Georgia" w:hAnsi="Cambria Math" w:cs="Arial"/>
                    <w:i/>
                    <w:sz w:val="22"/>
                    <w:szCs w:val="22"/>
                  </w:rPr>
                </m:ctrlPr>
              </m:sSubPr>
              <m:e>
                <m:r>
                  <w:rPr>
                    <w:rFonts w:ascii="Cambria Math" w:eastAsia="Georgia" w:hAnsi="Cambria Math" w:cs="Arial"/>
                    <w:sz w:val="22"/>
                    <w:szCs w:val="22"/>
                  </w:rPr>
                  <m:t>v</m:t>
                </m:r>
              </m:e>
              <m:sub>
                <m:r>
                  <w:rPr>
                    <w:rFonts w:ascii="Cambria Math" w:eastAsia="Georgia" w:hAnsi="Cambria Math" w:cs="Arial"/>
                    <w:sz w:val="22"/>
                    <w:szCs w:val="22"/>
                  </w:rPr>
                  <m:t>c</m:t>
                </m:r>
              </m:sub>
            </m:sSub>
          </m:sup>
        </m:sSubSup>
        <m:r>
          <w:rPr>
            <w:rFonts w:ascii="Cambria Math" w:eastAsia="Georgia" w:hAnsi="Cambria Math" w:cs="Arial"/>
            <w:sz w:val="22"/>
            <w:szCs w:val="22"/>
          </w:rPr>
          <m:t>=</m:t>
        </m:r>
        <m:f>
          <m:fPr>
            <m:ctrlPr>
              <w:rPr>
                <w:rFonts w:ascii="Cambria Math" w:eastAsia="Georgia" w:hAnsi="Cambria Math" w:cs="Arial"/>
                <w:i/>
                <w:sz w:val="22"/>
                <w:szCs w:val="22"/>
              </w:rPr>
            </m:ctrlPr>
          </m:fPr>
          <m:num>
            <m:r>
              <w:rPr>
                <w:rFonts w:ascii="Cambria Math" w:eastAsia="Georgia" w:hAnsi="Cambria Math" w:cs="Arial"/>
                <w:sz w:val="22"/>
                <w:szCs w:val="22"/>
              </w:rPr>
              <m:t>#common variant v≥</m:t>
            </m:r>
            <m:sSub>
              <m:sSubPr>
                <m:ctrlPr>
                  <w:rPr>
                    <w:rFonts w:ascii="Cambria Math" w:eastAsia="Georgia" w:hAnsi="Cambria Math" w:cs="Arial"/>
                    <w:i/>
                    <w:sz w:val="22"/>
                    <w:szCs w:val="22"/>
                  </w:rPr>
                </m:ctrlPr>
              </m:sSubPr>
              <m:e>
                <m:r>
                  <w:rPr>
                    <w:rFonts w:ascii="Cambria Math" w:eastAsia="Georgia" w:hAnsi="Cambria Math" w:cs="Arial"/>
                    <w:sz w:val="22"/>
                    <w:szCs w:val="22"/>
                  </w:rPr>
                  <m:t>v</m:t>
                </m:r>
              </m:e>
              <m:sub>
                <m:r>
                  <w:rPr>
                    <w:rFonts w:ascii="Cambria Math" w:eastAsia="Georgia" w:hAnsi="Cambria Math" w:cs="Arial"/>
                    <w:sz w:val="22"/>
                    <w:szCs w:val="22"/>
                  </w:rPr>
                  <m:t>c</m:t>
                </m:r>
              </m:sub>
            </m:sSub>
          </m:num>
          <m:den>
            <m:r>
              <w:rPr>
                <w:rFonts w:ascii="Cambria Math" w:eastAsia="Georgia" w:hAnsi="Cambria Math" w:cs="Arial"/>
                <w:sz w:val="22"/>
                <w:szCs w:val="22"/>
              </w:rPr>
              <m:t>#common variant</m:t>
            </m:r>
          </m:den>
        </m:f>
      </m:oMath>
      <w:r w:rsidRPr="00FC38C2">
        <w:rPr>
          <w:rFonts w:ascii="Times" w:eastAsia="Georgia" w:hAnsi="Times" w:cs="Arial"/>
          <w:sz w:val="22"/>
          <w:szCs w:val="22"/>
        </w:rPr>
        <w:t xml:space="preserve">. The score of continuous feature is defined as </w:t>
      </w:r>
      <m:oMath>
        <m:sSubSup>
          <m:sSubSupPr>
            <m:ctrlPr>
              <w:rPr>
                <w:rFonts w:ascii="Cambria Math" w:eastAsia="Georgia" w:hAnsi="Cambria Math" w:cs="Arial"/>
                <w:i/>
                <w:sz w:val="22"/>
                <w:szCs w:val="22"/>
              </w:rPr>
            </m:ctrlPr>
          </m:sSubSupPr>
          <m:e>
            <m:r>
              <w:rPr>
                <w:rFonts w:ascii="Cambria Math" w:eastAsia="Georgia" w:hAnsi="Cambria Math" w:cs="Arial"/>
                <w:sz w:val="22"/>
                <w:szCs w:val="22"/>
              </w:rPr>
              <m:t>s</m:t>
            </m:r>
          </m:e>
          <m:sub>
            <m:r>
              <w:rPr>
                <w:rFonts w:ascii="Cambria Math" w:eastAsia="Georgia" w:hAnsi="Cambria Math" w:cs="Arial"/>
                <w:sz w:val="22"/>
                <w:szCs w:val="22"/>
              </w:rPr>
              <m:t>c</m:t>
            </m:r>
          </m:sub>
          <m:sup>
            <m:sSub>
              <m:sSubPr>
                <m:ctrlPr>
                  <w:rPr>
                    <w:rFonts w:ascii="Cambria Math" w:eastAsia="Georgia" w:hAnsi="Cambria Math" w:cs="Arial"/>
                    <w:i/>
                    <w:sz w:val="22"/>
                    <w:szCs w:val="22"/>
                  </w:rPr>
                </m:ctrlPr>
              </m:sSubPr>
              <m:e>
                <m:r>
                  <w:rPr>
                    <w:rFonts w:ascii="Cambria Math" w:eastAsia="Georgia" w:hAnsi="Cambria Math" w:cs="Arial"/>
                    <w:sz w:val="22"/>
                    <w:szCs w:val="22"/>
                  </w:rPr>
                  <m:t>v</m:t>
                </m:r>
              </m:e>
              <m:sub>
                <m:r>
                  <w:rPr>
                    <w:rFonts w:ascii="Cambria Math" w:eastAsia="Georgia" w:hAnsi="Cambria Math" w:cs="Arial"/>
                    <w:sz w:val="22"/>
                    <w:szCs w:val="22"/>
                  </w:rPr>
                  <m:t>c</m:t>
                </m:r>
              </m:sub>
            </m:sSub>
          </m:sup>
        </m:sSubSup>
        <m:r>
          <w:rPr>
            <w:rFonts w:ascii="Cambria Math" w:eastAsia="Georgia" w:hAnsi="Cambria Math" w:cs="Arial"/>
            <w:sz w:val="22"/>
            <w:szCs w:val="22"/>
          </w:rPr>
          <m:t>=1+</m:t>
        </m:r>
        <m:sSubSup>
          <m:sSubSupPr>
            <m:ctrlPr>
              <w:rPr>
                <w:rFonts w:ascii="Cambria Math" w:eastAsia="Georgia" w:hAnsi="Cambria Math" w:cs="Arial"/>
                <w:i/>
                <w:sz w:val="22"/>
                <w:szCs w:val="22"/>
              </w:rPr>
            </m:ctrlPr>
          </m:sSubSupPr>
          <m:e>
            <m:r>
              <w:rPr>
                <w:rFonts w:ascii="Cambria Math" w:eastAsia="Georgia" w:hAnsi="Cambria Math" w:cs="Arial"/>
                <w:sz w:val="22"/>
                <w:szCs w:val="22"/>
              </w:rPr>
              <m:t>p</m:t>
            </m:r>
          </m:e>
          <m:sub>
            <m:r>
              <w:rPr>
                <w:rFonts w:ascii="Cambria Math" w:eastAsia="Georgia" w:hAnsi="Cambria Math" w:cs="Arial"/>
                <w:sz w:val="22"/>
                <w:szCs w:val="22"/>
              </w:rPr>
              <m:t>c</m:t>
            </m:r>
          </m:sub>
          <m:sup>
            <m:sSub>
              <m:sSubPr>
                <m:ctrlPr>
                  <w:rPr>
                    <w:rFonts w:ascii="Cambria Math" w:eastAsia="Georgia" w:hAnsi="Cambria Math" w:cs="Arial"/>
                    <w:i/>
                    <w:sz w:val="22"/>
                    <w:szCs w:val="22"/>
                  </w:rPr>
                </m:ctrlPr>
              </m:sSubPr>
              <m:e>
                <m:r>
                  <w:rPr>
                    <w:rFonts w:ascii="Cambria Math" w:eastAsia="Georgia" w:hAnsi="Cambria Math" w:cs="Arial"/>
                    <w:sz w:val="22"/>
                    <w:szCs w:val="22"/>
                  </w:rPr>
                  <m:t>v</m:t>
                </m:r>
              </m:e>
              <m:sub>
                <m:r>
                  <w:rPr>
                    <w:rFonts w:ascii="Cambria Math" w:eastAsia="Georgia" w:hAnsi="Cambria Math" w:cs="Arial"/>
                    <w:sz w:val="22"/>
                    <w:szCs w:val="22"/>
                  </w:rPr>
                  <m:t>c</m:t>
                </m:r>
              </m:sub>
            </m:sSub>
          </m:sup>
        </m:sSubSup>
        <m:r>
          <w:rPr>
            <w:rFonts w:ascii="Cambria Math" w:eastAsia="Georgia" w:hAnsi="Cambria Math" w:cs="Arial"/>
            <w:sz w:val="22"/>
            <w:szCs w:val="22"/>
          </w:rPr>
          <m:t>*</m:t>
        </m:r>
        <m:sSub>
          <m:sSubPr>
            <m:ctrlPr>
              <w:rPr>
                <w:rFonts w:ascii="Cambria Math" w:eastAsia="Georgia" w:hAnsi="Cambria Math" w:cs="Arial"/>
                <w:i/>
                <w:sz w:val="22"/>
                <w:szCs w:val="22"/>
              </w:rPr>
            </m:ctrlPr>
          </m:sSubPr>
          <m:e>
            <m:r>
              <w:rPr>
                <w:rFonts w:ascii="Cambria Math" w:eastAsia="Georgia" w:hAnsi="Cambria Math" w:cs="Arial"/>
                <w:sz w:val="22"/>
                <w:szCs w:val="22"/>
              </w:rPr>
              <m:t>log</m:t>
            </m:r>
          </m:e>
          <m:sub>
            <m:r>
              <w:rPr>
                <w:rFonts w:ascii="Cambria Math" w:eastAsia="Georgia" w:hAnsi="Cambria Math" w:cs="Arial"/>
                <w:sz w:val="22"/>
                <w:szCs w:val="22"/>
              </w:rPr>
              <m:t>2</m:t>
            </m:r>
          </m:sub>
        </m:sSub>
        <m:sSubSup>
          <m:sSubSupPr>
            <m:ctrlPr>
              <w:rPr>
                <w:rFonts w:ascii="Cambria Math" w:eastAsia="Georgia" w:hAnsi="Cambria Math" w:cs="Arial"/>
                <w:i/>
                <w:sz w:val="22"/>
                <w:szCs w:val="22"/>
              </w:rPr>
            </m:ctrlPr>
          </m:sSubSupPr>
          <m:e>
            <m:r>
              <w:rPr>
                <w:rFonts w:ascii="Cambria Math" w:eastAsia="Georgia" w:hAnsi="Cambria Math" w:cs="Arial"/>
                <w:sz w:val="22"/>
                <w:szCs w:val="22"/>
              </w:rPr>
              <m:t>p</m:t>
            </m:r>
          </m:e>
          <m:sub>
            <m:r>
              <w:rPr>
                <w:rFonts w:ascii="Times" w:eastAsia="Georgia" w:hAnsi="Times" w:cs="Arial"/>
                <w:sz w:val="22"/>
                <w:szCs w:val="22"/>
              </w:rPr>
              <m:t>c</m:t>
            </m:r>
          </m:sub>
          <m:sup>
            <m:sSub>
              <m:sSubPr>
                <m:ctrlPr>
                  <w:rPr>
                    <w:rFonts w:ascii="Cambria Math" w:eastAsia="Georgia" w:hAnsi="Cambria Math" w:cs="Arial"/>
                    <w:i/>
                    <w:sz w:val="22"/>
                    <w:szCs w:val="22"/>
                  </w:rPr>
                </m:ctrlPr>
              </m:sSubPr>
              <m:e>
                <m:r>
                  <w:rPr>
                    <w:rFonts w:ascii="Cambria Math" w:eastAsia="Georgia" w:hAnsi="Cambria Math" w:cs="Arial"/>
                    <w:sz w:val="22"/>
                    <w:szCs w:val="22"/>
                  </w:rPr>
                  <m:t>v</m:t>
                </m:r>
              </m:e>
              <m:sub>
                <m:r>
                  <w:rPr>
                    <w:rFonts w:ascii="Cambria Math" w:eastAsia="Georgia" w:hAnsi="Cambria Math" w:cs="Arial"/>
                    <w:sz w:val="22"/>
                    <w:szCs w:val="22"/>
                  </w:rPr>
                  <m:t>c</m:t>
                </m:r>
              </m:sub>
            </m:sSub>
          </m:sup>
        </m:sSubSup>
        <m:r>
          <w:rPr>
            <w:rFonts w:ascii="Cambria Math" w:eastAsia="Georgia" w:hAnsi="Cambria Math" w:cs="Arial"/>
            <w:sz w:val="22"/>
            <w:szCs w:val="22"/>
          </w:rPr>
          <m:t>+(1-</m:t>
        </m:r>
        <m:sSubSup>
          <m:sSubSupPr>
            <m:ctrlPr>
              <w:rPr>
                <w:rFonts w:ascii="Cambria Math" w:eastAsia="Georgia" w:hAnsi="Cambria Math" w:cs="Arial"/>
                <w:i/>
                <w:sz w:val="22"/>
                <w:szCs w:val="22"/>
              </w:rPr>
            </m:ctrlPr>
          </m:sSubSupPr>
          <m:e>
            <m:r>
              <w:rPr>
                <w:rFonts w:ascii="Cambria Math" w:eastAsia="Georgia" w:hAnsi="Cambria Math" w:cs="Arial"/>
                <w:sz w:val="22"/>
                <w:szCs w:val="22"/>
              </w:rPr>
              <m:t>p</m:t>
            </m:r>
          </m:e>
          <m:sub>
            <m:r>
              <w:rPr>
                <w:rFonts w:ascii="Cambria Math" w:eastAsia="Georgia" w:hAnsi="Cambria Math" w:cs="Arial"/>
                <w:sz w:val="22"/>
                <w:szCs w:val="22"/>
              </w:rPr>
              <m:t>c</m:t>
            </m:r>
          </m:sub>
          <m:sup>
            <m:sSub>
              <m:sSubPr>
                <m:ctrlPr>
                  <w:rPr>
                    <w:rFonts w:ascii="Cambria Math" w:eastAsia="Georgia" w:hAnsi="Cambria Math" w:cs="Arial"/>
                    <w:i/>
                    <w:sz w:val="22"/>
                    <w:szCs w:val="22"/>
                  </w:rPr>
                </m:ctrlPr>
              </m:sSubPr>
              <m:e>
                <m:r>
                  <w:rPr>
                    <w:rFonts w:ascii="Cambria Math" w:eastAsia="Georgia" w:hAnsi="Cambria Math" w:cs="Arial"/>
                    <w:sz w:val="22"/>
                    <w:szCs w:val="22"/>
                  </w:rPr>
                  <m:t>v</m:t>
                </m:r>
              </m:e>
              <m:sub>
                <m:r>
                  <w:rPr>
                    <w:rFonts w:ascii="Cambria Math" w:eastAsia="Georgia" w:hAnsi="Cambria Math" w:cs="Arial"/>
                    <w:sz w:val="22"/>
                    <w:szCs w:val="22"/>
                  </w:rPr>
                  <m:t>c</m:t>
                </m:r>
              </m:sub>
            </m:sSub>
          </m:sup>
        </m:sSubSup>
        <m:r>
          <w:rPr>
            <w:rFonts w:ascii="Cambria Math" w:eastAsia="Georgia" w:hAnsi="Cambria Math" w:cs="Arial"/>
            <w:sz w:val="22"/>
            <w:szCs w:val="22"/>
          </w:rPr>
          <m:t>) *</m:t>
        </m:r>
        <m:sSub>
          <m:sSubPr>
            <m:ctrlPr>
              <w:rPr>
                <w:rFonts w:ascii="Cambria Math" w:eastAsia="Georgia" w:hAnsi="Cambria Math" w:cs="Arial"/>
                <w:i/>
                <w:sz w:val="22"/>
                <w:szCs w:val="22"/>
              </w:rPr>
            </m:ctrlPr>
          </m:sSubPr>
          <m:e>
            <m:r>
              <w:rPr>
                <w:rFonts w:ascii="Cambria Math" w:eastAsia="Georgia" w:hAnsi="Cambria Math" w:cs="Arial"/>
                <w:sz w:val="22"/>
                <w:szCs w:val="22"/>
              </w:rPr>
              <m:t>log</m:t>
            </m:r>
          </m:e>
          <m:sub>
            <m:r>
              <w:rPr>
                <w:rFonts w:ascii="Cambria Math" w:eastAsia="Georgia" w:hAnsi="Cambria Math" w:cs="Arial"/>
                <w:sz w:val="22"/>
                <w:szCs w:val="22"/>
              </w:rPr>
              <m:t>2</m:t>
            </m:r>
          </m:sub>
        </m:sSub>
        <m:r>
          <w:rPr>
            <w:rFonts w:ascii="Cambria Math" w:eastAsia="Georgia" w:hAnsi="Cambria Math" w:cs="Arial"/>
            <w:sz w:val="22"/>
            <w:szCs w:val="22"/>
          </w:rPr>
          <m:t>(1-</m:t>
        </m:r>
        <m:sSubSup>
          <m:sSubSupPr>
            <m:ctrlPr>
              <w:rPr>
                <w:rFonts w:ascii="Cambria Math" w:eastAsia="Georgia" w:hAnsi="Cambria Math" w:cs="Arial"/>
                <w:i/>
                <w:sz w:val="22"/>
                <w:szCs w:val="22"/>
              </w:rPr>
            </m:ctrlPr>
          </m:sSubSupPr>
          <m:e>
            <m:r>
              <w:rPr>
                <w:rFonts w:ascii="Cambria Math" w:eastAsia="Georgia" w:hAnsi="Cambria Math" w:cs="Arial"/>
                <w:sz w:val="22"/>
                <w:szCs w:val="22"/>
              </w:rPr>
              <m:t>p</m:t>
            </m:r>
          </m:e>
          <m:sub>
            <m:r>
              <w:rPr>
                <w:rFonts w:ascii="Cambria Math" w:eastAsia="Georgia" w:hAnsi="Cambria Math" w:cs="Arial"/>
                <w:sz w:val="22"/>
                <w:szCs w:val="22"/>
              </w:rPr>
              <m:t>c</m:t>
            </m:r>
          </m:sub>
          <m:sup>
            <m:sSub>
              <m:sSubPr>
                <m:ctrlPr>
                  <w:rPr>
                    <w:rFonts w:ascii="Cambria Math" w:eastAsia="Georgia" w:hAnsi="Cambria Math" w:cs="Arial"/>
                    <w:i/>
                    <w:sz w:val="22"/>
                    <w:szCs w:val="22"/>
                  </w:rPr>
                </m:ctrlPr>
              </m:sSubPr>
              <m:e>
                <m:r>
                  <w:rPr>
                    <w:rFonts w:ascii="Cambria Math" w:eastAsia="Georgia" w:hAnsi="Cambria Math" w:cs="Arial"/>
                    <w:sz w:val="22"/>
                    <w:szCs w:val="22"/>
                  </w:rPr>
                  <m:t>v</m:t>
                </m:r>
              </m:e>
              <m:sub>
                <m:r>
                  <w:rPr>
                    <w:rFonts w:ascii="Cambria Math" w:eastAsia="Georgia" w:hAnsi="Cambria Math" w:cs="Arial"/>
                    <w:sz w:val="22"/>
                    <w:szCs w:val="22"/>
                  </w:rPr>
                  <m:t>c</m:t>
                </m:r>
              </m:sub>
            </m:sSub>
          </m:sup>
        </m:sSubSup>
        <m:r>
          <w:rPr>
            <w:rFonts w:ascii="Cambria Math" w:eastAsia="Georgia" w:hAnsi="Cambria Math" w:cs="Arial"/>
            <w:sz w:val="22"/>
            <w:szCs w:val="22"/>
          </w:rPr>
          <m:t>)</m:t>
        </m:r>
      </m:oMath>
      <w:r w:rsidRPr="00FC38C2">
        <w:rPr>
          <w:rFonts w:ascii="Times" w:eastAsia="Georgia" w:hAnsi="Times" w:cs="Arial"/>
          <w:sz w:val="22"/>
          <w:szCs w:val="22"/>
        </w:rPr>
        <w:t xml:space="preserve">. </w:t>
      </w:r>
    </w:p>
    <w:p w14:paraId="1AB547F0" w14:textId="77777777" w:rsidR="00FC38C2" w:rsidRPr="00FC38C2" w:rsidRDefault="00FC38C2" w:rsidP="00FC38C2">
      <w:pPr>
        <w:ind w:firstLine="720"/>
        <w:jc w:val="both"/>
        <w:rPr>
          <w:rFonts w:ascii="Times" w:hAnsi="Times" w:cs="Arial"/>
          <w:b/>
          <w:i/>
          <w:sz w:val="22"/>
          <w:szCs w:val="22"/>
        </w:rPr>
      </w:pPr>
      <w:r w:rsidRPr="00FC38C2">
        <w:rPr>
          <w:rFonts w:ascii="Times" w:hAnsi="Times" w:cs="Arial"/>
          <w:sz w:val="22"/>
          <w:szCs w:val="22"/>
        </w:rPr>
        <w:t xml:space="preserve">We will run FunSeq2 on all </w:t>
      </w:r>
      <w:proofErr w:type="spellStart"/>
      <w:r w:rsidRPr="00FC38C2">
        <w:rPr>
          <w:rFonts w:ascii="Times" w:hAnsi="Times" w:cs="Arial"/>
          <w:sz w:val="22"/>
          <w:szCs w:val="22"/>
        </w:rPr>
        <w:t>TopMed</w:t>
      </w:r>
      <w:proofErr w:type="spellEnd"/>
      <w:r w:rsidRPr="00FC38C2">
        <w:rPr>
          <w:rFonts w:ascii="Times" w:hAnsi="Times" w:cs="Arial"/>
          <w:sz w:val="22"/>
          <w:szCs w:val="22"/>
        </w:rPr>
        <w:t xml:space="preserve"> samples, generating a score for every variant in every individual, genome-wide.</w:t>
      </w:r>
    </w:p>
    <w:p w14:paraId="37958314" w14:textId="77777777" w:rsidR="00FC38C2" w:rsidRPr="00FC38C2" w:rsidRDefault="00FC38C2" w:rsidP="00FC38C2">
      <w:pPr>
        <w:jc w:val="both"/>
        <w:rPr>
          <w:rFonts w:ascii="Times" w:hAnsi="Times" w:cs="Arial"/>
          <w:sz w:val="22"/>
          <w:szCs w:val="22"/>
        </w:rPr>
      </w:pPr>
    </w:p>
    <w:p w14:paraId="7DD25547" w14:textId="77777777" w:rsidR="00FC38C2" w:rsidRPr="00FC38C2" w:rsidRDefault="00FC38C2" w:rsidP="00FC38C2">
      <w:pPr>
        <w:jc w:val="both"/>
        <w:outlineLvl w:val="0"/>
        <w:rPr>
          <w:rFonts w:ascii="Times" w:hAnsi="Times" w:cs="Arial"/>
          <w:b/>
          <w:i/>
          <w:color w:val="000000" w:themeColor="text1"/>
          <w:sz w:val="22"/>
          <w:szCs w:val="22"/>
        </w:rPr>
      </w:pPr>
      <w:r w:rsidRPr="00FC38C2">
        <w:rPr>
          <w:rFonts w:ascii="Times" w:hAnsi="Times" w:cs="Arial"/>
          <w:b/>
          <w:i/>
          <w:color w:val="000000" w:themeColor="text1"/>
          <w:sz w:val="22"/>
          <w:szCs w:val="22"/>
        </w:rPr>
        <w:t>Allelic analysis</w:t>
      </w:r>
    </w:p>
    <w:p w14:paraId="091E7BC8" w14:textId="77777777" w:rsidR="00FC38C2" w:rsidRPr="00FC38C2" w:rsidRDefault="00FC38C2" w:rsidP="00FC38C2">
      <w:pPr>
        <w:jc w:val="both"/>
        <w:rPr>
          <w:rFonts w:ascii="Times" w:eastAsia="Times New Roman" w:hAnsi="Times" w:cs="Arial"/>
          <w:color w:val="000000"/>
          <w:sz w:val="22"/>
          <w:szCs w:val="22"/>
        </w:rPr>
      </w:pPr>
      <w:r w:rsidRPr="00FC38C2">
        <w:rPr>
          <w:rFonts w:ascii="Times" w:eastAsia="Times New Roman" w:hAnsi="Times" w:cs="Arial"/>
          <w:color w:val="000000"/>
          <w:sz w:val="22"/>
          <w:szCs w:val="22"/>
        </w:rPr>
        <w:t>Allele-specific variants(ASVs) have the potential to provide a highly direct readout of the functional impact of a variant. These are variants that are associated with allele-specific binding (ASB), particularly of transcription factors or DNA-binding proteins, and allele-specific expression (ASE)\</w:t>
      </w:r>
      <w:proofErr w:type="gramStart"/>
      <w:r w:rsidRPr="00FC38C2">
        <w:rPr>
          <w:rFonts w:ascii="Times" w:eastAsia="Times New Roman" w:hAnsi="Times" w:cs="Arial"/>
          <w:color w:val="000000"/>
          <w:sz w:val="22"/>
          <w:szCs w:val="22"/>
        </w:rPr>
        <w:t>cite{</w:t>
      </w:r>
      <w:proofErr w:type="gramEnd"/>
      <w:r w:rsidRPr="00FC38C2">
        <w:rPr>
          <w:rFonts w:ascii="Times" w:eastAsia="Times New Roman" w:hAnsi="Times" w:cs="Arial"/>
          <w:color w:val="000000"/>
          <w:sz w:val="22"/>
          <w:szCs w:val="22"/>
        </w:rPr>
        <w:t xml:space="preserve">20567245,20846943}. We have previously developed a tool, </w:t>
      </w:r>
      <w:proofErr w:type="spellStart"/>
      <w:proofErr w:type="gramStart"/>
      <w:r w:rsidRPr="00FC38C2">
        <w:rPr>
          <w:rFonts w:ascii="Times" w:eastAsia="Times New Roman" w:hAnsi="Times" w:cs="Arial"/>
          <w:color w:val="000000"/>
          <w:sz w:val="22"/>
          <w:szCs w:val="22"/>
        </w:rPr>
        <w:t>AlleleSeq</w:t>
      </w:r>
      <w:proofErr w:type="spellEnd"/>
      <w:r w:rsidRPr="00FC38C2">
        <w:rPr>
          <w:rFonts w:ascii="Times" w:eastAsia="Times New Roman" w:hAnsi="Times" w:cs="Arial"/>
          <w:color w:val="000000"/>
          <w:sz w:val="22"/>
          <w:szCs w:val="22"/>
        </w:rPr>
        <w:t>,\</w:t>
      </w:r>
      <w:proofErr w:type="gramEnd"/>
      <w:r w:rsidRPr="00FC38C2">
        <w:rPr>
          <w:rFonts w:ascii="Times" w:eastAsia="Times New Roman" w:hAnsi="Times" w:cs="Arial"/>
          <w:color w:val="000000"/>
          <w:sz w:val="22"/>
          <w:szCs w:val="22"/>
        </w:rPr>
        <w:t xml:space="preserve">cite{21811232} for the detection of candidate variants associated with ASB and ASE. Using this we have generated comprehensive lists of allelic variants for ENCODE and 1000 Genomes and found that allelic variants are under </w:t>
      </w:r>
      <w:r w:rsidRPr="00FC38C2">
        <w:rPr>
          <w:rFonts w:ascii="Times" w:eastAsia="Times New Roman" w:hAnsi="Times" w:cs="Arial"/>
          <w:color w:val="000000"/>
          <w:sz w:val="22"/>
          <w:szCs w:val="22"/>
        </w:rPr>
        <w:lastRenderedPageBreak/>
        <w:t>differential selection from non-allelic ones\cite{22955619,</w:t>
      </w:r>
      <w:proofErr w:type="gramStart"/>
      <w:r w:rsidRPr="00FC38C2">
        <w:rPr>
          <w:rFonts w:ascii="Times" w:eastAsia="Times New Roman" w:hAnsi="Times" w:cs="Arial"/>
          <w:color w:val="000000"/>
          <w:sz w:val="22"/>
          <w:szCs w:val="22"/>
        </w:rPr>
        <w:t>24092746}\</w:t>
      </w:r>
      <w:proofErr w:type="gramEnd"/>
      <w:r w:rsidRPr="00FC38C2">
        <w:rPr>
          <w:rFonts w:ascii="Times" w:eastAsia="Times New Roman" w:hAnsi="Times" w:cs="Arial"/>
          <w:color w:val="000000"/>
          <w:sz w:val="22"/>
          <w:szCs w:val="22"/>
        </w:rPr>
        <w:t>cite{22955620,22955619,24092746}. By constructing regulatory networks based on ASB of TFs and ASE of their target genes, we further revealed substantial coordination between allele-specific binding and expression\</w:t>
      </w:r>
      <w:proofErr w:type="gramStart"/>
      <w:r w:rsidRPr="00FC38C2">
        <w:rPr>
          <w:rFonts w:ascii="Times" w:eastAsia="Times New Roman" w:hAnsi="Times" w:cs="Arial"/>
          <w:color w:val="000000"/>
          <w:sz w:val="22"/>
          <w:szCs w:val="22"/>
        </w:rPr>
        <w:t>cite{</w:t>
      </w:r>
      <w:proofErr w:type="gramEnd"/>
      <w:r w:rsidRPr="00FC38C2">
        <w:rPr>
          <w:rFonts w:ascii="Times" w:eastAsia="Times New Roman" w:hAnsi="Times" w:cs="Arial"/>
          <w:color w:val="000000"/>
          <w:sz w:val="22"/>
          <w:szCs w:val="22"/>
        </w:rPr>
        <w:t>22955619}. Furthermore, we have constructed a personal diploid genome and transcriptome of NA12878 \</w:t>
      </w:r>
      <w:proofErr w:type="gramStart"/>
      <w:r w:rsidRPr="00FC38C2">
        <w:rPr>
          <w:rFonts w:ascii="Times" w:eastAsia="Times New Roman" w:hAnsi="Times" w:cs="Arial"/>
          <w:color w:val="000000"/>
          <w:sz w:val="22"/>
          <w:szCs w:val="22"/>
        </w:rPr>
        <w:t>cite{</w:t>
      </w:r>
      <w:proofErr w:type="gramEnd"/>
      <w:r w:rsidRPr="00FC38C2">
        <w:rPr>
          <w:rFonts w:ascii="Times" w:eastAsia="Times New Roman" w:hAnsi="Times" w:cs="Arial"/>
          <w:color w:val="575757"/>
          <w:sz w:val="22"/>
          <w:szCs w:val="22"/>
          <w:shd w:val="clear" w:color="auto" w:fill="FFFFFF"/>
        </w:rPr>
        <w:t>27089393</w:t>
      </w:r>
      <w:r w:rsidRPr="00FC38C2">
        <w:rPr>
          <w:rFonts w:ascii="Times" w:eastAsia="Times New Roman" w:hAnsi="Times" w:cs="Arial"/>
          <w:color w:val="000000"/>
          <w:sz w:val="22"/>
          <w:szCs w:val="22"/>
        </w:rPr>
        <w:t>}</w:t>
      </w:r>
    </w:p>
    <w:p w14:paraId="717F6C37" w14:textId="77777777" w:rsidR="00FC38C2" w:rsidRPr="00FC38C2" w:rsidRDefault="00FC38C2" w:rsidP="00FC38C2">
      <w:pPr>
        <w:jc w:val="both"/>
        <w:rPr>
          <w:rFonts w:ascii="Times" w:hAnsi="Times" w:cs="Arial"/>
          <w:color w:val="000000" w:themeColor="text1"/>
          <w:sz w:val="22"/>
          <w:szCs w:val="22"/>
        </w:rPr>
      </w:pPr>
      <w:r w:rsidRPr="00FC38C2">
        <w:rPr>
          <w:rFonts w:ascii="Times" w:eastAsia="Times New Roman" w:hAnsi="Times" w:cs="Arial"/>
          <w:color w:val="000000"/>
          <w:sz w:val="22"/>
          <w:szCs w:val="22"/>
        </w:rPr>
        <w:tab/>
        <w:t xml:space="preserve">To create a resource describing allele-specific activity, termed </w:t>
      </w:r>
      <w:proofErr w:type="spellStart"/>
      <w:r w:rsidRPr="00FC38C2">
        <w:rPr>
          <w:rFonts w:ascii="Times" w:eastAsia="Times New Roman" w:hAnsi="Times" w:cs="Arial"/>
          <w:color w:val="000000"/>
          <w:sz w:val="22"/>
          <w:szCs w:val="22"/>
        </w:rPr>
        <w:t>AlleleDB</w:t>
      </w:r>
      <w:proofErr w:type="spellEnd"/>
      <w:r w:rsidRPr="00FC38C2">
        <w:rPr>
          <w:rFonts w:ascii="Times" w:eastAsia="Times New Roman" w:hAnsi="Times" w:cs="Arial"/>
          <w:color w:val="000000"/>
          <w:sz w:val="22"/>
          <w:szCs w:val="22"/>
        </w:rPr>
        <w:t>, we conducted a comprehensive allele-specific analysis of RNA-</w:t>
      </w:r>
      <w:proofErr w:type="spellStart"/>
      <w:r w:rsidRPr="00FC38C2">
        <w:rPr>
          <w:rFonts w:ascii="Times" w:eastAsia="Times New Roman" w:hAnsi="Times" w:cs="Arial"/>
          <w:color w:val="000000"/>
          <w:sz w:val="22"/>
          <w:szCs w:val="22"/>
        </w:rPr>
        <w:t>Seq</w:t>
      </w:r>
      <w:proofErr w:type="spellEnd"/>
      <w:r w:rsidRPr="00FC38C2">
        <w:rPr>
          <w:rFonts w:ascii="Times" w:eastAsia="Times New Roman" w:hAnsi="Times" w:cs="Arial"/>
          <w:color w:val="000000"/>
          <w:sz w:val="22"/>
          <w:szCs w:val="22"/>
        </w:rPr>
        <w:t xml:space="preserve"> and </w:t>
      </w:r>
      <w:proofErr w:type="spellStart"/>
      <w:r w:rsidRPr="00FC38C2">
        <w:rPr>
          <w:rFonts w:ascii="Times" w:eastAsia="Times New Roman" w:hAnsi="Times" w:cs="Arial"/>
          <w:color w:val="000000"/>
          <w:sz w:val="22"/>
          <w:szCs w:val="22"/>
        </w:rPr>
        <w:t>ChIP-seq</w:t>
      </w:r>
      <w:proofErr w:type="spellEnd"/>
      <w:r w:rsidRPr="00FC38C2">
        <w:rPr>
          <w:rFonts w:ascii="Times" w:eastAsia="Times New Roman" w:hAnsi="Times" w:cs="Arial"/>
          <w:color w:val="000000"/>
          <w:sz w:val="22"/>
          <w:szCs w:val="22"/>
        </w:rPr>
        <w:t xml:space="preserve"> experiments from multiple disparate studies, such as </w:t>
      </w:r>
      <w:proofErr w:type="spellStart"/>
      <w:r w:rsidRPr="00FC38C2">
        <w:rPr>
          <w:rFonts w:ascii="Times" w:eastAsia="Times New Roman" w:hAnsi="Times" w:cs="Arial"/>
          <w:color w:val="000000"/>
          <w:sz w:val="22"/>
          <w:szCs w:val="22"/>
        </w:rPr>
        <w:t>gEUVADIS</w:t>
      </w:r>
      <w:proofErr w:type="spellEnd"/>
      <w:r w:rsidRPr="00FC38C2">
        <w:rPr>
          <w:rFonts w:ascii="Times" w:eastAsia="Times New Roman" w:hAnsi="Times" w:cs="Arial"/>
          <w:color w:val="000000"/>
          <w:sz w:val="22"/>
          <w:szCs w:val="22"/>
        </w:rPr>
        <w:t>\</w:t>
      </w:r>
      <w:proofErr w:type="gramStart"/>
      <w:r w:rsidRPr="00FC38C2">
        <w:rPr>
          <w:rFonts w:ascii="Times" w:eastAsia="Times New Roman" w:hAnsi="Times" w:cs="Arial"/>
          <w:color w:val="000000"/>
          <w:sz w:val="22"/>
          <w:szCs w:val="22"/>
        </w:rPr>
        <w:t>cite{</w:t>
      </w:r>
      <w:proofErr w:type="gramEnd"/>
      <w:r w:rsidRPr="00FC38C2">
        <w:rPr>
          <w:rFonts w:ascii="Times" w:eastAsia="Times New Roman" w:hAnsi="Times" w:cs="Arial"/>
          <w:color w:val="000000"/>
          <w:sz w:val="22"/>
          <w:szCs w:val="22"/>
        </w:rPr>
        <w:t xml:space="preserve">24037378} and ENCODE\cite{22955616}, conducted on 1000 Genomes individuals\cite{23128226, 27089393}. After reprocessing and harmonizing the heterogeneous data, we use the beta-binomial test to remove the effect of </w:t>
      </w:r>
      <w:proofErr w:type="spellStart"/>
      <w:r w:rsidRPr="00FC38C2">
        <w:rPr>
          <w:rFonts w:ascii="Times" w:eastAsia="Times New Roman" w:hAnsi="Times" w:cs="Arial"/>
          <w:color w:val="000000"/>
          <w:sz w:val="22"/>
          <w:szCs w:val="22"/>
        </w:rPr>
        <w:t>overdispersion</w:t>
      </w:r>
      <w:proofErr w:type="spellEnd"/>
      <w:r w:rsidRPr="00FC38C2">
        <w:rPr>
          <w:rFonts w:ascii="Times" w:eastAsia="Times New Roman" w:hAnsi="Times" w:cs="Arial"/>
          <w:color w:val="000000"/>
          <w:sz w:val="22"/>
          <w:szCs w:val="22"/>
        </w:rPr>
        <w:t xml:space="preserve"> distribution of dataset and detect the ASV in a uniform way. However, because ASVs are enriched for rare variants, we prioritize by the ‘allelic genomic element’ with the presence of ASVs. Each element will </w:t>
      </w:r>
      <w:proofErr w:type="gramStart"/>
      <w:r w:rsidRPr="00FC38C2">
        <w:rPr>
          <w:rFonts w:ascii="Times" w:eastAsia="Times New Roman" w:hAnsi="Times" w:cs="Arial"/>
          <w:color w:val="000000"/>
          <w:sz w:val="22"/>
          <w:szCs w:val="22"/>
        </w:rPr>
        <w:t>is</w:t>
      </w:r>
      <w:proofErr w:type="gramEnd"/>
      <w:r w:rsidRPr="00FC38C2">
        <w:rPr>
          <w:rFonts w:ascii="Times" w:eastAsia="Times New Roman" w:hAnsi="Times" w:cs="Arial"/>
          <w:color w:val="000000"/>
          <w:sz w:val="22"/>
          <w:szCs w:val="22"/>
        </w:rPr>
        <w:t xml:space="preserve"> assigned an ‘</w:t>
      </w:r>
      <w:proofErr w:type="spellStart"/>
      <w:r w:rsidRPr="00FC38C2">
        <w:rPr>
          <w:rFonts w:ascii="Times" w:eastAsia="Times New Roman" w:hAnsi="Times" w:cs="Arial"/>
          <w:color w:val="000000"/>
          <w:sz w:val="22"/>
          <w:szCs w:val="22"/>
        </w:rPr>
        <w:t>allelicity</w:t>
      </w:r>
      <w:proofErr w:type="spellEnd"/>
      <w:r w:rsidRPr="00FC38C2">
        <w:rPr>
          <w:rFonts w:ascii="Times" w:eastAsia="Times New Roman" w:hAnsi="Times" w:cs="Arial"/>
          <w:color w:val="000000"/>
          <w:sz w:val="22"/>
          <w:szCs w:val="22"/>
        </w:rPr>
        <w:t xml:space="preserve">’ score based on not only its enrichment of allelic variants within the element (in comparison to accessible variants within the elements and having sufficient coverage to make an allelic activity call), but also across the number of individuals having allelic variants in a consistent allelic direction. The scoring system by element is useful in two ways: (1) it allows continuous ranking of genomic elements based on its allelic impact across multiple individuals (as opposed to defining a threshold to make a binary decision of whether an element is ‘allelic’) and (2) it enables incorporation of ASE and ASB into the main prioritization scheme; input variants (even those which are rare, but lie in highly-ranked allelic genomic elements) will be up-weighted according to their scores. </w:t>
      </w:r>
    </w:p>
    <w:p w14:paraId="40675B8A" w14:textId="77777777" w:rsidR="00FC38C2" w:rsidRPr="00FC38C2" w:rsidRDefault="00FC38C2" w:rsidP="00FC38C2">
      <w:pPr>
        <w:ind w:firstLine="720"/>
        <w:jc w:val="both"/>
        <w:rPr>
          <w:rFonts w:ascii="Times" w:eastAsia="Times New Roman" w:hAnsi="Times" w:cs="Arial"/>
          <w:sz w:val="22"/>
          <w:szCs w:val="22"/>
        </w:rPr>
      </w:pPr>
      <w:r w:rsidRPr="00FC38C2">
        <w:rPr>
          <w:rFonts w:ascii="Times" w:hAnsi="Times" w:cs="Arial"/>
          <w:color w:val="000000" w:themeColor="text1"/>
          <w:sz w:val="22"/>
          <w:szCs w:val="22"/>
        </w:rPr>
        <w:t xml:space="preserve">We will use </w:t>
      </w:r>
      <w:proofErr w:type="spellStart"/>
      <w:r w:rsidRPr="00FC38C2">
        <w:rPr>
          <w:rFonts w:ascii="Times" w:hAnsi="Times" w:cs="Arial"/>
          <w:color w:val="000000" w:themeColor="text1"/>
          <w:sz w:val="22"/>
          <w:szCs w:val="22"/>
        </w:rPr>
        <w:t>AlleleDB</w:t>
      </w:r>
      <w:proofErr w:type="spellEnd"/>
      <w:r w:rsidRPr="00FC38C2">
        <w:rPr>
          <w:rFonts w:ascii="Times" w:hAnsi="Times" w:cs="Arial"/>
          <w:color w:val="000000" w:themeColor="text1"/>
          <w:sz w:val="22"/>
          <w:szCs w:val="22"/>
        </w:rPr>
        <w:t xml:space="preserve"> to prioritize variants in allelic elements throughout the genomes of </w:t>
      </w:r>
      <w:proofErr w:type="spellStart"/>
      <w:r w:rsidRPr="00FC38C2">
        <w:rPr>
          <w:rFonts w:ascii="Times" w:hAnsi="Times" w:cs="Arial"/>
          <w:color w:val="000000" w:themeColor="text1"/>
          <w:sz w:val="22"/>
          <w:szCs w:val="22"/>
        </w:rPr>
        <w:t>TopMed</w:t>
      </w:r>
      <w:proofErr w:type="spellEnd"/>
      <w:r w:rsidRPr="00FC38C2">
        <w:rPr>
          <w:rFonts w:ascii="Times" w:hAnsi="Times" w:cs="Arial"/>
          <w:color w:val="000000" w:themeColor="text1"/>
          <w:sz w:val="22"/>
          <w:szCs w:val="22"/>
        </w:rPr>
        <w:t xml:space="preserve"> individuals. We will also use </w:t>
      </w:r>
      <w:proofErr w:type="spellStart"/>
      <w:r w:rsidRPr="00FC38C2">
        <w:rPr>
          <w:rFonts w:ascii="Times" w:hAnsi="Times" w:cs="Arial"/>
          <w:color w:val="000000" w:themeColor="text1"/>
          <w:sz w:val="22"/>
          <w:szCs w:val="22"/>
        </w:rPr>
        <w:t>TopMed</w:t>
      </w:r>
      <w:proofErr w:type="spellEnd"/>
      <w:r w:rsidRPr="00FC38C2">
        <w:rPr>
          <w:rFonts w:ascii="Times" w:hAnsi="Times" w:cs="Arial"/>
          <w:color w:val="000000" w:themeColor="text1"/>
          <w:sz w:val="22"/>
          <w:szCs w:val="22"/>
        </w:rPr>
        <w:t xml:space="preserve"> samples with both whole genome sequencing and RNA-</w:t>
      </w:r>
      <w:proofErr w:type="spellStart"/>
      <w:r w:rsidRPr="00FC38C2">
        <w:rPr>
          <w:rFonts w:ascii="Times" w:hAnsi="Times" w:cs="Arial"/>
          <w:color w:val="000000" w:themeColor="text1"/>
          <w:sz w:val="22"/>
          <w:szCs w:val="22"/>
        </w:rPr>
        <w:t>Seq</w:t>
      </w:r>
      <w:proofErr w:type="spellEnd"/>
      <w:r w:rsidRPr="00FC38C2">
        <w:rPr>
          <w:rFonts w:ascii="Times" w:hAnsi="Times" w:cs="Arial"/>
          <w:color w:val="000000" w:themeColor="text1"/>
          <w:sz w:val="22"/>
          <w:szCs w:val="22"/>
        </w:rPr>
        <w:t xml:space="preserve"> data to expand our </w:t>
      </w:r>
      <w:proofErr w:type="spellStart"/>
      <w:r w:rsidRPr="00FC38C2">
        <w:rPr>
          <w:rFonts w:ascii="Times" w:hAnsi="Times" w:cs="Arial"/>
          <w:color w:val="000000" w:themeColor="text1"/>
          <w:sz w:val="22"/>
          <w:szCs w:val="22"/>
        </w:rPr>
        <w:t>AlleleDB</w:t>
      </w:r>
      <w:proofErr w:type="spellEnd"/>
      <w:r w:rsidRPr="00FC38C2">
        <w:rPr>
          <w:rFonts w:ascii="Times" w:hAnsi="Times" w:cs="Arial"/>
          <w:color w:val="000000" w:themeColor="text1"/>
          <w:sz w:val="22"/>
          <w:szCs w:val="22"/>
        </w:rPr>
        <w:t xml:space="preserve"> resource.</w:t>
      </w:r>
    </w:p>
    <w:p w14:paraId="582F83CA" w14:textId="77777777" w:rsidR="00FC38C2" w:rsidRPr="00FC38C2" w:rsidRDefault="00FC38C2" w:rsidP="00FC38C2">
      <w:pPr>
        <w:jc w:val="both"/>
        <w:rPr>
          <w:rFonts w:ascii="Times" w:hAnsi="Times" w:cs="Arial"/>
          <w:sz w:val="22"/>
          <w:szCs w:val="22"/>
        </w:rPr>
      </w:pPr>
    </w:p>
    <w:p w14:paraId="31DFC13D" w14:textId="77777777" w:rsidR="00FC38C2" w:rsidRPr="00FC38C2" w:rsidRDefault="00FC38C2" w:rsidP="00FC38C2">
      <w:pPr>
        <w:jc w:val="both"/>
        <w:outlineLvl w:val="0"/>
        <w:rPr>
          <w:rFonts w:ascii="Times" w:hAnsi="Times" w:cs="Arial"/>
          <w:b/>
          <w:i/>
          <w:color w:val="000000" w:themeColor="text1"/>
          <w:sz w:val="22"/>
          <w:szCs w:val="22"/>
        </w:rPr>
      </w:pPr>
      <w:r w:rsidRPr="00FC38C2">
        <w:rPr>
          <w:rFonts w:ascii="Times" w:eastAsia="Times New Roman" w:hAnsi="Times" w:cs="Arial"/>
          <w:b/>
          <w:i/>
          <w:color w:val="000000"/>
          <w:sz w:val="22"/>
          <w:szCs w:val="22"/>
        </w:rPr>
        <w:t>Rare somatic and germline burden tests</w:t>
      </w:r>
    </w:p>
    <w:p w14:paraId="7005075E" w14:textId="77777777" w:rsidR="00FC38C2" w:rsidRPr="00FC38C2" w:rsidRDefault="00FC38C2" w:rsidP="00FC38C2">
      <w:pPr>
        <w:jc w:val="both"/>
        <w:rPr>
          <w:rFonts w:ascii="Times" w:hAnsi="Times" w:cs="Arial"/>
          <w:sz w:val="22"/>
          <w:szCs w:val="22"/>
        </w:rPr>
      </w:pPr>
      <w:r w:rsidRPr="00FC38C2">
        <w:rPr>
          <w:rFonts w:ascii="Times" w:eastAsia="Times New Roman" w:hAnsi="Times" w:cs="Arial"/>
          <w:color w:val="000000"/>
          <w:sz w:val="22"/>
          <w:szCs w:val="22"/>
          <w:shd w:val="clear" w:color="auto" w:fill="FFFFFF"/>
        </w:rPr>
        <w:t>We have w</w:t>
      </w:r>
      <w:bookmarkStart w:id="0" w:name="_GoBack"/>
      <w:bookmarkEnd w:id="0"/>
      <w:r w:rsidRPr="00FC38C2">
        <w:rPr>
          <w:rFonts w:ascii="Times" w:eastAsia="Times New Roman" w:hAnsi="Times" w:cs="Arial"/>
          <w:color w:val="000000"/>
          <w:sz w:val="22"/>
          <w:szCs w:val="22"/>
          <w:shd w:val="clear" w:color="auto" w:fill="FFFFFF"/>
        </w:rPr>
        <w:t>orked on statistical methods for analysis of non-coding regulatory regions. LARVA (Large-scale Analysis of Recurrent Variants in noncoding Annotations) identifies significant mutation enrichments in noncoding elements, by comparing observed mutation counts with expected counts under a whole genome background mutat</w:t>
      </w:r>
      <w:r w:rsidRPr="00FC38C2">
        <w:rPr>
          <w:rFonts w:ascii="Times" w:eastAsia="Times New Roman" w:hAnsi="Times" w:cs="Arial"/>
          <w:color w:val="000000"/>
          <w:sz w:val="22"/>
          <w:szCs w:val="22"/>
        </w:rPr>
        <w:t>ion model \</w:t>
      </w:r>
      <w:proofErr w:type="gramStart"/>
      <w:r w:rsidRPr="00FC38C2">
        <w:rPr>
          <w:rFonts w:ascii="Times" w:eastAsia="Times New Roman" w:hAnsi="Times" w:cs="Arial"/>
          <w:color w:val="000000"/>
          <w:sz w:val="22"/>
          <w:szCs w:val="22"/>
        </w:rPr>
        <w:t>cite{</w:t>
      </w:r>
      <w:proofErr w:type="gramEnd"/>
      <w:r w:rsidRPr="00FC38C2">
        <w:rPr>
          <w:rFonts w:ascii="Times" w:eastAsia="Times New Roman" w:hAnsi="Times" w:cs="Arial"/>
          <w:color w:val="000000"/>
          <w:sz w:val="22"/>
          <w:szCs w:val="22"/>
        </w:rPr>
        <w:t>26304545}. LARVA includes corrections for biases in mutation rate owing to DNA replication timing. LARVA can also be targeted exclusively to coding regions to prioritize genes.</w:t>
      </w:r>
      <w:r w:rsidRPr="00FC38C2">
        <w:rPr>
          <w:rFonts w:ascii="Times" w:eastAsia="Times New Roman" w:hAnsi="Times" w:cs="Arial"/>
          <w:color w:val="000000"/>
          <w:sz w:val="22"/>
          <w:szCs w:val="22"/>
          <w:shd w:val="clear" w:color="auto" w:fill="FFFFFF"/>
        </w:rPr>
        <w:t xml:space="preserve"> We used this tool in a pan-cancer analysis of 760 cancer whole genomes’ variants spanning a number of cancer data portals and some published datasets. Our analyses demonstrated that LARVA can recapitulate previously established coding and noncoding cancer drivers, including the TERT and TP53 promoters \</w:t>
      </w:r>
      <w:proofErr w:type="gramStart"/>
      <w:r w:rsidRPr="00FC38C2">
        <w:rPr>
          <w:rFonts w:ascii="Times" w:eastAsia="Times New Roman" w:hAnsi="Times" w:cs="Arial"/>
          <w:color w:val="000000"/>
          <w:sz w:val="22"/>
          <w:szCs w:val="22"/>
          <w:shd w:val="clear" w:color="auto" w:fill="FFFFFF"/>
        </w:rPr>
        <w:t>cite{</w:t>
      </w:r>
      <w:proofErr w:type="gramEnd"/>
      <w:r w:rsidRPr="00FC38C2">
        <w:rPr>
          <w:rFonts w:ascii="Times" w:eastAsia="Times New Roman" w:hAnsi="Times" w:cs="Arial"/>
          <w:color w:val="000000"/>
          <w:sz w:val="22"/>
          <w:szCs w:val="22"/>
          <w:shd w:val="clear" w:color="auto" w:fill="FFFFFF"/>
        </w:rPr>
        <w:t xml:space="preserve">26304545}. Furthermore, we have developed MOAT (Mutations Overburdening Annotations Tool), an alternative, empirical mutation burden approach that evaluates mutation enrichments based upon permutations of the input data (submitted). Both annotation-based and variant-based permutation is supported. We will apply these tools to identify recurrent variants and overburdened elements in </w:t>
      </w:r>
      <w:proofErr w:type="spellStart"/>
      <w:r w:rsidRPr="00FC38C2">
        <w:rPr>
          <w:rFonts w:ascii="Times" w:eastAsia="Times New Roman" w:hAnsi="Times" w:cs="Arial"/>
          <w:color w:val="000000"/>
          <w:sz w:val="22"/>
          <w:szCs w:val="22"/>
          <w:shd w:val="clear" w:color="auto" w:fill="FFFFFF"/>
        </w:rPr>
        <w:t>TopMed</w:t>
      </w:r>
      <w:proofErr w:type="spellEnd"/>
      <w:r w:rsidRPr="00FC38C2">
        <w:rPr>
          <w:rFonts w:ascii="Times" w:eastAsia="Times New Roman" w:hAnsi="Times" w:cs="Arial"/>
          <w:color w:val="000000"/>
          <w:sz w:val="22"/>
          <w:szCs w:val="22"/>
          <w:shd w:val="clear" w:color="auto" w:fill="FFFFFF"/>
        </w:rPr>
        <w:t xml:space="preserve"> samples.</w:t>
      </w:r>
    </w:p>
    <w:p w14:paraId="0BF8828F" w14:textId="77777777" w:rsidR="00FC38C2" w:rsidRPr="00FC38C2" w:rsidRDefault="00FC38C2" w:rsidP="00FC38C2">
      <w:pPr>
        <w:jc w:val="both"/>
        <w:rPr>
          <w:rFonts w:ascii="Times" w:hAnsi="Times" w:cs="Arial"/>
          <w:sz w:val="22"/>
          <w:szCs w:val="22"/>
        </w:rPr>
      </w:pPr>
    </w:p>
    <w:p w14:paraId="57B56085" w14:textId="77777777" w:rsidR="0093783A" w:rsidRPr="00FC38C2" w:rsidRDefault="00FC38C2">
      <w:pPr>
        <w:rPr>
          <w:rFonts w:ascii="Times" w:hAnsi="Times"/>
        </w:rPr>
      </w:pPr>
    </w:p>
    <w:sectPr w:rsidR="0093783A" w:rsidRPr="00FC38C2" w:rsidSect="00C26A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8C2"/>
    <w:rsid w:val="00385379"/>
    <w:rsid w:val="004A2231"/>
    <w:rsid w:val="00FC38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AD2F7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3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1261</Words>
  <Characters>7190</Characters>
  <Application>Microsoft Macintosh Word</Application>
  <DocSecurity>0</DocSecurity>
  <Lines>59</Lines>
  <Paragraphs>16</Paragraphs>
  <ScaleCrop>false</ScaleCrop>
  <LinksUpToDate>false</LinksUpToDate>
  <CharactersWithSpaces>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Hussein Mohsen</dc:creator>
  <cp:keywords/>
  <dc:description/>
  <cp:lastModifiedBy>Hussein Mohsen</cp:lastModifiedBy>
  <cp:revision>1</cp:revision>
  <dcterms:created xsi:type="dcterms:W3CDTF">2017-07-07T21:07:00Z</dcterms:created>
  <dcterms:modified xsi:type="dcterms:W3CDTF">2017-07-07T21:09:00Z</dcterms:modified>
</cp:coreProperties>
</file>